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2131" w:rsidRDefault="00AC2131">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AC2131">
        <w:tc>
          <w:tcPr>
            <w:tcW w:w="6634" w:type="dxa"/>
            <w:tcBorders>
              <w:top w:val="single" w:sz="6" w:space="0" w:color="auto"/>
            </w:tcBorders>
          </w:tcPr>
          <w:p w:rsidR="00AC2131" w:rsidRDefault="00AC2131">
            <w:pPr>
              <w:pStyle w:val="PartDivider"/>
            </w:pPr>
          </w:p>
        </w:tc>
        <w:tc>
          <w:tcPr>
            <w:tcW w:w="2155" w:type="dxa"/>
            <w:tcBorders>
              <w:top w:val="single" w:sz="24" w:space="0" w:color="auto"/>
            </w:tcBorders>
          </w:tcPr>
          <w:p w:rsidR="00AC2131" w:rsidRDefault="00AC2131">
            <w:pPr>
              <w:pStyle w:val="PartDivider"/>
            </w:pPr>
          </w:p>
        </w:tc>
      </w:tr>
    </w:tbl>
    <w:p w:rsidR="00AC2131" w:rsidRDefault="00AC2131">
      <w:pPr>
        <w:pStyle w:val="PartDivider"/>
      </w:pPr>
    </w:p>
    <w:p w:rsidR="00AC2131" w:rsidRDefault="00AC2131">
      <w:pPr>
        <w:pStyle w:val="PartTitle"/>
      </w:pPr>
      <w:r>
        <w:t>Overview</w:t>
      </w:r>
    </w:p>
    <w:p w:rsidR="00AC2131" w:rsidRDefault="00AC2131">
      <w:pPr>
        <w:rPr>
          <w:sz w:val="52"/>
          <w:szCs w:val="20"/>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AC2131" w:rsidTr="00AC2131">
        <w:tc>
          <w:tcPr>
            <w:tcW w:w="8789" w:type="dxa"/>
            <w:tcBorders>
              <w:top w:val="single" w:sz="4" w:space="0" w:color="78A22F" w:themeColor="accent1"/>
              <w:left w:val="nil"/>
              <w:bottom w:val="nil"/>
              <w:right w:val="nil"/>
            </w:tcBorders>
            <w:shd w:val="clear" w:color="auto" w:fill="E5F1D0"/>
          </w:tcPr>
          <w:p w:rsidR="00AC2131" w:rsidRDefault="00AC2131" w:rsidP="00AC2131">
            <w:pPr>
              <w:pStyle w:val="BoxTitle"/>
            </w:pPr>
            <w:r>
              <w:lastRenderedPageBreak/>
              <w:t xml:space="preserve">Key points </w:t>
            </w:r>
          </w:p>
        </w:tc>
      </w:tr>
      <w:tr w:rsidR="00AC2131" w:rsidTr="00AC2131">
        <w:tc>
          <w:tcPr>
            <w:tcW w:w="8789" w:type="dxa"/>
            <w:tcBorders>
              <w:top w:val="nil"/>
              <w:left w:val="nil"/>
              <w:bottom w:val="nil"/>
              <w:right w:val="nil"/>
            </w:tcBorders>
            <w:shd w:val="clear" w:color="auto" w:fill="E5F1D0"/>
          </w:tcPr>
          <w:p w:rsidR="00AC2131" w:rsidRPr="0004019F" w:rsidRDefault="00AC2131" w:rsidP="00AC2131">
            <w:pPr>
              <w:pStyle w:val="BoxListBullet"/>
            </w:pPr>
            <w:r w:rsidRPr="0004019F">
              <w:t xml:space="preserve">Government assistance to </w:t>
            </w:r>
            <w:r>
              <w:t xml:space="preserve">firms, projects and </w:t>
            </w:r>
            <w:r w:rsidRPr="0004019F">
              <w:t xml:space="preserve">industry is provided </w:t>
            </w:r>
            <w:r>
              <w:t>through</w:t>
            </w:r>
            <w:r w:rsidRPr="0004019F">
              <w:t xml:space="preserve"> </w:t>
            </w:r>
            <w:r>
              <w:t xml:space="preserve">an array of measures including </w:t>
            </w:r>
            <w:r w:rsidRPr="0004019F">
              <w:t xml:space="preserve">tariffs, </w:t>
            </w:r>
            <w:r>
              <w:t xml:space="preserve">grants, concessional loans, </w:t>
            </w:r>
            <w:r w:rsidRPr="0004019F">
              <w:t>tax concessions</w:t>
            </w:r>
            <w:r>
              <w:t>, regulatory</w:t>
            </w:r>
            <w:r w:rsidRPr="0004019F">
              <w:t xml:space="preserve"> restrictions on competition</w:t>
            </w:r>
            <w:r>
              <w:t>, and government purchasing preferences.</w:t>
            </w:r>
          </w:p>
          <w:p w:rsidR="00AC2131" w:rsidRDefault="00AC2131" w:rsidP="00AC2131">
            <w:pPr>
              <w:pStyle w:val="BoxListBullet2"/>
              <w:tabs>
                <w:tab w:val="left" w:pos="284"/>
                <w:tab w:val="left" w:pos="8244"/>
              </w:tabs>
              <w:spacing w:before="60" w:line="280" w:lineRule="atLeast"/>
              <w:ind w:left="567" w:hanging="283"/>
            </w:pPr>
            <w:r>
              <w:t xml:space="preserve">While tariff and budgetary assistance remains substantial and is readily quantified, other less transparent and difficult to quantify measures can confer substantial assistance. </w:t>
            </w:r>
          </w:p>
          <w:p w:rsidR="00AC2131" w:rsidRDefault="00AC2131" w:rsidP="00AC2131">
            <w:pPr>
              <w:pStyle w:val="BoxListBullet2"/>
              <w:tabs>
                <w:tab w:val="left" w:pos="284"/>
                <w:tab w:val="left" w:pos="8244"/>
              </w:tabs>
              <w:spacing w:before="60" w:line="280" w:lineRule="atLeast"/>
              <w:ind w:left="567" w:hanging="283"/>
            </w:pPr>
            <w:r>
              <w:t xml:space="preserve">The reaction of some firms to emerging competition, technologies and business models (for example digital disruption) has been to call for restrictions on competition. </w:t>
            </w:r>
          </w:p>
          <w:p w:rsidR="00AC2131" w:rsidRDefault="00AC2131" w:rsidP="00AC2131">
            <w:pPr>
              <w:pStyle w:val="BoxListBullet"/>
              <w:tabs>
                <w:tab w:val="left" w:pos="8244"/>
              </w:tabs>
              <w:spacing w:before="60" w:line="280" w:lineRule="atLeast"/>
            </w:pPr>
            <w:r w:rsidRPr="0004019F">
              <w:t xml:space="preserve">Australian Government </w:t>
            </w:r>
            <w:r>
              <w:t xml:space="preserve">tariff and budgetary gross assistance to industry amounted to over </w:t>
            </w:r>
            <w:r w:rsidRPr="0004019F">
              <w:t>$</w:t>
            </w:r>
            <w:r>
              <w:t>17</w:t>
            </w:r>
            <w:r w:rsidRPr="0004019F">
              <w:t xml:space="preserve"> billion </w:t>
            </w:r>
            <w:r>
              <w:t>in 2013</w:t>
            </w:r>
            <w:r>
              <w:noBreakHyphen/>
              <w:t xml:space="preserve">14. </w:t>
            </w:r>
          </w:p>
          <w:p w:rsidR="00AC2131" w:rsidRPr="00A35BA4" w:rsidRDefault="00AC2131" w:rsidP="00AC2131">
            <w:pPr>
              <w:pStyle w:val="BoxListBullet2"/>
              <w:ind w:left="567" w:hanging="283"/>
              <w:rPr>
                <w:szCs w:val="24"/>
              </w:rPr>
            </w:pPr>
            <w:r w:rsidRPr="0004019F">
              <w:t>After allowing for the cost to business of tariffs on imported inputs ($</w:t>
            </w:r>
            <w:r>
              <w:t>7.3</w:t>
            </w:r>
            <w:r w:rsidRPr="0004019F">
              <w:t> billion</w:t>
            </w:r>
            <w:r>
              <w:t>, largely incurred by service industries</w:t>
            </w:r>
            <w:r w:rsidRPr="0004019F">
              <w:t xml:space="preserve">), net assistance </w:t>
            </w:r>
            <w:r>
              <w:t xml:space="preserve">across all sectors </w:t>
            </w:r>
            <w:r w:rsidRPr="0004019F">
              <w:t>was $</w:t>
            </w:r>
            <w:r>
              <w:t>9.7</w:t>
            </w:r>
            <w:r w:rsidRPr="0004019F">
              <w:t> billion</w:t>
            </w:r>
            <w:r>
              <w:t>.</w:t>
            </w:r>
          </w:p>
          <w:p w:rsidR="00AC2131" w:rsidRPr="00473D8D" w:rsidRDefault="00AC2131" w:rsidP="00AC2131">
            <w:pPr>
              <w:pStyle w:val="BoxListBullet2"/>
              <w:ind w:left="567" w:hanging="283"/>
              <w:rPr>
                <w:szCs w:val="24"/>
              </w:rPr>
            </w:pPr>
            <w:r>
              <w:t>Tariffs alone costs every Australian around $150 each year.</w:t>
            </w:r>
          </w:p>
          <w:p w:rsidR="00AC2131" w:rsidRDefault="00AC2131" w:rsidP="00AC2131">
            <w:pPr>
              <w:pStyle w:val="BoxListBullet"/>
              <w:tabs>
                <w:tab w:val="left" w:pos="8244"/>
              </w:tabs>
              <w:spacing w:before="60" w:line="280" w:lineRule="atLeast"/>
            </w:pPr>
            <w:r>
              <w:t xml:space="preserve">Net assistance matters. This is most perversely manifest in the net negative assistance to services — $4.3 billion of assistance is outweighed by a $4.9 billion tariff penalty on inputs. </w:t>
            </w:r>
          </w:p>
          <w:p w:rsidR="00AC2131" w:rsidRPr="00473D8D" w:rsidRDefault="00AC2131" w:rsidP="00AC2131">
            <w:pPr>
              <w:pStyle w:val="BoxListBullet"/>
            </w:pPr>
            <w:r>
              <w:t>Budgetary industry assistance in 2013</w:t>
            </w:r>
            <w:r>
              <w:noBreakHyphen/>
              <w:t>14 was about 17 per cent (or $1.3 billion) higher than in 2012</w:t>
            </w:r>
            <w:r>
              <w:noBreakHyphen/>
              <w:t xml:space="preserve">13. The largest </w:t>
            </w:r>
            <w:r w:rsidRPr="00FE7A19">
              <w:t xml:space="preserve">increase </w:t>
            </w:r>
            <w:r>
              <w:t>was</w:t>
            </w:r>
            <w:r w:rsidRPr="00FE7A19">
              <w:t xml:space="preserve"> </w:t>
            </w:r>
            <w:r>
              <w:t xml:space="preserve">from </w:t>
            </w:r>
            <w:r w:rsidRPr="00FE7A19">
              <w:t>the Small Business Simplified Depreciation Rules</w:t>
            </w:r>
            <w:r>
              <w:t>.</w:t>
            </w:r>
          </w:p>
          <w:p w:rsidR="00AC2131" w:rsidRDefault="00AC2131" w:rsidP="00AC2131">
            <w:pPr>
              <w:pStyle w:val="BoxListBullet"/>
              <w:spacing w:before="60" w:line="280" w:lineRule="atLeast"/>
            </w:pPr>
            <w:r>
              <w:t xml:space="preserve">Notably in the year to May 2015, the Government announced additional industry assistance involving about $1.5 billion as well as reductions of around $1 billion. Significant increases were afforded though the </w:t>
            </w:r>
            <w:r w:rsidRPr="003B0A01">
              <w:rPr>
                <w:i/>
              </w:rPr>
              <w:t>Industry Innovation and Competitiveness Agenda</w:t>
            </w:r>
            <w:r>
              <w:t xml:space="preserve">. </w:t>
            </w:r>
          </w:p>
          <w:p w:rsidR="00AC2131" w:rsidRDefault="00AC2131" w:rsidP="00AC2131">
            <w:pPr>
              <w:pStyle w:val="BoxListBullet"/>
              <w:spacing w:before="60" w:line="280" w:lineRule="atLeast"/>
            </w:pPr>
            <w:r>
              <w:t xml:space="preserve">Where Government becomes a ‘co-investor’ through firm-specific grants, and despite some recent government resistance to such calls, resource misallocation is likely. Moreover, governance and due diligence fall short of contemporary, comparable best practice. The term ‘co-investor’ is a commercial misnomer. </w:t>
            </w:r>
          </w:p>
          <w:p w:rsidR="00AC2131" w:rsidRDefault="00AC2131" w:rsidP="00AC2131">
            <w:pPr>
              <w:pStyle w:val="BoxListBullet2"/>
              <w:ind w:left="567" w:hanging="283"/>
              <w:rPr>
                <w:szCs w:val="24"/>
              </w:rPr>
            </w:pPr>
            <w:r>
              <w:t xml:space="preserve">Better government assessment processes are needed. </w:t>
            </w:r>
          </w:p>
          <w:p w:rsidR="00AC2131" w:rsidRDefault="00AC2131" w:rsidP="00AC2131">
            <w:pPr>
              <w:pStyle w:val="BoxListBullet"/>
              <w:spacing w:before="60" w:line="280" w:lineRule="atLeast"/>
            </w:pPr>
            <w:r>
              <w:t>The evolution and recent measurement of global value chains and value-added trade flows provides valuable insights for trade and assistance policy. The key policy take-outs reinforce several established policy imperatives, including:</w:t>
            </w:r>
          </w:p>
          <w:p w:rsidR="00AC2131" w:rsidRPr="00D3150A" w:rsidRDefault="00AC2131" w:rsidP="00AC2131">
            <w:pPr>
              <w:pStyle w:val="BoxListBullet2"/>
              <w:ind w:left="567" w:hanging="283"/>
              <w:rPr>
                <w:szCs w:val="24"/>
              </w:rPr>
            </w:pPr>
            <w:r>
              <w:t>m</w:t>
            </w:r>
            <w:r w:rsidRPr="00236BF1">
              <w:t>ultilateral trade reform is the most effective way to improve national and global welfare</w:t>
            </w:r>
          </w:p>
          <w:p w:rsidR="00AC2131" w:rsidRPr="00FF26AB" w:rsidRDefault="00AC2131" w:rsidP="00AC2131">
            <w:pPr>
              <w:pStyle w:val="BoxListBullet2"/>
              <w:ind w:left="567" w:hanging="283"/>
              <w:rPr>
                <w:szCs w:val="24"/>
              </w:rPr>
            </w:pPr>
            <w:r>
              <w:t>non-discriminatory policies that seek to lower imported input costs and other business costs have the best chance of fostering firm and economic growth</w:t>
            </w:r>
          </w:p>
          <w:p w:rsidR="00AC2131" w:rsidRPr="007C1B2B" w:rsidRDefault="00AC2131" w:rsidP="00AC2131">
            <w:pPr>
              <w:pStyle w:val="BoxListBullet2"/>
              <w:ind w:left="567" w:hanging="283"/>
            </w:pPr>
            <w:r>
              <w:t>policies that seek to support designated priority sectors unavoidably risk disadvantaging more competitive activities.</w:t>
            </w:r>
          </w:p>
          <w:p w:rsidR="00AC2131" w:rsidRDefault="00AC2131" w:rsidP="00AC2131">
            <w:pPr>
              <w:pStyle w:val="BoxListBullet"/>
              <w:spacing w:before="60" w:line="280" w:lineRule="atLeast"/>
            </w:pPr>
            <w:r>
              <w:t>Slow progress in multilateral trade reform has accelerated preferential agreement making.</w:t>
            </w:r>
          </w:p>
          <w:p w:rsidR="00AC2131" w:rsidRDefault="00AC2131" w:rsidP="00AC2131">
            <w:pPr>
              <w:pStyle w:val="BoxListBullet"/>
            </w:pPr>
            <w:r>
              <w:t>Preferential trade agreements add to the complexity and cost of international trade through substantially different sets of rules of origin, varying coverage of services and potentially costly intellectual property protections and investor-state dispute settlement provisions.</w:t>
            </w:r>
          </w:p>
          <w:p w:rsidR="00AC2131" w:rsidRDefault="00AC2131" w:rsidP="00AC2131">
            <w:pPr>
              <w:pStyle w:val="BoxListBullet2"/>
              <w:ind w:left="567" w:hanging="283"/>
              <w:rPr>
                <w:szCs w:val="24"/>
              </w:rPr>
            </w:pPr>
            <w:r w:rsidRPr="009312C0">
              <w:t xml:space="preserve">The emerging and growing potential for trade preferences to impose net costs on the community presents a compelling case for the </w:t>
            </w:r>
            <w:r>
              <w:t>final</w:t>
            </w:r>
            <w:r w:rsidRPr="009312C0">
              <w:t xml:space="preserve"> text of an agreement to be </w:t>
            </w:r>
            <w:r>
              <w:t>rigorously</w:t>
            </w:r>
            <w:r w:rsidRPr="009312C0">
              <w:t xml:space="preserve"> analysed</w:t>
            </w:r>
            <w:r>
              <w:t xml:space="preserve"> </w:t>
            </w:r>
            <w:r w:rsidRPr="009D6A93">
              <w:rPr>
                <w:u w:val="single"/>
              </w:rPr>
              <w:t>before</w:t>
            </w:r>
            <w:r>
              <w:t xml:space="preserve"> signing. Analysis undertaken for the Japan-Australia agreement reveals a wide and concerning gap compared to the Commission’s view of rigorous assessment.</w:t>
            </w:r>
          </w:p>
        </w:tc>
        <w:bookmarkStart w:id="2" w:name="_GoBack"/>
        <w:bookmarkEnd w:id="2"/>
      </w:tr>
      <w:tr w:rsidR="00AC2131" w:rsidTr="00AC2131">
        <w:tc>
          <w:tcPr>
            <w:tcW w:w="8789" w:type="dxa"/>
            <w:tcBorders>
              <w:top w:val="nil"/>
              <w:left w:val="nil"/>
              <w:bottom w:val="single" w:sz="4" w:space="0" w:color="78A22F" w:themeColor="accent1"/>
              <w:right w:val="nil"/>
            </w:tcBorders>
            <w:shd w:val="clear" w:color="auto" w:fill="E5F1D0"/>
          </w:tcPr>
          <w:p w:rsidR="00AC2131" w:rsidRDefault="00AC2131">
            <w:pPr>
              <w:pStyle w:val="Box"/>
              <w:spacing w:before="0" w:line="120" w:lineRule="exact"/>
            </w:pPr>
          </w:p>
        </w:tc>
      </w:tr>
      <w:tr w:rsidR="00AC2131" w:rsidTr="00AC2131">
        <w:tc>
          <w:tcPr>
            <w:tcW w:w="8789" w:type="dxa"/>
            <w:tcBorders>
              <w:top w:val="single" w:sz="4" w:space="0" w:color="78A22F" w:themeColor="accent1"/>
              <w:left w:val="nil"/>
              <w:bottom w:val="nil"/>
              <w:right w:val="nil"/>
            </w:tcBorders>
          </w:tcPr>
          <w:p w:rsidR="00AC2131" w:rsidRDefault="00AC2131">
            <w:pPr>
              <w:pStyle w:val="Box"/>
              <w:keepNext w:val="0"/>
              <w:spacing w:before="60" w:after="60" w:line="80" w:lineRule="exact"/>
            </w:pPr>
          </w:p>
        </w:tc>
      </w:tr>
    </w:tbl>
    <w:p w:rsidR="00AC2131" w:rsidRDefault="00AC2131" w:rsidP="00AC2131">
      <w:pPr>
        <w:pStyle w:val="Heading1"/>
        <w:spacing w:before="0" w:line="300" w:lineRule="atLeast"/>
      </w:pPr>
      <w:bookmarkStart w:id="3" w:name="ChapterTitle"/>
      <w:bookmarkEnd w:id="1"/>
      <w:r>
        <w:lastRenderedPageBreak/>
        <w:t>Overview</w:t>
      </w:r>
      <w:bookmarkEnd w:id="3"/>
    </w:p>
    <w:p w:rsidR="00AC2131" w:rsidRPr="0004019F" w:rsidRDefault="00AC2131" w:rsidP="00AC2131">
      <w:pPr>
        <w:pStyle w:val="BodyText"/>
      </w:pPr>
      <w:bookmarkStart w:id="4" w:name="begin"/>
      <w:bookmarkEnd w:id="4"/>
      <w:r w:rsidRPr="0004019F">
        <w:t xml:space="preserve">Government assistance to </w:t>
      </w:r>
      <w:r>
        <w:t xml:space="preserve">firms, projects and </w:t>
      </w:r>
      <w:r w:rsidRPr="0004019F">
        <w:t xml:space="preserve">industry is provided </w:t>
      </w:r>
      <w:r>
        <w:t>through</w:t>
      </w:r>
      <w:r w:rsidRPr="0004019F">
        <w:t xml:space="preserve"> </w:t>
      </w:r>
      <w:r>
        <w:t xml:space="preserve">an array of measures including </w:t>
      </w:r>
      <w:r w:rsidRPr="0004019F">
        <w:t xml:space="preserve">tariffs, </w:t>
      </w:r>
      <w:r>
        <w:t xml:space="preserve">grants, concessional loans, </w:t>
      </w:r>
      <w:r w:rsidRPr="0004019F">
        <w:t>tax concessions</w:t>
      </w:r>
      <w:r>
        <w:t>, regulatory</w:t>
      </w:r>
      <w:r w:rsidRPr="0004019F">
        <w:t xml:space="preserve"> restrictions on competition</w:t>
      </w:r>
      <w:r>
        <w:t>, and government purchasing preferences.</w:t>
      </w:r>
      <w:r w:rsidRPr="0004019F">
        <w:t xml:space="preserve"> </w:t>
      </w:r>
    </w:p>
    <w:p w:rsidR="00AC2131" w:rsidRDefault="00AC2131" w:rsidP="00AC2131">
      <w:pPr>
        <w:pStyle w:val="BodyText"/>
      </w:pPr>
      <w:r>
        <w:t xml:space="preserve">While tariff and budgetary assistance remains substantial and is readily quantified, other less transparent, and difficult to quantify forms of assistance can confer substantial assistance. </w:t>
      </w:r>
    </w:p>
    <w:p w:rsidR="00AC2131" w:rsidRDefault="00AC2131" w:rsidP="00AC2131">
      <w:pPr>
        <w:pStyle w:val="BodyText"/>
      </w:pPr>
      <w:r>
        <w:t xml:space="preserve">Although assistance generally benefits the receiving industry and businesses, it penalises other industries, taxpayers and consumers. Transparency about assistance arrangements is therefore paramount. </w:t>
      </w:r>
    </w:p>
    <w:p w:rsidR="00AC2131" w:rsidRDefault="00AC2131" w:rsidP="00AC2131">
      <w:pPr>
        <w:pStyle w:val="BodyText"/>
      </w:pPr>
      <w:r>
        <w:t xml:space="preserve">This </w:t>
      </w:r>
      <w:r w:rsidRPr="00C32639">
        <w:rPr>
          <w:i/>
        </w:rPr>
        <w:t>Review</w:t>
      </w:r>
      <w:r>
        <w:t xml:space="preserve"> reports the Commission’s latest estimates of tariff and budgetary assistance to industry, up to 30 June 2014. It also reports on:</w:t>
      </w:r>
    </w:p>
    <w:p w:rsidR="00AC2131" w:rsidRDefault="00AC2131" w:rsidP="00AC2131">
      <w:pPr>
        <w:pStyle w:val="ListBullet"/>
      </w:pPr>
      <w:r>
        <w:t>recent development in industry support</w:t>
      </w:r>
    </w:p>
    <w:p w:rsidR="00AC2131" w:rsidRDefault="00AC2131" w:rsidP="00AC2131">
      <w:pPr>
        <w:pStyle w:val="ListBullet"/>
      </w:pPr>
      <w:r>
        <w:t>emerging and now measurable patterns of trade and global value chains, and implications for trade and industry policy (including existing and proposed export assistance)</w:t>
      </w:r>
    </w:p>
    <w:p w:rsidR="00AC2131" w:rsidRDefault="00AC2131" w:rsidP="00AC2131">
      <w:pPr>
        <w:pStyle w:val="ListBullet"/>
      </w:pPr>
      <w:r>
        <w:t>the efficacy of governance of industry and firm-specific assistance</w:t>
      </w:r>
    </w:p>
    <w:p w:rsidR="00AC2131" w:rsidRDefault="00AC2131" w:rsidP="00AC2131">
      <w:pPr>
        <w:pStyle w:val="ListBullet"/>
      </w:pPr>
      <w:r>
        <w:t>recent developments in trade policy and material concerns about aspects of Australia’s trade agreements.</w:t>
      </w:r>
    </w:p>
    <w:p w:rsidR="00AC2131" w:rsidRDefault="00AC2131" w:rsidP="00AC2131">
      <w:pPr>
        <w:pStyle w:val="BodyText"/>
      </w:pPr>
      <w:r>
        <w:t xml:space="preserve">The Commission reporting covers only distinguishable and readily measured assistance to industry on an annual basis in relation to tariff and budgetary assistance to industry. As noted, these measures selectively benefit particular firms, industries or activities and can be quantified within practical constraints in measurement and data availability. Arrangements that may have assistance implications but are not part of the estimates include non-tariff barriers and government policies affecting the level and distribution of activity, including quarantine measures, regulatory restrictions on competition, general taxation and differential tax rates and government purchasing preferences and programs. Moreover, some forms of industry assistance are not fully provisioned for in the budget forward estimates (such as disaster relief to businesses and drought assistance). Assistance to industry provided by state governments (for example, regional development industry assistance including on a cost-shared basis with the Australian Government) is not included in the estimates. </w:t>
      </w:r>
    </w:p>
    <w:p w:rsidR="00AC2131" w:rsidRDefault="00AC2131" w:rsidP="00AC2131">
      <w:pPr>
        <w:pStyle w:val="BodyText"/>
      </w:pPr>
      <w:r>
        <w:lastRenderedPageBreak/>
        <w:t xml:space="preserve">Taken collectively, this means the assistance estimates provided in this </w:t>
      </w:r>
      <w:r w:rsidRPr="007D21C1">
        <w:rPr>
          <w:i/>
        </w:rPr>
        <w:t>Review</w:t>
      </w:r>
      <w:r>
        <w:t xml:space="preserve"> are unavoidably underestimates of the overall government assistance ultimately afforded firms, projects and industries.</w:t>
      </w:r>
    </w:p>
    <w:p w:rsidR="00AC2131" w:rsidRDefault="00AC2131" w:rsidP="00AC2131">
      <w:pPr>
        <w:pStyle w:val="BodyText"/>
      </w:pPr>
      <w:r>
        <w:t xml:space="preserve">Assessing whether the benefits of any particular support program exceed the costs requires detailed consideration as an imperative, indeed it is the cornerstone of good governance for industry assistance, but outside the scope of this </w:t>
      </w:r>
      <w:r w:rsidRPr="00FA0B1C">
        <w:rPr>
          <w:i/>
        </w:rPr>
        <w:t>Review</w:t>
      </w:r>
      <w:r>
        <w:t>.</w:t>
      </w:r>
    </w:p>
    <w:p w:rsidR="00AC2131" w:rsidRDefault="00AC2131" w:rsidP="00AC2131">
      <w:pPr>
        <w:pStyle w:val="Heading2"/>
      </w:pPr>
      <w:r>
        <w:t>Estimates of tariff and budgetary assistance to industry</w:t>
      </w:r>
    </w:p>
    <w:p w:rsidR="00AC2131" w:rsidRDefault="00AC2131" w:rsidP="00AC2131">
      <w:pPr>
        <w:pStyle w:val="BodyText"/>
      </w:pPr>
      <w:r w:rsidRPr="0004019F">
        <w:t xml:space="preserve">Australian Government </w:t>
      </w:r>
      <w:r>
        <w:t xml:space="preserve">tariff and budgetary assistance to industry was over </w:t>
      </w:r>
      <w:r w:rsidRPr="0004019F">
        <w:t>$</w:t>
      </w:r>
      <w:r>
        <w:t>17</w:t>
      </w:r>
      <w:r w:rsidRPr="0004019F">
        <w:t> billion in gross terms</w:t>
      </w:r>
      <w:r>
        <w:t xml:space="preserve"> in 2013</w:t>
      </w:r>
      <w:r>
        <w:noBreakHyphen/>
        <w:t>14</w:t>
      </w:r>
      <w:r w:rsidRPr="0004019F">
        <w:t xml:space="preserve"> — comprising $</w:t>
      </w:r>
      <w:r>
        <w:t>7.9</w:t>
      </w:r>
      <w:r w:rsidRPr="0004019F">
        <w:t xml:space="preserve"> billion in </w:t>
      </w:r>
      <w:r>
        <w:t xml:space="preserve">gross </w:t>
      </w:r>
      <w:r w:rsidRPr="0004019F">
        <w:t>tariff assistance, $</w:t>
      </w:r>
      <w:r>
        <w:t>4.1</w:t>
      </w:r>
      <w:r w:rsidRPr="0004019F">
        <w:t> billion of budgetary outlays and $</w:t>
      </w:r>
      <w:r>
        <w:t>5</w:t>
      </w:r>
      <w:r w:rsidRPr="0004019F">
        <w:t xml:space="preserve"> billion in tax concessions. </w:t>
      </w:r>
    </w:p>
    <w:p w:rsidR="00AC2131" w:rsidRDefault="00AC2131" w:rsidP="00AC2131">
      <w:pPr>
        <w:pStyle w:val="BodyText"/>
      </w:pPr>
      <w:r w:rsidRPr="0004019F">
        <w:t>After allowing for the cost to business of tariffs on imported inputs ($</w:t>
      </w:r>
      <w:r>
        <w:t>7.3</w:t>
      </w:r>
      <w:r w:rsidRPr="0004019F">
        <w:t xml:space="preserve"> billion), estimated net assistance </w:t>
      </w:r>
      <w:r>
        <w:t xml:space="preserve">across all sectors </w:t>
      </w:r>
      <w:r w:rsidRPr="0004019F">
        <w:t>was $</w:t>
      </w:r>
      <w:r>
        <w:t>9.7</w:t>
      </w:r>
      <w:r w:rsidRPr="0004019F">
        <w:t> billion</w:t>
      </w:r>
      <w:r>
        <w:t xml:space="preserve"> in 2013</w:t>
      </w:r>
      <w:r>
        <w:noBreakHyphen/>
        <w:t>14 — an increase of around $1.2 billion in nominal terms (or 14 per cent) from 2012</w:t>
      </w:r>
      <w:r>
        <w:noBreakHyphen/>
        <w:t xml:space="preserve">13 levels </w:t>
      </w:r>
    </w:p>
    <w:p w:rsidR="00AC2131" w:rsidRDefault="00AC2131" w:rsidP="00AC2131">
      <w:pPr>
        <w:pStyle w:val="BodyText"/>
      </w:pPr>
      <w:r>
        <w:t xml:space="preserve">The sectoral incidence of output tariff assistance, budgetary support and the input penalty of tariffs differs markedly (figure 1). Most notably, the manufacturing sector receives the highest level of net assistance — mainly because of tariff assistance on its outputs, conferred by the 5 per cent tariff on around half of tariff line items. In contrast, the services sector incurs around two thirds of the tariff penalty on inputs and negative net assistance overall — the $4.3 billion of budgetary support is outweighed by the $4.9 billion cost impost of tariffs on the sector’s imported inputs. </w:t>
      </w:r>
    </w:p>
    <w:p w:rsidR="00AC2131" w:rsidRDefault="00AC2131" w:rsidP="00AC2131">
      <w:pPr>
        <w:pStyle w:val="BodyText"/>
      </w:pPr>
      <w:r>
        <w:t xml:space="preserve">While tariffs today are much lower than they were historically and tariff quotas no longer apply (affording rates of assistance as high as 125 per cent in 1985 have fallen to a maximum of 5 per cent today), tariffs still ‘tax’ every Australian by around $150 each year. And by adding $7.3 billion to business costs, they are taxing Australia’s exporters and other businesses. </w:t>
      </w:r>
    </w:p>
    <w:p w:rsidR="00AC2131" w:rsidRDefault="00AC2131" w:rsidP="00AC2131">
      <w:pPr>
        <w:pStyle w:val="BodyText"/>
      </w:pPr>
      <w:r>
        <w:t>The estimated value of budgetary assistance amounted to $9.1 billion (outlays plus tax concessions) in 2013</w:t>
      </w:r>
      <w:r>
        <w:noBreakHyphen/>
        <w:t xml:space="preserve">14, up from around $7.8 billion the previous year (figure 2). The largest increases were from </w:t>
      </w:r>
      <w:r w:rsidRPr="007B2759">
        <w:t>the Small Business Simplified Depreciation Rules ($1.5</w:t>
      </w:r>
      <w:r>
        <w:t> </w:t>
      </w:r>
      <w:r w:rsidRPr="007B2759">
        <w:t>billion), the Australian Renewable Energy Agency ($200</w:t>
      </w:r>
      <w:r>
        <w:t> </w:t>
      </w:r>
      <w:r w:rsidRPr="007B2759">
        <w:t xml:space="preserve">million) and </w:t>
      </w:r>
      <w:r>
        <w:t>the Carbon Capture and Storage Flagships Program ($88 million)</w:t>
      </w:r>
      <w:r w:rsidRPr="007B2759">
        <w:t>.</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1</w:t>
            </w:r>
            <w:r>
              <w:tab/>
              <w:t>The incidence of assistance varies widely across industries, 2013</w:t>
            </w:r>
            <w:r>
              <w:noBreakHyphen/>
              <w:t>14</w:t>
            </w:r>
          </w:p>
          <w:p w:rsidR="00AC2131" w:rsidRPr="00176D3F" w:rsidRDefault="00AC2131" w:rsidP="00AC2131">
            <w:pPr>
              <w:pStyle w:val="Subtitle"/>
            </w:pPr>
            <w:r>
              <w:t xml:space="preserve">$ billion (nominal) </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Pr="003A4603" w:rsidRDefault="00AC2131" w:rsidP="00AC2131">
                  <w:pPr>
                    <w:pStyle w:val="TableColumnHeading"/>
                    <w:jc w:val="center"/>
                    <w:rPr>
                      <w:b/>
                    </w:rPr>
                  </w:pPr>
                  <w:r w:rsidRPr="003A4603">
                    <w:rPr>
                      <w:b/>
                      <w:noProof/>
                      <w:lang w:val="en-GB" w:eastAsia="en-GB"/>
                    </w:rPr>
                    <w:t>Components of assistance</w:t>
                  </w:r>
                </w:p>
              </w:tc>
            </w:tr>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74BBE299" wp14:editId="66F10AA1">
                        <wp:extent cx="5400040" cy="2880995"/>
                        <wp:effectExtent l="0" t="0" r="0" b="0"/>
                        <wp:docPr id="4" name="Picture 4" descr="Figure 1 presents the sectoral incidence of output tariff assistance, budgetary support and the input penalty of tariffs in  2013-14. The top panel shows the components of assistance. The bottom panel shows net combined assistance.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r w:rsidRPr="00E5009A" w:rsidDel="00E5009A">
                    <w:t xml:space="preserve"> </w:t>
                  </w:r>
                </w:p>
              </w:tc>
            </w:tr>
            <w:tr w:rsidR="00AC2131" w:rsidTr="00AC2131">
              <w:trPr>
                <w:jc w:val="center"/>
              </w:trPr>
              <w:tc>
                <w:tcPr>
                  <w:tcW w:w="5000" w:type="pct"/>
                  <w:tcBorders>
                    <w:top w:val="nil"/>
                    <w:bottom w:val="nil"/>
                  </w:tcBorders>
                </w:tcPr>
                <w:p w:rsidR="00AC2131" w:rsidRPr="005D794D" w:rsidRDefault="00AC2131" w:rsidP="00AC2131">
                  <w:pPr>
                    <w:pStyle w:val="TableColumnHeading"/>
                    <w:jc w:val="center"/>
                    <w:rPr>
                      <w:rFonts w:cs="Arial"/>
                      <w:i w:val="0"/>
                      <w:szCs w:val="18"/>
                    </w:rPr>
                  </w:pPr>
                  <w:r w:rsidRPr="003A4603">
                    <w:rPr>
                      <w:b/>
                      <w:noProof/>
                      <w:lang w:val="en-GB" w:eastAsia="en-GB"/>
                    </w:rPr>
                    <w:t>Net combined assistance</w:t>
                  </w:r>
                </w:p>
              </w:tc>
            </w:tr>
            <w:tr w:rsidR="00AC2131" w:rsidRPr="005274A3" w:rsidTr="00AC2131">
              <w:trPr>
                <w:jc w:val="center"/>
              </w:trPr>
              <w:tc>
                <w:tcPr>
                  <w:tcW w:w="5000" w:type="pct"/>
                  <w:tcBorders>
                    <w:top w:val="nil"/>
                    <w:bottom w:val="nil"/>
                  </w:tcBorders>
                </w:tcPr>
                <w:p w:rsidR="00AC2131" w:rsidRPr="003A4603" w:rsidRDefault="00AC2131" w:rsidP="00AC2131">
                  <w:pPr>
                    <w:pStyle w:val="Figure"/>
                    <w:keepLines/>
                    <w:spacing w:before="60" w:after="60"/>
                    <w:rPr>
                      <w:rFonts w:ascii="Arial" w:hAnsi="Arial" w:cs="Arial"/>
                      <w:noProof/>
                      <w:sz w:val="18"/>
                      <w:szCs w:val="18"/>
                      <w:lang w:val="en-GB" w:eastAsia="en-GB"/>
                    </w:rPr>
                  </w:pPr>
                  <w:r>
                    <w:rPr>
                      <w:rFonts w:ascii="Arial" w:hAnsi="Arial" w:cs="Arial"/>
                      <w:noProof/>
                      <w:sz w:val="18"/>
                      <w:szCs w:val="18"/>
                    </w:rPr>
                    <w:drawing>
                      <wp:inline distT="0" distB="0" distL="0" distR="0" wp14:anchorId="4831B6DA" wp14:editId="3640A668">
                        <wp:extent cx="5400040" cy="2880995"/>
                        <wp:effectExtent l="0" t="0" r="0" b="0"/>
                        <wp:docPr id="8" name="Picture 8" descr="Figure 1 presents the sectoral incidence of output tariff assistance, budgetary support and the input penalty of tariffs in  2013-14. The top panel shows the components of assistance. The bottom panel shows net combined assistance.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AC2131" w:rsidRDefault="00AC2131" w:rsidP="00AC2131">
            <w:pPr>
              <w:pStyle w:val="Figur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2</w:t>
            </w:r>
            <w:r>
              <w:tab/>
              <w:t>Budgetary assistance to industry increased in 2013</w:t>
            </w:r>
            <w:r>
              <w:noBreakHyphen/>
              <w:t>14</w:t>
            </w:r>
          </w:p>
          <w:p w:rsidR="00AC2131" w:rsidRPr="00176D3F" w:rsidRDefault="00AC2131" w:rsidP="00AC2131">
            <w:pPr>
              <w:pStyle w:val="Subtitle"/>
            </w:pPr>
            <w:r>
              <w:t>$ billion (nominal)</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6E50BDFE" wp14:editId="2A95B069">
                        <wp:extent cx="5400040" cy="2880995"/>
                        <wp:effectExtent l="0" t="0" r="0" b="0"/>
                        <wp:docPr id="11" name="Picture 11" descr="Figure 2 presents the estimated value of budgetary assistance (outlays plus tax concessions) from 2008-09 to 2013-14.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AC2131" w:rsidRDefault="00AC2131" w:rsidP="00AC2131">
            <w:pPr>
              <w:pStyle w:val="Figur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The effective rate of assistance — net assistance per unit of value added — was around 4 per cent for the manufacturing sector, nearly 3 per cent for the primary production sector and less than 1 per cent for mining. At the industry group level, the highest measured effective rates of assistance continued to be for the </w:t>
      </w:r>
      <w:r w:rsidRPr="00345AA6">
        <w:rPr>
          <w:i/>
        </w:rPr>
        <w:t>Motor vehicles</w:t>
      </w:r>
      <w:r>
        <w:rPr>
          <w:i/>
        </w:rPr>
        <w:t xml:space="preserve"> and parts</w:t>
      </w:r>
      <w:r w:rsidRPr="00345AA6">
        <w:rPr>
          <w:i/>
        </w:rPr>
        <w:t xml:space="preserve"> </w:t>
      </w:r>
      <w:r w:rsidRPr="00854DFE">
        <w:t>and</w:t>
      </w:r>
      <w:r>
        <w:t xml:space="preserve"> the</w:t>
      </w:r>
      <w:r w:rsidRPr="00345AA6">
        <w:rPr>
          <w:i/>
        </w:rPr>
        <w:t xml:space="preserve"> </w:t>
      </w:r>
      <w:r>
        <w:rPr>
          <w:i/>
        </w:rPr>
        <w:t>T</w:t>
      </w:r>
      <w:r w:rsidRPr="00345AA6">
        <w:rPr>
          <w:i/>
        </w:rPr>
        <w:t>extiles, leather,</w:t>
      </w:r>
      <w:r>
        <w:t xml:space="preserve"> </w:t>
      </w:r>
      <w:r>
        <w:rPr>
          <w:i/>
        </w:rPr>
        <w:t>c</w:t>
      </w:r>
      <w:r w:rsidRPr="00345AA6">
        <w:rPr>
          <w:i/>
        </w:rPr>
        <w:t>lothing and footwear</w:t>
      </w:r>
      <w:r>
        <w:t xml:space="preserve"> industry groups. With the reduction in tariffs from an most favoured nation (MFN) rate of 10 to 5 per cent on selected textile and clothing items on </w:t>
      </w:r>
      <w:r w:rsidRPr="00832583">
        <w:t>1</w:t>
      </w:r>
      <w:r>
        <w:t xml:space="preserve"> January 2015, net assistance to textile, clothing and footwear activities will decline further. </w:t>
      </w:r>
    </w:p>
    <w:p w:rsidR="00AC2131" w:rsidRDefault="00AC2131" w:rsidP="00AC2131">
      <w:pPr>
        <w:pStyle w:val="BodyText"/>
      </w:pPr>
      <w:r>
        <w:t xml:space="preserve">With MFN tariffs remaining in place under current settings, a tariff penalty on imported vehicles, textiles, clothing and footwear together with other manufactures will remain. </w:t>
      </w:r>
    </w:p>
    <w:p w:rsidR="00AC2131" w:rsidRDefault="00AC2131" w:rsidP="00AC2131">
      <w:pPr>
        <w:pStyle w:val="Heading2"/>
        <w:ind w:left="0" w:firstLine="0"/>
      </w:pPr>
      <w:r>
        <w:t>Recent developments in industry assistance — some swings and roundabouts</w:t>
      </w:r>
    </w:p>
    <w:p w:rsidR="00AC2131" w:rsidRDefault="00AC2131" w:rsidP="00AC2131">
      <w:pPr>
        <w:pStyle w:val="BodyText"/>
      </w:pPr>
      <w:r>
        <w:t xml:space="preserve">Since May 2014 (the reporting date for the 2012-13 </w:t>
      </w:r>
      <w:r w:rsidRPr="00C01201">
        <w:rPr>
          <w:i/>
        </w:rPr>
        <w:t>Review</w:t>
      </w:r>
      <w:r w:rsidRPr="00A87736">
        <w:t>)</w:t>
      </w:r>
      <w:r>
        <w:t>,</w:t>
      </w:r>
      <w:r w:rsidRPr="00C01201">
        <w:t xml:space="preserve"> </w:t>
      </w:r>
      <w:r>
        <w:t xml:space="preserve">the Australian Government has announced a suite of budgetary and regulatory measures relating to industry assistance, across a range of activities. The major and readily distinguishable announcements (identified for reporting in this </w:t>
      </w:r>
      <w:r w:rsidRPr="003C4F72">
        <w:rPr>
          <w:i/>
        </w:rPr>
        <w:t>Review)</w:t>
      </w:r>
      <w:r>
        <w:t xml:space="preserve"> include new expenditures involving around $1.5 billion, over the budget forward estimates, as well as reductions of around $1.3 billion. Ascertaining the net additional assistance implied by the announced allocations is not straightforward. It requires accounting for funds brought forward or transferred from previous programs. Furthermore, some announcements were subject to </w:t>
      </w:r>
      <w:r>
        <w:lastRenderedPageBreak/>
        <w:t xml:space="preserve">attaining legislative backing while other measures announced are demand driven and the level of support may eventually be higher or lower than the announced estimate. </w:t>
      </w:r>
    </w:p>
    <w:p w:rsidR="00AC2131" w:rsidRDefault="00AC2131" w:rsidP="00AC2131">
      <w:pPr>
        <w:pStyle w:val="BodyText"/>
      </w:pPr>
      <w:r>
        <w:t xml:space="preserve">A major announcement relates to measures detailed in the </w:t>
      </w:r>
      <w:r w:rsidRPr="003C4F72">
        <w:rPr>
          <w:i/>
        </w:rPr>
        <w:t>Industry Innovation</w:t>
      </w:r>
      <w:r>
        <w:rPr>
          <w:i/>
        </w:rPr>
        <w:t xml:space="preserve"> and</w:t>
      </w:r>
      <w:r w:rsidRPr="003C4F72">
        <w:rPr>
          <w:i/>
        </w:rPr>
        <w:t xml:space="preserve"> Competitiveness Agenda</w:t>
      </w:r>
      <w:r>
        <w:t xml:space="preserve">. The </w:t>
      </w:r>
      <w:r w:rsidRPr="001D2A49">
        <w:t>Agenda</w:t>
      </w:r>
      <w:r>
        <w:t xml:space="preserve"> is intended to strengthen Australia’s productivity and competitiveness including Australia’s export (and import competing) competitiveness. In addition to a range of measures intended to improve the general business environment, such as lowering the company tax, the Agenda includes: an Entrepreneurs Infrastructure Program ($484 million over four years); an Industry Skills Fund ($476 million over four years), an injection into the Export Finance and Insurance Corporation (a one-off $200 million) which reverses a withdrawal by the previous Government, reduced taxation of Employee Share Schemes ($200 million over four years); an Industry Growth Centres program ($188.5 million over four years), a Growth Fund to help build jobs in regions affected by closure of car manufacturing plants ($155 million over four years); a Manufacturing Transition Programme ($50 million over four years) and increased funding for Export Market Development Grants ($50 million over four years). While substantial, around half of the announced industry-program total expenditure of $1.7 billion was offset by reductions from the cessation of other industry programs. </w:t>
      </w:r>
    </w:p>
    <w:p w:rsidR="00AC2131" w:rsidRDefault="00AC2131" w:rsidP="00AC2131">
      <w:pPr>
        <w:pStyle w:val="BodyText"/>
      </w:pPr>
      <w:r>
        <w:t xml:space="preserve">Continuing drought conditions in some locations culminated in changes to, and increases in, availability of farm assistance and farm household support. A new $100 million Drought Recovery Concessional Loans Scheme was announced (funded from within existing allocations). The Drought Recovery Concessional Loans Scheme parallels the existing Drought Concessional Loans scheme and the existing Farm Finance Concessional Loans scheme, with all three schemes having different eligibility, purpose and loan parameters. In addition, the new Farm Household Allowance arrangements raised the assets threshold test by over $1 million to $2.55 million, increasing the scope of claims. Other major agriculture support developments include the Rural R&amp;D Profit Policy Initiative — a $100 million extension to the existing rural research and development corporations — and the new National Landcare Programme (which the replaces the previous, more expensive, Landcare Programme). </w:t>
      </w:r>
    </w:p>
    <w:p w:rsidR="00AC2131" w:rsidRDefault="00AC2131" w:rsidP="00AC2131">
      <w:pPr>
        <w:pStyle w:val="BodyText"/>
      </w:pPr>
      <w:r>
        <w:t>Other major assistance developments, outside of the Competitiveness Agenda and the agriculture sector, include an expansion of the Tasmanian Freight Equalisation Scheme ($203 million) and a minerals Exploration Development Incentive for small companies ($100 million).</w:t>
      </w:r>
    </w:p>
    <w:p w:rsidR="00AC2131" w:rsidRDefault="00AC2131" w:rsidP="00AC2131">
      <w:pPr>
        <w:pStyle w:val="BodyText"/>
      </w:pPr>
      <w:r>
        <w:t>Government-initiated reductions in support comprise the now passed legislation denying large companies access to the R&amp;D Tax Incentive, which is expected to save $1.1 billion over the forward estimates.</w:t>
      </w:r>
    </w:p>
    <w:p w:rsidR="00AC2131" w:rsidRDefault="00AC2131" w:rsidP="00AC2131">
      <w:pPr>
        <w:pStyle w:val="BodyText"/>
      </w:pPr>
      <w:r>
        <w:t xml:space="preserve">A number of reviews were completed during the year including the broad ranging Competition Policy Review (Harper review) and the Financial System Inquiry (Murray inquiry). Among other matters, the Harper review recommended removal of restrictions on competition, for liner and coastal shipping, and that there be reviews of other regulations to ensure that unnecessary restriction on competition be removed. It identified three areas as </w:t>
      </w:r>
      <w:r>
        <w:lastRenderedPageBreak/>
        <w:t xml:space="preserve">priorities for immediate attention — planning zoning rules, the regulation of taxis and mandatory product standards (in particular greater acceptance on international product standards). Other areas of restrictions on competition identified for action, include professional occupational licensing, broadcast media rules, liquor and gambling regulation, private health insurance regulation, agricultural marketing rules and air services restrictions. It also identified three areas for consideration of immediate reform — restrictions on retail trading hours, parallel import restrictions on books and second-hand cars and pharmacy ownership and location. The Harper review also recommended reforms intended to reduce geographic price discrimination (such as traditionally for books and emerging with geoblocking for online video content service providers like Netflix and Hulu). </w:t>
      </w:r>
    </w:p>
    <w:p w:rsidR="00AC2131" w:rsidRDefault="00AC2131" w:rsidP="00AC2131">
      <w:pPr>
        <w:pStyle w:val="BodyText"/>
      </w:pPr>
      <w:r>
        <w:t xml:space="preserve">The Murray inquiry concluded that the potential overregulation of financial innovators would risk repressing an important source of competition. It made recommendations intended to encourage competition to seek to remove impediments to the take up of new technologies and the developments of the financial system. It also recommended stronger capital requirements (to improve resilience to market fluctuations) which will also act to reduce the implicit Government guarantee of authorised deposit taking institutions and introduce an element of competitor neutrality across financial institutions. </w:t>
      </w:r>
    </w:p>
    <w:p w:rsidR="00AC2131" w:rsidRDefault="00AC2131" w:rsidP="00AC2131">
      <w:pPr>
        <w:pStyle w:val="BodyText"/>
      </w:pPr>
      <w:r>
        <w:t>Effective use of these reports by government can offset some of the unhealthy trends in industry assistance and preferential trade regulation.</w:t>
      </w:r>
    </w:p>
    <w:p w:rsidR="00AC2131" w:rsidRDefault="00AC2131" w:rsidP="00AC2131">
      <w:pPr>
        <w:pStyle w:val="Heading2"/>
        <w:ind w:left="0" w:firstLine="0"/>
      </w:pPr>
      <w:r>
        <w:t>What do emerging patterns of trade and global value chains mean for trade and industry policy?</w:t>
      </w:r>
    </w:p>
    <w:p w:rsidR="00AC2131" w:rsidRDefault="00AC2131" w:rsidP="00AC2131">
      <w:pPr>
        <w:pStyle w:val="BodyText"/>
      </w:pPr>
      <w:r w:rsidRPr="00867B27">
        <w:t>World trade and production are increasingly structured around ‘global value chains’ (GVCs)</w:t>
      </w:r>
      <w:r>
        <w:t>.</w:t>
      </w:r>
      <w:r w:rsidRPr="00867B27">
        <w:t xml:space="preserve"> A value chain identifies the full range of activities that firms undertake to bring a product or a service from its conception to its end use. </w:t>
      </w:r>
      <w:r>
        <w:t>Continued t</w:t>
      </w:r>
      <w:r w:rsidRPr="00867B27">
        <w:t>echnological progress</w:t>
      </w:r>
      <w:r>
        <w:t xml:space="preserve"> and </w:t>
      </w:r>
      <w:r w:rsidRPr="00867B27">
        <w:t xml:space="preserve">trade-cost reductions, </w:t>
      </w:r>
      <w:r>
        <w:t>reduced barriers to trade and investment, and economic liberalisation</w:t>
      </w:r>
      <w:r w:rsidRPr="00867B27">
        <w:t xml:space="preserve"> have </w:t>
      </w:r>
      <w:r>
        <w:t xml:space="preserve">accelerated </w:t>
      </w:r>
      <w:r w:rsidRPr="00867B27">
        <w:t>the geographical fragmentation of production processes across the globe</w:t>
      </w:r>
      <w:r>
        <w:t xml:space="preserve"> — particularly since the early 1990s (figure 3).</w:t>
      </w:r>
    </w:p>
    <w:p w:rsidR="00AC2131" w:rsidRDefault="00AC2131" w:rsidP="00AC2131">
      <w:pPr>
        <w:pStyle w:val="BodyText"/>
      </w:pPr>
      <w:r>
        <w:t xml:space="preserve">One consequence of the fragmentation of production across regions and industries is that gross merchandise and services export statistics blur the industry and country of origin of the value added (and income) generated in the production process. Most observed (gross) trade is in manufactures — estimated to account for 67 per cent of global trade — and is well above direct trade in services, which accounts for around 20 per cent. Importantly, however, because value added from services is embodied in merchandise exports (notably through transport, business and financial services), service industries are more important in trade than trade-flow data suggests. From a value adding perspective, services are of equal importance to manufacturing, each accounting for about 40 per cent of exports at a global level. For Australia, manufactures historically comprise around 40 per cent of observed exports (although this is changing with the terms of trade boom and is aftermath), but </w:t>
      </w:r>
      <w:r>
        <w:lastRenderedPageBreak/>
        <w:t>accounting for only around 14 per cent on a value added basis (figure 4) — well below the global average.</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sidRPr="005274A3">
              <w:rPr>
                <w:b w:val="0"/>
              </w:rPr>
              <w:t>3</w:t>
            </w:r>
            <w:r>
              <w:tab/>
              <w:t>Global value chain activity has increased since 1990</w:t>
            </w:r>
            <w:r w:rsidRPr="005C661C">
              <w:rPr>
                <w:rStyle w:val="NoteLabel"/>
                <w:b/>
              </w:rPr>
              <w:t>a</w:t>
            </w:r>
          </w:p>
          <w:p w:rsidR="00AC2131" w:rsidRPr="00176D3F" w:rsidRDefault="00AC2131" w:rsidP="00AC2131">
            <w:pPr>
              <w:pStyle w:val="Subtitle"/>
            </w:pPr>
            <w:r>
              <w:t>Ratio of gross exports to value added generated in exporting</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4E5CF544" wp14:editId="5F3A01F3">
                        <wp:extent cx="5400675" cy="3600450"/>
                        <wp:effectExtent l="0" t="0" r="9525" b="0"/>
                        <wp:docPr id="7" name="Picture 7" descr="Figure 3 outlines the increase in global value-added exports relative to the global gross value of exports, particularly since the early 1990s. More details of this pattern can be found within the text surrounding figure 2.4 in chapter 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675" cy="36004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Note"/>
            </w:pPr>
            <w:r>
              <w:rPr>
                <w:rStyle w:val="NoteLabel"/>
              </w:rPr>
              <w:t>a</w:t>
            </w:r>
            <w:r>
              <w:t> Ratio of the global gross value of exports to the value added in exports</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The recent availability of global value added in trade data provides valuable insights into trade and assistance policy foundations. The key policy take-outs reinforce several established policy imperatives, including: </w:t>
      </w:r>
    </w:p>
    <w:p w:rsidR="00AC2131" w:rsidRDefault="00AC2131" w:rsidP="00AC2131">
      <w:pPr>
        <w:pStyle w:val="ListBullet"/>
        <w:rPr>
          <w:szCs w:val="24"/>
        </w:rPr>
      </w:pPr>
      <w:r>
        <w:t>m</w:t>
      </w:r>
      <w:r w:rsidRPr="00236BF1">
        <w:t>ultilateral trade reform is the most effective way to improve national and global welfare</w:t>
      </w:r>
      <w:r>
        <w:t xml:space="preserve"> and understanding the ultimate net benefits of bilateral or regional preferential agreements needs to be informed by an understanding of these insights;</w:t>
      </w:r>
      <w:r w:rsidDel="00D7326C">
        <w:t xml:space="preserve"> </w:t>
      </w:r>
    </w:p>
    <w:p w:rsidR="00AC2131" w:rsidRPr="00FF26AB" w:rsidRDefault="00AC2131" w:rsidP="00AC2131">
      <w:pPr>
        <w:pStyle w:val="ListBullet"/>
        <w:rPr>
          <w:szCs w:val="24"/>
        </w:rPr>
      </w:pPr>
      <w:r>
        <w:t>policies that seek to lower imported input costs and other business costs have the best chance of fostering firm and economic growth;</w:t>
      </w:r>
      <w:r w:rsidDel="00504C5E">
        <w:t xml:space="preserve"> </w:t>
      </w:r>
      <w:r>
        <w:t>and</w:t>
      </w:r>
    </w:p>
    <w:p w:rsidR="00AC2131" w:rsidRDefault="00AC2131" w:rsidP="00AC2131">
      <w:pPr>
        <w:pStyle w:val="ListBullet"/>
      </w:pPr>
      <w:r>
        <w:t>polic</w:t>
      </w:r>
      <w:r w:rsidR="00B84BBE">
        <w:t>ies</w:t>
      </w:r>
      <w:r>
        <w:t xml:space="preserve"> that seek to support (at times ill-informed) priority sectors unavoidably risk disadvantaging more competitive activities. </w:t>
      </w:r>
    </w:p>
    <w:p w:rsidR="00AC2131" w:rsidRDefault="00AC2131" w:rsidP="00AC2131">
      <w:pPr>
        <w:pStyle w:val="BodyText"/>
      </w:pPr>
      <w:r>
        <w:t>This broader picture of export value generation also suggests that there should be increased priority given to addressing impediments to the efficiency of services used indirectly in exports of manufactures, agriculture and resources, and of direct service exports.</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4</w:t>
            </w:r>
            <w:r>
              <w:tab/>
              <w:t>Australian exports in gross and value added terms, 2008</w:t>
            </w:r>
            <w:r>
              <w:noBreakHyphen/>
              <w:t>09</w:t>
            </w:r>
          </w:p>
          <w:p w:rsidR="00AC2131" w:rsidRPr="00176D3F" w:rsidRDefault="00AC2131" w:rsidP="00AC2131">
            <w:pPr>
              <w:pStyle w:val="Subtitle"/>
            </w:pPr>
            <w:r>
              <w:t>per cent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15D6BC1C" wp14:editId="69FB32B2">
                        <wp:extent cx="5400040" cy="2734310"/>
                        <wp:effectExtent l="0" t="0" r="0" b="8890"/>
                        <wp:docPr id="10" name="Picture 10" descr="Figure 4 presents Australian exports in both gross and value added terms for the agriculture, mining, manufacturing and services sectors in 2008-09.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040" cy="2734310"/>
                                </a:xfrm>
                                <a:prstGeom prst="rect">
                                  <a:avLst/>
                                </a:prstGeom>
                                <a:noFill/>
                                <a:ln>
                                  <a:noFill/>
                                </a:ln>
                              </pic:spPr>
                            </pic:pic>
                          </a:graphicData>
                        </a:graphic>
                      </wp:inline>
                    </w:drawing>
                  </w:r>
                </w:p>
              </w:tc>
            </w:tr>
          </w:tbl>
          <w:p w:rsidR="00AC2131" w:rsidRDefault="00AC2131" w:rsidP="00AC2131">
            <w:pPr>
              <w:pStyle w:val="Figure"/>
            </w:pP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The evolution of global value chains reinforces the reality that imports are essential for exports and that barriers and cost imposts to imported inputs act as a tax on exports. And while transparent tariff barriers have been significantly reduced, unilaterally and multi-laterally, the increasingly global fragmentation of production of a final good further elevates the priority for eliminating the remaining tariffs and addressing less transparent non-tariff barriers to trade. Australia still retains a 5 per cent tariff on about 50 per cent of goods and the cost impost falls heavily on the services industries.</w:t>
      </w:r>
    </w:p>
    <w:p w:rsidR="00AC2131" w:rsidRDefault="00AC2131" w:rsidP="00AC2131">
      <w:pPr>
        <w:pStyle w:val="BodyText"/>
      </w:pPr>
      <w:r>
        <w:t>Policies that are non-discriminatory, that are focused on removing impediments to business activity, and that are also focused on reducing business costs have the best chance of fostering economic growth and higher incomes. Policies that seek to direct resources and effort according to priority sectors unavoidably risk disadvantaging other activities and firms that may be more competitive and have better prospects in global markets.</w:t>
      </w:r>
    </w:p>
    <w:p w:rsidR="00AC2131" w:rsidRDefault="00AC2131" w:rsidP="00AC2131">
      <w:pPr>
        <w:pStyle w:val="BodyText"/>
      </w:pPr>
      <w:r>
        <w:t xml:space="preserve">The Australian Government seeks to influence Australia’s export volume and pattern through a variety of selective measures, not all of which are well-considered. The sheer diversity of export support programs in place in Australia, the quantum of support (over $900 million in 2013-14 alone) and the tendency towards targeting assistance to selected activities and firms is likely to be challenged by the ever growing globalisation of production. </w:t>
      </w:r>
    </w:p>
    <w:p w:rsidR="00AC2131" w:rsidRDefault="00AC2131" w:rsidP="00AC2131">
      <w:pPr>
        <w:pStyle w:val="BodyText"/>
      </w:pPr>
      <w:r>
        <w:t xml:space="preserve">There is an emerging imperative to undertake a holistic and independent assessment of the cost-effectiveness of Australia’s export assistance and related industry support. Any such review can draw upon the newly available insights provided by the global value-added trade flows information. </w:t>
      </w:r>
    </w:p>
    <w:p w:rsidR="00AC2131" w:rsidRDefault="00AC2131" w:rsidP="00AC2131">
      <w:pPr>
        <w:pStyle w:val="Heading2"/>
        <w:ind w:left="0" w:firstLine="0"/>
      </w:pPr>
      <w:r>
        <w:lastRenderedPageBreak/>
        <w:t>Good governance matters for industry and especially firm-specific assistance</w:t>
      </w:r>
    </w:p>
    <w:p w:rsidR="00AC2131" w:rsidRDefault="00AC2131" w:rsidP="00AC2131">
      <w:pPr>
        <w:pStyle w:val="BodyText"/>
      </w:pPr>
      <w:r>
        <w:t>Calls for firm-specific assistance have emerged in recent years. Where financial support has been provided and is firm specific, it has at times been termed an ‘investment’ or ‘co-investment’ by government (figure 5). Over the three years to 2013</w:t>
      </w:r>
      <w:r>
        <w:noBreakHyphen/>
        <w:t>14, nearly $160 million in ‘co-investment’ grants to selected firms has been paid by the Australian Government and an (unanswered) call for a further $256 million has been made. And while only a small portion of total government assistance to industry, such payments can confer high levels of assistance at the individual firm or project level.</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pPr>
            <w:r>
              <w:rPr>
                <w:b w:val="0"/>
              </w:rPr>
              <w:t>Figure 5</w:t>
            </w:r>
            <w:r>
              <w:tab/>
              <w:t>Recent calls for firm-specific co-investment grants</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127A80EB" wp14:editId="00B06C6D">
                        <wp:extent cx="5400675" cy="1371600"/>
                        <wp:effectExtent l="0" t="0" r="9525" b="0"/>
                        <wp:docPr id="3" name="Picture 3" descr="Figure 5 lists recent calls for firm-specific co-investment grants. More details can be found within the text surrounding figure 3.3 in chapter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675" cy="137160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Note"/>
            </w:pP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Unlike a commercial investment, such financial support provided by government does not in substance constitute an equity shareholding or a debt instrument, has no associated cash or capital return requirement, bestows no voting or other shareholder rights on the government nor does the government rank as a creditor (secured or unsecured) in the event of business failure (figure 6). Rather, the return objective typically articulated is to maintain or enhance activity and employment of the recipient firm and its suppliers. As such, coining the term ‘co-investment’ for these forms of assistance is arguably a commercial misnomer. </w:t>
      </w:r>
    </w:p>
    <w:p w:rsidR="00AC2131" w:rsidRDefault="00AC2131" w:rsidP="00AC2131">
      <w:pPr>
        <w:pStyle w:val="BodyText"/>
        <w:tabs>
          <w:tab w:val="left" w:pos="5103"/>
        </w:tabs>
      </w:pPr>
      <w:r>
        <w:t xml:space="preserve">There has been welcome evidence of some recent government resistance in the awarding of such calls for further direct assistance to industries, firms and projects.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rPr>
                <w:i/>
              </w:rPr>
            </w:pPr>
            <w:r>
              <w:rPr>
                <w:b w:val="0"/>
              </w:rPr>
              <w:t>Figure 6</w:t>
            </w:r>
            <w:r>
              <w:tab/>
            </w:r>
            <w:r>
              <w:rPr>
                <w:lang w:eastAsia="en-US"/>
              </w:rPr>
              <w:t>The ‘investment’ continuum: government support to commercial financing</w:t>
            </w:r>
          </w:p>
        </w:tc>
      </w:tr>
      <w:tr w:rsidR="00AC2131" w:rsidTr="00AC2131">
        <w:trPr>
          <w:trHeight w:val="5959"/>
        </w:trPr>
        <w:tc>
          <w:tcPr>
            <w:tcW w:w="8771" w:type="dxa"/>
            <w:tcBorders>
              <w:top w:val="nil"/>
              <w:left w:val="nil"/>
              <w:bottom w:val="nil"/>
              <w:right w:val="nil"/>
            </w:tcBorders>
            <w:shd w:val="clear" w:color="auto" w:fill="auto"/>
            <w:tcMar>
              <w:top w:w="28" w:type="dxa"/>
              <w:bottom w:w="28" w:type="dxa"/>
            </w:tcMar>
          </w:tcPr>
          <w:p w:rsidR="00AC2131" w:rsidRDefault="00AC2131">
            <w:pPr>
              <w:pStyle w:val="Figure"/>
            </w:pPr>
            <w:r>
              <w:rPr>
                <w:noProof/>
              </w:rPr>
              <w:drawing>
                <wp:inline distT="0" distB="0" distL="0" distR="0" wp14:anchorId="05A182CF" wp14:editId="2023FBD2">
                  <wp:extent cx="5391150" cy="3924300"/>
                  <wp:effectExtent l="0" t="0" r="0" b="0"/>
                  <wp:docPr id="6" name="Picture 6" descr="Figure 6 outlines the ‘investment’ continuum from government support to commercial financing.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91150" cy="3924300"/>
                          </a:xfrm>
                          <a:prstGeom prst="rect">
                            <a:avLst/>
                          </a:prstGeom>
                          <a:noFill/>
                          <a:ln>
                            <a:noFill/>
                          </a:ln>
                        </pic:spPr>
                      </pic:pic>
                    </a:graphicData>
                  </a:graphic>
                </wp:inline>
              </w:drawing>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tabs>
          <w:tab w:val="left" w:pos="5103"/>
        </w:tabs>
      </w:pPr>
      <w:r>
        <w:t xml:space="preserve">The Commission, however, remains concerned about both the resource misallocation from preferred investments by the Commonwealth and States and the efficacy of governance processes used across the spectrum of assistance measures,. Even if governments are unconcerned about resource misallocation, they should at least do so on a well-informed basis. </w:t>
      </w:r>
    </w:p>
    <w:p w:rsidR="00AC2131" w:rsidRDefault="00AC2131" w:rsidP="00AC2131">
      <w:pPr>
        <w:pStyle w:val="BodyText"/>
        <w:tabs>
          <w:tab w:val="left" w:pos="5103"/>
        </w:tabs>
      </w:pPr>
      <w:r>
        <w:t xml:space="preserve">Figure 7 below outlines the core elements that need to be met to ensure good governance practice across assistance measures. Further a comparison of current governance compared to contemporary and comparable best practice reveals a concerning gap. In particular, pre-assistance due diligence to establish the relative merit for government involvement, along with post-assistance performance monitoring and evaluation processes against government objectives, falls short of a minimum acceptable standard. Moreover, a number of Commission </w:t>
      </w:r>
      <w:r w:rsidRPr="00FC0102">
        <w:t xml:space="preserve">evaluations have consistently found that </w:t>
      </w:r>
      <w:r>
        <w:t xml:space="preserve">many government assistance measures are unlikely to </w:t>
      </w:r>
      <w:r w:rsidRPr="00FC0102">
        <w:t>confer a net economic benefit to the Australian community.</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pPr>
            <w:r>
              <w:rPr>
                <w:b w:val="0"/>
              </w:rPr>
              <w:t>Figure 7</w:t>
            </w:r>
            <w:r>
              <w:tab/>
              <w:t>An appropriate assistance governance framework</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453"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53"/>
            </w:tblGrid>
            <w:tr w:rsidR="00AC2131" w:rsidTr="00AC2131">
              <w:trPr>
                <w:trHeight w:val="340"/>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37F5384E" wp14:editId="557DECAA">
                        <wp:extent cx="5365750" cy="2035810"/>
                        <wp:effectExtent l="0" t="0" r="0" b="2540"/>
                        <wp:docPr id="2" name="Picture 2" descr="Figure 7 outlines the core elements that need to be met to ensure good governance practice across assistance measures.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65750" cy="2035810"/>
                                </a:xfrm>
                                <a:prstGeom prst="rect">
                                  <a:avLst/>
                                </a:prstGeom>
                                <a:noFill/>
                                <a:ln>
                                  <a:noFill/>
                                </a:ln>
                              </pic:spPr>
                            </pic:pic>
                          </a:graphicData>
                        </a:graphic>
                      </wp:inline>
                    </w:drawing>
                  </w:r>
                </w:p>
              </w:tc>
            </w:tr>
          </w:tbl>
          <w:p w:rsidR="00AC2131" w:rsidRDefault="00AC2131" w:rsidP="00AC2131">
            <w:pPr>
              <w:pStyle w:val="Figure"/>
            </w:pP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2"/>
        <w:spacing w:before="360"/>
      </w:pPr>
      <w:r>
        <w:t>Recent developments in trade policy</w:t>
      </w:r>
      <w:r w:rsidDel="00853539">
        <w:t xml:space="preserve"> </w:t>
      </w:r>
    </w:p>
    <w:p w:rsidR="00AC2131" w:rsidRDefault="00AC2131" w:rsidP="00AC2131">
      <w:pPr>
        <w:pStyle w:val="Heading3"/>
        <w:spacing w:before="240"/>
      </w:pPr>
      <w:r>
        <w:t>Multilateral, plurilateral, regional and bilateral trade agreement activity</w:t>
      </w:r>
    </w:p>
    <w:p w:rsidR="00AC2131" w:rsidRDefault="00AC2131" w:rsidP="00AC2131">
      <w:pPr>
        <w:pStyle w:val="BodyText"/>
      </w:pPr>
      <w:r>
        <w:t>In the year to May 2015, Australia’s trade policy environment was influenced by several developments at the multilateral, plurilateral, regional and bilateral level. While some progress was made on aspects of the long running Doha round of trade negotiations under the World Trade Organization (WTO), these negotiations continue to be hampered by the inherent difficulties in reaching consensus among the 161 member countries under the requirement that the package of associated measures must be agreed to</w:t>
      </w:r>
      <w:r w:rsidRPr="00D06210">
        <w:t xml:space="preserve"> </w:t>
      </w:r>
      <w:r>
        <w:t>collectively — the single undertaking approach. Nevertheless, multilateral trade reform remains the most effective way to improve national and global welfare compared with preferential agreements for which the net impacts are typically opaque and which discriminate against non-parties to those agreements. Well-founded unilateral reform based on most favoured nation and national treatment principles can afford larger and timelier economic gains than achievable through preferential deals.</w:t>
      </w:r>
    </w:p>
    <w:p w:rsidR="00AC2131" w:rsidRDefault="00AC2131" w:rsidP="00AC2131">
      <w:pPr>
        <w:pStyle w:val="BodyText"/>
      </w:pPr>
      <w:r>
        <w:t>The lack of progress in multilateral forums has accelerated agreement-making at the bilateral and regional or plurilateral level including by Australia. During the year, Australia’s bilateral agreements with Korea and Japan entered into force, negotiations for trade agreement with China concluded and negotiations for bilateral agreements with several countries including India and Indonesia continued. Australia also participated in negotiations for two significant regional agreements — the Trans Pacific Partnership Agreement and Regional Comprehensive Economic Partnership Agreement.</w:t>
      </w:r>
    </w:p>
    <w:p w:rsidR="00AC2131" w:rsidRDefault="00AC2131" w:rsidP="00AC2131">
      <w:pPr>
        <w:pStyle w:val="BodyText"/>
      </w:pPr>
      <w:r>
        <w:t>The negotiation and commitment processes for these agreements have raised concerns about a lack of both transparency of the provisions being negotiated and rigorous assessment before the Australian government commits to signing. Post-negotiation assessments can only result in the Government deciding not to proceed with ratification.</w:t>
      </w:r>
    </w:p>
    <w:p w:rsidR="00AC2131" w:rsidRDefault="00AC2131" w:rsidP="00AC2131">
      <w:pPr>
        <w:pStyle w:val="Heading3"/>
      </w:pPr>
      <w:r>
        <w:lastRenderedPageBreak/>
        <w:t xml:space="preserve">Investor State Dispute Settlement activity </w:t>
      </w:r>
    </w:p>
    <w:p w:rsidR="00AC2131" w:rsidRPr="00F94B15" w:rsidRDefault="00AC2131" w:rsidP="00AC2131">
      <w:pPr>
        <w:pStyle w:val="BodyText"/>
        <w:rPr>
          <w:rStyle w:val="BodyTextChar"/>
        </w:rPr>
      </w:pPr>
      <w:r>
        <w:t xml:space="preserve">The Australian Government continued defence of its tobacco plain packaging laws in a case brought by Philip Morris Asia in the Permanent Court of Arbitration and a number of countries in the WTO dispute settlement body. This case highlights the potential (and un-provisioned) contingent liability of Investor State Dispute Settlement (ISDS) provisions in trade and investment agreements that confer procedural rights to foreign investors not available to domestic residents. </w:t>
      </w:r>
      <w:r w:rsidRPr="00F94B15">
        <w:rPr>
          <w:rStyle w:val="BodyTextChar"/>
        </w:rPr>
        <w:t>The final outcome of the case is not expected to be known for some time. The ongoing costs to Australian taxpayers of funding the preparation and defence of the tobacco plain packaging legislation, and the ultimate ruling, are unknown, unfunded and likely to be substantial.</w:t>
      </w:r>
    </w:p>
    <w:p w:rsidR="00AC2131" w:rsidRDefault="00AC2131" w:rsidP="00AC2131">
      <w:pPr>
        <w:pStyle w:val="Heading3"/>
      </w:pPr>
      <w:r>
        <w:t>Anti-dumping activity</w:t>
      </w:r>
    </w:p>
    <w:p w:rsidR="00AC2131" w:rsidRDefault="00AC2131" w:rsidP="00AC2131">
      <w:pPr>
        <w:pStyle w:val="BodyText"/>
      </w:pPr>
      <w:r>
        <w:t>During 2013</w:t>
      </w:r>
      <w:r>
        <w:noBreakHyphen/>
        <w:t>14, there were 19 new anti-dumping investigations initiated — compared to 13 in 2012</w:t>
      </w:r>
      <w:r>
        <w:noBreakHyphen/>
        <w:t>13. Overall, at the end of June 2014, there were 48 dumping measures in force, up from 40 the year before. Given the significant recent changes in the anti-dumping regime and the potential for an increase in the number and size of anti-dumping actions, there is a need for close monitoring of outcomes. It would be timely for a formal and independent review of the anti-dumping arrangements and outcomes to be undertaken. This is important to ensure that the arrangements do not persist beyond the identified period or scope of the complaint; minimise costs on the product users, and consider whether there is evidence of any emerging abuse of the system. Such a review should consider the need for a national interest test as recommended by the 2009 Productivity Commission review.</w:t>
      </w:r>
    </w:p>
    <w:p w:rsidR="00AC2131" w:rsidDel="00853539" w:rsidRDefault="00AC2131" w:rsidP="00AC2131">
      <w:pPr>
        <w:pStyle w:val="Heading2"/>
      </w:pPr>
      <w:r>
        <w:rPr>
          <w:lang w:val="en"/>
        </w:rPr>
        <w:t>Concerns remain about preferential trade agreements</w:t>
      </w:r>
    </w:p>
    <w:p w:rsidR="00AC2131" w:rsidRDefault="00AC2131" w:rsidP="00AC2131">
      <w:pPr>
        <w:pStyle w:val="BodyText"/>
      </w:pPr>
      <w:r>
        <w:t>The proliferation of preferential trade agreements at the bilateral and regional level (referred to commonly as ‘free trade agreements’) is adding to the complexity and business transaction costs of the international trading system. However, the practical impacts of agreements being entered into by Australia remain unclear and highlight the need for thorough evaluation of the negotiated agreement text prior to their signing. In substance, the devil resides in the detail of these agreements and full and transparent analysis is not afforded to the final texts for many of them.</w:t>
      </w:r>
    </w:p>
    <w:p w:rsidR="00AC2131" w:rsidRDefault="00AC2131" w:rsidP="00AC2131">
      <w:pPr>
        <w:pStyle w:val="BodyText"/>
      </w:pPr>
      <w:r>
        <w:t>Amongst other things, preferential agreements are resulting in:</w:t>
      </w:r>
    </w:p>
    <w:p w:rsidR="00AC2131" w:rsidRDefault="00AC2131" w:rsidP="00AC2131">
      <w:pPr>
        <w:pStyle w:val="ListBullet"/>
      </w:pPr>
      <w:r>
        <w:t>different product-specific rules of origin for merchandise trade and ownership-based origin rules for services and investment across agreements</w:t>
      </w:r>
    </w:p>
    <w:p w:rsidR="00AC2131" w:rsidRPr="00EE01D1" w:rsidRDefault="00AC2131" w:rsidP="00AC2131">
      <w:pPr>
        <w:pStyle w:val="ListBullet"/>
      </w:pPr>
      <w:r>
        <w:t xml:space="preserve">variable coverage </w:t>
      </w:r>
      <w:r w:rsidRPr="00EE01D1">
        <w:t>of services sector liberalisation</w:t>
      </w:r>
      <w:r>
        <w:t xml:space="preserve"> across agreements</w:t>
      </w:r>
    </w:p>
    <w:p w:rsidR="00AC2131" w:rsidRDefault="00AC2131" w:rsidP="00AC2131">
      <w:pPr>
        <w:pStyle w:val="ListBullet"/>
      </w:pPr>
      <w:r>
        <w:t>more stringent intellectual property rights protection</w:t>
      </w:r>
    </w:p>
    <w:p w:rsidR="00AC2131" w:rsidRDefault="00AC2131" w:rsidP="00AC2131">
      <w:pPr>
        <w:pStyle w:val="ListBullet"/>
      </w:pPr>
      <w:r>
        <w:lastRenderedPageBreak/>
        <w:t>the adoption of investor state dispute settlement procedures that depart from the national treatment principle, to grant rights of legal recourse for commercial loss to foreign investors not available to national investors.</w:t>
      </w:r>
    </w:p>
    <w:p w:rsidR="00AC2131" w:rsidRDefault="00AC2131" w:rsidP="00AC2131">
      <w:pPr>
        <w:pStyle w:val="BodyText"/>
      </w:pPr>
      <w:r>
        <w:t xml:space="preserve">There is a growing and compelling case for the negotiated text of an agreement to be comprehensively analysed </w:t>
      </w:r>
      <w:r w:rsidRPr="00CF54DC">
        <w:t>before</w:t>
      </w:r>
      <w:r>
        <w:t xml:space="preserve"> signing, including:</w:t>
      </w:r>
    </w:p>
    <w:p w:rsidR="00AC2131" w:rsidRDefault="00AC2131" w:rsidP="00AC2131">
      <w:pPr>
        <w:pStyle w:val="ListBullet"/>
      </w:pPr>
      <w:r>
        <w:t xml:space="preserve">the complexity of bilateral and regional trade agreements </w:t>
      </w:r>
    </w:p>
    <w:p w:rsidR="00AC2131" w:rsidRDefault="00AC2131" w:rsidP="00AC2131">
      <w:pPr>
        <w:pStyle w:val="ListBullet"/>
      </w:pPr>
      <w:r>
        <w:t xml:space="preserve">the potential for trade preferences to impose net costs on the community </w:t>
      </w:r>
    </w:p>
    <w:p w:rsidR="00AC2131" w:rsidRDefault="00AC2131" w:rsidP="00AC2131">
      <w:pPr>
        <w:pStyle w:val="ListBullet"/>
      </w:pPr>
      <w:r>
        <w:t xml:space="preserve">the availability of alternative reform strategies </w:t>
      </w:r>
    </w:p>
    <w:p w:rsidR="00AC2131" w:rsidRDefault="00AC2131" w:rsidP="00AC2131">
      <w:pPr>
        <w:pStyle w:val="ListBullet"/>
      </w:pPr>
      <w:r>
        <w:t xml:space="preserve">the risk that domestic reform may be delayed to retain negotiating coin. </w:t>
      </w:r>
    </w:p>
    <w:p w:rsidR="00AC2131" w:rsidRDefault="00AC2131" w:rsidP="00AC2131">
      <w:pPr>
        <w:pStyle w:val="BodyText"/>
      </w:pPr>
      <w:r>
        <w:t>However, current assessment processes in Australia fall well short of what is needed to adequately assess the impacts of prospective agreements. This is reflected in the wide and concerning gap identified in comparing the assessment analysis undertaken for the Japan Australia EPA with the Commission’s previously-published benchmarks of what constitutes a comprehensive pre-execution assessment. Current assessment processes do not systematically quantify the likely costs and benefits of negotiated texts to an agreement, fail to consider the opportunity costs of pursuing preferential arrangements compared to unilateral reform and ignore the extent to which agreements actually liberalise existing markets (figure 8). For example, the JAEPA and other bilateral agreements can deny foreign-</w:t>
      </w:r>
      <w:r w:rsidRPr="007267E4">
        <w:t xml:space="preserve">owned or controlled </w:t>
      </w:r>
      <w:r>
        <w:t>services businesses in Australia access to the liberalising provisions of the agreement via the partner economy.</w:t>
      </w:r>
      <w:r w:rsidRPr="007267E4">
        <w:t xml:space="preserve"> </w:t>
      </w:r>
      <w:r>
        <w:t xml:space="preserve">The substantial level of foreign direct investment in services (amounting to nearly $265 billion by value or 40 per cent of total foreign direct investment in Australia) raises the possibility that such ‘denial of benefit’ provisions could divert services trade and investment flows, diminishing the potential liberalising benefits of an agreement. </w:t>
      </w:r>
    </w:p>
    <w:p w:rsidR="00AC2131" w:rsidRDefault="00AC2131" w:rsidP="00AC2131">
      <w:pPr>
        <w:pStyle w:val="BodyText"/>
      </w:pPr>
      <w:r>
        <w:t xml:space="preserve">Another issue is the extent of additional liberalisation achieved through an agreement and the degree of disparity across respective agreements. For example, an index-based analysis by the WTO indicates that services provisions negotiated under the ASEAN-Australia-New Zealand agreement added little if anything, to those already afforded by services commitments under the General Agreement on Trade in Services (GATS). On the other hand, application of the same methodology to the analysis of bilateral concessions under the Australia-United States agreement indicated a substantially higher level of bilateral concessions by Australia than afforded under GATS commitments. This is consistent with an observation by the WTO that larger trading powers tend to receive more concessions in preferential trading agreements than other trading partners. An issue where such differences arise is the extent that the varying concessions lead to costly services trade diversion.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pPr>
            <w:r w:rsidRPr="00784A05">
              <w:rPr>
                <w:b w:val="0"/>
              </w:rPr>
              <w:t xml:space="preserve">Figure </w:t>
            </w:r>
            <w:r>
              <w:rPr>
                <w:b w:val="0"/>
              </w:rPr>
              <w:t>8</w:t>
            </w:r>
            <w:r>
              <w:tab/>
              <w:t>Gaps exist in the assessment of the net benefits of trade agreements — the case of the Japan</w:t>
            </w:r>
            <w:r>
              <w:noBreakHyphen/>
              <w:t>Australia Economic Partnership Agreement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50986BD4" wp14:editId="026D9529">
                        <wp:extent cx="5267325" cy="5029200"/>
                        <wp:effectExtent l="0" t="0" r="9525" b="0"/>
                        <wp:docPr id="13" name="Picture 13" descr="Figure 8 outlines the gaps that exist in the assessment of the net benefits of trade agreements. The case of the Japan Australia Economic Partnership Agreement is presented as an example. More details can be found within the text immediately surrounding this image.&#10;A more detailed exposition of this framework can be found in figure 4.3 in chapter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7325" cy="502920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3B2D96" w:rsidRDefault="00AC2131" w:rsidP="00AC2131">
            <w:pPr>
              <w:pStyle w:val="Subtitle"/>
              <w:keepNext w:val="0"/>
              <w:spacing w:before="80" w:after="0" w:line="220" w:lineRule="exact"/>
              <w:ind w:left="0"/>
              <w:jc w:val="both"/>
              <w:rPr>
                <w:i/>
                <w:szCs w:val="18"/>
              </w:rPr>
            </w:pPr>
            <w:r w:rsidRPr="002E53A4">
              <w:rPr>
                <w:sz w:val="18"/>
                <w:szCs w:val="18"/>
              </w:rPr>
              <w:t xml:space="preserve">Notes: Dashed border indicate only partial or non-fulfilment of ideal assessment of agreement impacts. </w:t>
            </w:r>
            <w:r w:rsidRPr="002E53A4">
              <w:rPr>
                <w:rFonts w:cs="Arial"/>
                <w:sz w:val="18"/>
                <w:szCs w:val="18"/>
              </w:rPr>
              <w:t>RIS refers to Regulation Impact Statement. JSCOT refers to Joint Standing Committee on Treaties.</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924F4C" w:rsidRDefault="00AC2131" w:rsidP="00AC2131">
      <w:pPr>
        <w:pStyle w:val="BodyText"/>
      </w:pPr>
      <w:r>
        <w:t xml:space="preserve">Further, while texts include consultative and review procedures they do not contain provisions requiring the ex-post evaluation of the actual impacts of an agreement and scope for improvement. </w:t>
      </w:r>
      <w:r w:rsidRPr="00924F4C">
        <w:t xml:space="preserve">Without such a detailed assessment, it is not possible to form a view as to whether the aspirational goals </w:t>
      </w:r>
      <w:r>
        <w:t xml:space="preserve">typically ascribed to the formation of preferential agreements </w:t>
      </w:r>
      <w:r w:rsidRPr="00924F4C">
        <w:t>are commensurate with real-world impacts.</w:t>
      </w:r>
    </w:p>
    <w:p w:rsidR="00AC2131" w:rsidRDefault="00AC2131" w:rsidP="00AC2131">
      <w:pPr>
        <w:pStyle w:val="BodyText"/>
      </w:pPr>
      <w:r>
        <w:t>They also do not include wider assessments of whether preferential bilateral and regional approaches are more effective means of improving national welfare compared with multilateral or unilateral domestic reform approaches.</w:t>
      </w:r>
    </w:p>
    <w:p w:rsidR="00AC2131" w:rsidRDefault="00AC2131" w:rsidP="00AC2131">
      <w:pPr>
        <w:sectPr w:rsidR="00AC2131" w:rsidSect="00AC2131">
          <w:headerReference w:type="even" r:id="rId18"/>
          <w:headerReference w:type="default" r:id="rId19"/>
          <w:footerReference w:type="even" r:id="rId20"/>
          <w:footerReference w:type="default" r:id="rId21"/>
          <w:pgSz w:w="11907" w:h="16840" w:code="9"/>
          <w:pgMar w:top="1985" w:right="1304" w:bottom="1247" w:left="1814" w:header="1701" w:footer="397" w:gutter="0"/>
          <w:pgNumType w:chapSep="period"/>
          <w:cols w:space="720"/>
          <w:titlePg/>
          <w:docGrid w:linePitch="326"/>
        </w:sectPr>
      </w:pPr>
    </w:p>
    <w:p w:rsidR="00AC2131" w:rsidRDefault="00AC2131" w:rsidP="00AC2131">
      <w:pPr>
        <w:pStyle w:val="Heading1"/>
        <w:spacing w:before="0"/>
      </w:pPr>
      <w:r>
        <w:lastRenderedPageBreak/>
        <w:t>1</w:t>
      </w:r>
      <w:r>
        <w:tab/>
        <w:t>About this Review</w:t>
      </w:r>
    </w:p>
    <w:p w:rsidR="00AC2131" w:rsidRDefault="00AC2131" w:rsidP="00AC2131">
      <w:pPr>
        <w:pStyle w:val="BodyText"/>
      </w:pPr>
      <w:r>
        <w:t xml:space="preserve">One of the Productivity Commission’s functions under its legislation is to review industry assistance arrangements. It also has a statutory obligation to report annually on assistance and its effects on the economy. The Productivity Commission Act 1998 defines government assistance to industry as: </w:t>
      </w:r>
    </w:p>
    <w:p w:rsidR="00AC2131" w:rsidRDefault="00AC2131" w:rsidP="00AC2131">
      <w:pPr>
        <w:pStyle w:val="Quote"/>
      </w:pPr>
      <w:r>
        <w:t xml:space="preserve">… any act that, directly or indirectly: assists a person to carry on a business or activity; or confers a pecuniary benefit on, or results in a pecuniary benefit to, a person in respect of carrying on a business or activity. </w:t>
      </w:r>
    </w:p>
    <w:p w:rsidR="00AC2131" w:rsidRDefault="00AC2131" w:rsidP="00AC2131">
      <w:pPr>
        <w:pStyle w:val="BodyText"/>
      </w:pPr>
      <w:r>
        <w:t xml:space="preserve">Assistance takes many forms. It extends beyond direct government subsidies to particular firms or industries and includes tariffs, quotas, regulatory restrictions on imported goods and services and tax concessions. Assistance can also arise from the provision of services below cost by government agencies, from government procurement policies and preferential treatment under trade agreements. </w:t>
      </w:r>
    </w:p>
    <w:p w:rsidR="00AC2131" w:rsidRDefault="00AC2131" w:rsidP="00AC2131">
      <w:pPr>
        <w:pStyle w:val="BodyText"/>
      </w:pPr>
      <w:r>
        <w:t xml:space="preserve">Although assistance benefits the firms or industries that receive it, it typically imposes costs on other sectors of the economy. For example, direct business subsidies increase returns to recipient firms and industries, but to fund the subsidies governments must increase taxes and charges, cut back on other spending, or borrow additional funds. Funding provided to a single firm also discriminates against its competitors. </w:t>
      </w:r>
    </w:p>
    <w:p w:rsidR="00AC2131" w:rsidRDefault="00AC2131" w:rsidP="00AC2131">
      <w:pPr>
        <w:pStyle w:val="BodyText"/>
      </w:pPr>
      <w:r>
        <w:t xml:space="preserve">Similarly, while tariffs provide some price support to domestic goods producers, they result in higher input costs for other local businesses, reducing their competitiveness. They also effectively tax consumers by imposing higher prices on the goods subject to the tariff, leaving them with less money to spend on other goods and services. </w:t>
      </w:r>
    </w:p>
    <w:p w:rsidR="00AC2131" w:rsidRDefault="00AC2131" w:rsidP="00AC2131">
      <w:pPr>
        <w:pStyle w:val="BodyText"/>
      </w:pPr>
      <w:r>
        <w:t>Governments provide assistance for many different reasons. Some types of assistance — such as for R&amp;D and to meet environmental objectives — can overcome market failure and deliver net community benefits. Similarly, some policies which have industry assistance effects may be justified on other grounds, such as the achievement of social or equity objectives. However, the way in which such assistance is provided requires transparent and rigorous assessment to minimise its unintended impacts on resource allocation.</w:t>
      </w:r>
    </w:p>
    <w:p w:rsidR="00AC2131" w:rsidRDefault="00AC2131" w:rsidP="00120072">
      <w:pPr>
        <w:pStyle w:val="BodyText"/>
      </w:pPr>
      <w:r>
        <w:br w:type="page"/>
      </w:r>
    </w:p>
    <w:p w:rsidR="00AC2131" w:rsidRPr="008E3197" w:rsidRDefault="00AC2131" w:rsidP="00AC2131">
      <w:pPr>
        <w:spacing w:before="240" w:line="320" w:lineRule="atLeast"/>
        <w:jc w:val="both"/>
      </w:pPr>
      <w:r w:rsidRPr="008E3197">
        <w:lastRenderedPageBreak/>
        <w:t xml:space="preserve">In view of the costs, as well as the potential benefits, that industry assistance can entail, government measures that provide assistance need to be monitored and regularly reviewed. To that end, the annual </w:t>
      </w:r>
      <w:r w:rsidRPr="008E3197">
        <w:rPr>
          <w:i/>
        </w:rPr>
        <w:t>Trade &amp; Assistance Review</w:t>
      </w:r>
      <w:r w:rsidRPr="008E3197">
        <w:t xml:space="preserve"> fulfils a transparency function of identifying existing government assistance and contemporary assistance issues, and allowing closer examination to be made when it is not obvious why such costs are being incurred. </w:t>
      </w:r>
    </w:p>
    <w:p w:rsidR="00AC2131" w:rsidRPr="008E3197" w:rsidRDefault="00AC2131" w:rsidP="00AC2131">
      <w:pPr>
        <w:spacing w:before="240" w:line="320" w:lineRule="atLeast"/>
        <w:jc w:val="both"/>
      </w:pPr>
      <w:r w:rsidRPr="008E3197">
        <w:t xml:space="preserve">Assistance afforded by tariffs and budgetary measures through government outlays and taxation concessions with industry policy objectives is quantified in the </w:t>
      </w:r>
      <w:r w:rsidRPr="008E3197">
        <w:rPr>
          <w:i/>
        </w:rPr>
        <w:t>Trade &amp;Assistance Review</w:t>
      </w:r>
      <w:r w:rsidRPr="008E3197">
        <w:t xml:space="preserve">. While these estimates cover a broad range of measures that afford substantive support to industry and that can be readily quantified on a consistent basis annually, the estimates do not capture all Australian Government support for industry, nor State government assistance. They are therefore an under estimate of the total support to industry provided by government. </w:t>
      </w:r>
    </w:p>
    <w:p w:rsidR="00AC2131" w:rsidRPr="008E3197" w:rsidRDefault="00AC2131" w:rsidP="00AC2131">
      <w:pPr>
        <w:spacing w:before="240" w:line="320" w:lineRule="atLeast"/>
        <w:jc w:val="both"/>
      </w:pPr>
      <w:r w:rsidRPr="008E3197">
        <w:t xml:space="preserve">This edition of </w:t>
      </w:r>
      <w:r w:rsidRPr="008E3197">
        <w:rPr>
          <w:i/>
        </w:rPr>
        <w:t>Trade &amp; Assistance Review</w:t>
      </w:r>
      <w:r w:rsidRPr="008E3197">
        <w:t xml:space="preserve"> begins with a focus on policy insights from the emergence and measurement of global value chains (chapter 2). Previous editions of </w:t>
      </w:r>
      <w:r w:rsidRPr="008E3197">
        <w:rPr>
          <w:i/>
        </w:rPr>
        <w:t>Trade &amp; Assistance Review</w:t>
      </w:r>
      <w:r w:rsidRPr="008E3197">
        <w:t xml:space="preserve"> have taken a detailed look at particular assistance arrangements including carbon emission reduction measures (2007</w:t>
      </w:r>
      <w:r w:rsidRPr="008E3197">
        <w:noBreakHyphen/>
        <w:t>08), assistance to the finance industry (2008</w:t>
      </w:r>
      <w:r w:rsidRPr="008E3197">
        <w:noBreakHyphen/>
        <w:t>09), state government assistance to industry (2009</w:t>
      </w:r>
      <w:r w:rsidRPr="008E3197">
        <w:noBreakHyphen/>
        <w:t>10), adjustment assistance (2010</w:t>
      </w:r>
      <w:r w:rsidRPr="008E3197">
        <w:noBreakHyphen/>
        <w:t>11), intellectual property (2011</w:t>
      </w:r>
      <w:r w:rsidRPr="008E3197">
        <w:noBreakHyphen/>
        <w:t>12), and defence procurement (2012</w:t>
      </w:r>
      <w:r w:rsidRPr="008E3197">
        <w:noBreakHyphen/>
        <w:t>13).</w:t>
      </w:r>
    </w:p>
    <w:p w:rsidR="00AC2131" w:rsidRPr="008E3197" w:rsidRDefault="00AC2131" w:rsidP="00AC2131">
      <w:pPr>
        <w:spacing w:before="240" w:line="320" w:lineRule="atLeast"/>
        <w:jc w:val="both"/>
      </w:pPr>
      <w:r w:rsidRPr="008E3197">
        <w:t xml:space="preserve">Chapter 2 is followed by a review of ‘co-investment’ support provided by governments to specific firms or projects. That support places government in the role of passive investor (of sorts), but without the usual commercial terms attached to private investment. Where Government becomes a ‘co-investor’ through firm-specific grants, noting recent government resistance to such calls, governance and due diligence fall short of contemporary, comparable best practice. The term ‘co-investor’ is a commercial misnomer. A review of governance processes is needed to improve the modest net benefit prospects of this support (chapter 3). </w:t>
      </w:r>
    </w:p>
    <w:p w:rsidR="00AC2131" w:rsidRPr="008E3197" w:rsidRDefault="00AC2131" w:rsidP="00AC2131">
      <w:pPr>
        <w:spacing w:before="240" w:line="320" w:lineRule="atLeast"/>
        <w:jc w:val="both"/>
      </w:pPr>
      <w:r w:rsidRPr="008E3197">
        <w:rPr>
          <w:lang w:val="en"/>
        </w:rPr>
        <w:t xml:space="preserve">Chapter 4 looks at aspects of preferential trade agreements. It identifies and examines concerns about the detailed, complex and costly rules of origin embedded in such agreements, the stringency of intellectual property rights provisions, and the risks associated with investor-state dispute settlement provisions. </w:t>
      </w:r>
      <w:r w:rsidRPr="008E3197">
        <w:t xml:space="preserve">The complexity of Australia’s preferential agreements and the potential for provisions to impose net costs on the community means there is a need for comprehensive and transparent evaluation before signing.  It provides a case study assessment of Government and Parliamentary assessment of the JAEPA against the Commission’s view of what such an assessment should comprise. </w:t>
      </w:r>
    </w:p>
    <w:p w:rsidR="00AC2131" w:rsidRPr="008E3197" w:rsidRDefault="00AC2131" w:rsidP="00AC2131">
      <w:pPr>
        <w:keepNext/>
        <w:keepLines/>
        <w:spacing w:before="240" w:line="320" w:lineRule="atLeast"/>
        <w:jc w:val="both"/>
      </w:pPr>
      <w:r w:rsidRPr="008E3197">
        <w:lastRenderedPageBreak/>
        <w:t xml:space="preserve">The Commission’s latest estimates of Australian Government assistance to industry, up to 30 June 2014, are presented in chapter 5. This continues a time series of assistance estimates dating back four decades. This long series provides a clear illustration of the patterns of industry preferment through time and the reform of trade barriers. The estimates generally cover those government measures which are readily distinguishable, selectively benefit particular firms, industries or activities, and which can be quantified, given practical constraints in measurement and data availability. </w:t>
      </w:r>
    </w:p>
    <w:p w:rsidR="00AC2131" w:rsidRPr="008E3197" w:rsidRDefault="00AC2131" w:rsidP="00AC2131">
      <w:pPr>
        <w:spacing w:before="240" w:line="320" w:lineRule="atLeast"/>
        <w:jc w:val="both"/>
      </w:pPr>
      <w:r w:rsidRPr="008E3197">
        <w:t xml:space="preserve">Chapter 6 reports on industry assistance announcements since May 2014 (the cut-off reporting date of the last </w:t>
      </w:r>
      <w:r w:rsidRPr="008E3197">
        <w:rPr>
          <w:i/>
        </w:rPr>
        <w:t>2012</w:t>
      </w:r>
      <w:r w:rsidRPr="008E3197">
        <w:rPr>
          <w:i/>
        </w:rPr>
        <w:noBreakHyphen/>
        <w:t>13</w:t>
      </w:r>
      <w:r w:rsidRPr="008E3197">
        <w:t xml:space="preserve"> </w:t>
      </w:r>
      <w:r w:rsidRPr="008E3197">
        <w:rPr>
          <w:i/>
        </w:rPr>
        <w:t>Review</w:t>
      </w:r>
      <w:r w:rsidRPr="008E3197">
        <w:t>). This provides some insight into potential changes in assistance beyond those estimates in chapter 5. The announcements cover an array of industry arrangements including in relation to research and development, primary industries, manufacturing, carbon emissions reduction and energy efficiency, regional assistance, and broadcasting and communications.</w:t>
      </w:r>
    </w:p>
    <w:p w:rsidR="00AC2131" w:rsidRPr="008E3197" w:rsidRDefault="00AC2131" w:rsidP="00AC2131">
      <w:pPr>
        <w:spacing w:before="240" w:line="320" w:lineRule="atLeast"/>
        <w:jc w:val="both"/>
      </w:pPr>
      <w:r w:rsidRPr="008E3197">
        <w:t>Chapter 7 reports on recent developments in Australia’s trade policy environment including ongoing efforts to conclude the Doha Round of multilateral trade negotiations and negotiation of preferential bilateral and regional trade agreements. The chapter also covers trade complaints affecting Australia lodged through the WTO disputes resolution framework and recent anti-dumping and countervailing duty activity.</w:t>
      </w:r>
    </w:p>
    <w:p w:rsidR="00AC2131" w:rsidRDefault="00AC2131" w:rsidP="00AC2131">
      <w:pPr>
        <w:sectPr w:rsidR="00AC2131" w:rsidSect="00AC2131">
          <w:headerReference w:type="even" r:id="rId22"/>
          <w:headerReference w:type="default" r:id="rId23"/>
          <w:footerReference w:type="even" r:id="rId24"/>
          <w:footerReference w:type="default" r:id="rId25"/>
          <w:type w:val="oddPage"/>
          <w:pgSz w:w="11907" w:h="16840" w:code="9"/>
          <w:pgMar w:top="1985" w:right="1304" w:bottom="1247" w:left="1814" w:header="1701" w:footer="397" w:gutter="0"/>
          <w:pgNumType w:chapSep="period"/>
          <w:cols w:space="720"/>
          <w:docGrid w:linePitch="326"/>
        </w:sectPr>
      </w:pPr>
    </w:p>
    <w:p w:rsidR="00AC2131" w:rsidRPr="00A337D9" w:rsidRDefault="00AC2131" w:rsidP="00AC2131">
      <w:pPr>
        <w:pStyle w:val="Heading1"/>
      </w:pPr>
      <w:r>
        <w:lastRenderedPageBreak/>
        <w:t>2</w:t>
      </w:r>
      <w:r w:rsidRPr="00A337D9">
        <w:tab/>
      </w:r>
      <w:r>
        <w:t>Policy insights from e</w:t>
      </w:r>
      <w:r w:rsidRPr="00A337D9">
        <w:t xml:space="preserve">merging patterns of </w:t>
      </w:r>
      <w:r>
        <w:t xml:space="preserve">global </w:t>
      </w:r>
      <w:r w:rsidRPr="00A337D9">
        <w:t>trade</w:t>
      </w:r>
      <w:r>
        <w:t xml:space="preserve">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t>Key points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ListBullet"/>
            </w:pPr>
            <w:r>
              <w:t>Global trade patterns have been changing over recent decades with w</w:t>
            </w:r>
            <w:r w:rsidRPr="00867B27">
              <w:t xml:space="preserve">orld trade and production structured </w:t>
            </w:r>
            <w:r>
              <w:t xml:space="preserve">more </w:t>
            </w:r>
            <w:r w:rsidRPr="00867B27">
              <w:t>around ‘global value chains’</w:t>
            </w:r>
            <w:r>
              <w:t xml:space="preserve"> — increasing interdependence between industries, economies and regions. </w:t>
            </w:r>
          </w:p>
          <w:p w:rsidR="00AC2131" w:rsidRDefault="00AC2131" w:rsidP="00AC2131">
            <w:pPr>
              <w:pStyle w:val="BoxListBullet"/>
              <w:spacing w:before="60" w:line="280" w:lineRule="atLeast"/>
            </w:pPr>
            <w:r>
              <w:t>The evolution and recent measurement of global value chains and value-added trade flows reinforces several established policy imperatives, including:</w:t>
            </w:r>
          </w:p>
          <w:p w:rsidR="00AC2131" w:rsidRDefault="00AC2131" w:rsidP="00AC2131">
            <w:pPr>
              <w:pStyle w:val="BoxListBullet2"/>
              <w:ind w:left="567" w:hanging="283"/>
              <w:rPr>
                <w:szCs w:val="24"/>
              </w:rPr>
            </w:pPr>
            <w:r>
              <w:t>non-discriminatory m</w:t>
            </w:r>
            <w:r w:rsidRPr="00236BF1">
              <w:t>ultilateral trade reform is the most effective way to improve national and global welfare</w:t>
            </w:r>
            <w:r>
              <w:t xml:space="preserve"> </w:t>
            </w:r>
          </w:p>
          <w:p w:rsidR="00AC2131" w:rsidRPr="00FF26AB" w:rsidRDefault="00AC2131" w:rsidP="00AC2131">
            <w:pPr>
              <w:pStyle w:val="BoxListBullet2"/>
              <w:ind w:left="567" w:hanging="283"/>
              <w:rPr>
                <w:szCs w:val="24"/>
              </w:rPr>
            </w:pPr>
            <w:r>
              <w:t>policies that seek to lower imported input costs and other business costs have the best chance of fostering firm and economic growth</w:t>
            </w:r>
          </w:p>
          <w:p w:rsidR="00AC2131" w:rsidRPr="007C1B2B" w:rsidRDefault="00AC2131" w:rsidP="00AC2131">
            <w:pPr>
              <w:pStyle w:val="BoxListBullet2"/>
              <w:ind w:left="567" w:hanging="283"/>
            </w:pPr>
            <w:r>
              <w:t>policies that seek to support (at times ill-informed) priority sectors unavoidably risk disadvantaging more competitive activities.</w:t>
            </w:r>
          </w:p>
          <w:p w:rsidR="00AC2131" w:rsidRDefault="00AC2131" w:rsidP="00AC2131">
            <w:pPr>
              <w:pStyle w:val="BoxListBullet"/>
            </w:pPr>
            <w:r>
              <w:t>Much of the focus of industry and trade policy forms the antithesis of the policy insights of global value chain and supporting trade flow data.</w:t>
            </w:r>
          </w:p>
          <w:p w:rsidR="00AC2131" w:rsidRDefault="00AC2131" w:rsidP="00AC2131">
            <w:pPr>
              <w:pStyle w:val="BoxListBullet"/>
            </w:pPr>
            <w:r>
              <w:t xml:space="preserve">Most observed trade is in manufactures — estimated to account for 67 per cent of global trade — well above services which account for 20 per cent of global trade. </w:t>
            </w:r>
          </w:p>
          <w:p w:rsidR="00AC2131" w:rsidRDefault="00AC2131" w:rsidP="00AC2131">
            <w:pPr>
              <w:pStyle w:val="BoxListBullet2"/>
              <w:ind w:left="284" w:hanging="283"/>
            </w:pPr>
            <w:r>
              <w:t>However, because value added from services is embodied in merchandise exports, service industries are more important in trade and income generation than trade-flow data suggests.</w:t>
            </w:r>
          </w:p>
          <w:p w:rsidR="00AC2131" w:rsidRDefault="00AC2131" w:rsidP="00AC2131">
            <w:pPr>
              <w:pStyle w:val="BoxListBullet2"/>
              <w:ind w:left="567" w:hanging="283"/>
            </w:pPr>
            <w:r>
              <w:t>From a value adding perspective, services are of equal importance to manufacturing, each accounting for about 40 per cent of global exports.</w:t>
            </w:r>
          </w:p>
          <w:p w:rsidR="00AC2131" w:rsidRDefault="00AC2131" w:rsidP="00AC2131">
            <w:pPr>
              <w:pStyle w:val="BoxListBullet"/>
            </w:pPr>
            <w:r>
              <w:t xml:space="preserve">While Australian manufactures historically comprise around 40 per cent of exports, they only account for around 14 per cent on a value added basis — well below the global average. </w:t>
            </w:r>
          </w:p>
          <w:p w:rsidR="00AC2131" w:rsidRDefault="00AC2131" w:rsidP="00AC2131">
            <w:pPr>
              <w:pStyle w:val="BoxListBullet"/>
            </w:pPr>
            <w:r>
              <w:t xml:space="preserve">The value-added decomposition of Australia’s trade, by taking into account the ultimate destination of Australia’s exports, also changes the relative importance of direct and indirect trading partners elevating the importance of America and Europe relative to Asian countries. </w:t>
            </w:r>
          </w:p>
          <w:p w:rsidR="00AC2131" w:rsidRDefault="00AC2131" w:rsidP="00AC2131">
            <w:pPr>
              <w:pStyle w:val="BoxListBullet"/>
            </w:pPr>
            <w:r>
              <w:t xml:space="preserve">Currently, Australia expends over $900 million per annum on export assistance. An additional $250 million in export assistance has been included in the Government’s </w:t>
            </w:r>
            <w:r w:rsidRPr="00DC7B1C">
              <w:rPr>
                <w:i/>
              </w:rPr>
              <w:t>Industry Innovation and Competitiveness Agenda</w:t>
            </w:r>
            <w:r>
              <w:t xml:space="preserve">. </w:t>
            </w:r>
          </w:p>
          <w:p w:rsidR="00AC2131" w:rsidRDefault="00AC2131" w:rsidP="00AC2131">
            <w:pPr>
              <w:pStyle w:val="BoxListBullet2"/>
              <w:ind w:left="567" w:hanging="283"/>
            </w:pPr>
            <w:r>
              <w:t xml:space="preserve">The Agenda also includes $650 million over four years to be focused on five selected industries chosen on the basis of export growth potential (albeit based predominantly on past gross export earnings and not a value-added basis). </w:t>
            </w:r>
          </w:p>
          <w:p w:rsidR="00AC2131" w:rsidRDefault="00AC2131" w:rsidP="00AC2131">
            <w:pPr>
              <w:pStyle w:val="BoxListBullet"/>
              <w:rPr>
                <w:szCs w:val="24"/>
              </w:rPr>
            </w:pPr>
            <w:r>
              <w:t>There would be merit in undertaking a comprehensive assessment of the likely cost-effectiveness of export and industry support measures. At a minimum, there remains a need to assess whether the requirement of additionality is met.</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Global trade patterns have changed markedly over recent decades. </w:t>
      </w:r>
      <w:r w:rsidRPr="00867B27">
        <w:t>World trade and production are increasingly structured around ‘global value chains’ (GVCs)</w:t>
      </w:r>
      <w:r>
        <w:t>, with trade growth since the 1990s dominated by intra-regional trade in intermediate inputs</w:t>
      </w:r>
      <w:r w:rsidRPr="00867B27">
        <w:t xml:space="preserve">. A value chain identifies the full range of activities that firms undertake to bring a product or a service from its conception to its end use. Technological progress, trade-cost reductions, trade and investment liberalisation, and regulatory reform have </w:t>
      </w:r>
      <w:r>
        <w:t xml:space="preserve">enabled </w:t>
      </w:r>
      <w:r w:rsidRPr="00867B27">
        <w:t>the geographical fragmentation of production processes across the globe.</w:t>
      </w:r>
      <w:r>
        <w:t xml:space="preserve"> </w:t>
      </w:r>
    </w:p>
    <w:p w:rsidR="00AC2131" w:rsidRDefault="00AC2131" w:rsidP="00AC2131">
      <w:pPr>
        <w:pStyle w:val="BodyText"/>
      </w:pPr>
      <w:r>
        <w:t>The emergence of global value chains and changes in the fortunes of different industries and different countries has prompted two questions. First, what are the drivers of trade patterns — or the determinants of trade competitiveness? Second, what should governments do, or not do, to influence trade patterns?</w:t>
      </w:r>
    </w:p>
    <w:p w:rsidR="00AC2131" w:rsidRDefault="00AC2131" w:rsidP="00AC2131">
      <w:pPr>
        <w:pStyle w:val="BodyText"/>
      </w:pPr>
      <w:r>
        <w:t xml:space="preserve">The recent availability of improved </w:t>
      </w:r>
      <w:r w:rsidRPr="0090117F">
        <w:t xml:space="preserve">global </w:t>
      </w:r>
      <w:r>
        <w:t xml:space="preserve">trade data — value-added flows, firm level, finer product disaggregation, developing country coverage, longer time frames, and matching with data on capital, labour and institutional characteristics — has promoted a ‘new wave’ of trade empirics, which deepens the analysis of trade and industry policy. The value-added stream allows a better understanding of global value chains across industries, countries and over time. For instance, in value-adding terms, exports of services are relatively more important, and manufactured exports relatively less important, as a generator of national income, than implied by gross export values. This broader view of export value generation suggests there should be increased priority for addressing impediments to the efficiency of services delivery supporting the exports of manufactures, agriculture and resources, as well as to the direct exports of services. </w:t>
      </w:r>
    </w:p>
    <w:p w:rsidR="00AC2131" w:rsidRDefault="00AC2131" w:rsidP="00AC2131">
      <w:pPr>
        <w:pStyle w:val="BodyText"/>
      </w:pPr>
      <w:r>
        <w:t xml:space="preserve">The study of global value chains reinforces the role of imports and the value added of other economies embodied in them, as essential to exports. It therefore highlights that tariff and non-tariff barriers on imported inputs act as a tax on exports. Australia still has a 5 per cent MFN tariff on about 50 per cent of goods. </w:t>
      </w:r>
    </w:p>
    <w:p w:rsidR="00AC2131" w:rsidRDefault="00AC2131" w:rsidP="00AC2131">
      <w:pPr>
        <w:pStyle w:val="BodyText"/>
      </w:pPr>
      <w:r>
        <w:t xml:space="preserve">While there has been a long history focussing on capital, labour and resource endowments as the </w:t>
      </w:r>
      <w:r w:rsidRPr="00B758DA">
        <w:t xml:space="preserve">main sources of </w:t>
      </w:r>
      <w:r>
        <w:t>trade competitiveness, the</w:t>
      </w:r>
      <w:r w:rsidRPr="00B758DA">
        <w:t xml:space="preserve"> recent literature </w:t>
      </w:r>
      <w:r>
        <w:t>i</w:t>
      </w:r>
      <w:r w:rsidRPr="00B758DA">
        <w:t xml:space="preserve">s </w:t>
      </w:r>
      <w:r>
        <w:t xml:space="preserve">illustrating the importance of </w:t>
      </w:r>
      <w:r w:rsidRPr="00B758DA">
        <w:t>institutions in determining a country’s comparative</w:t>
      </w:r>
      <w:r>
        <w:t xml:space="preserve"> </w:t>
      </w:r>
      <w:r w:rsidRPr="00B758DA">
        <w:t>advantage as well</w:t>
      </w:r>
      <w:r>
        <w:t>, such as labour market institutions, financial system attributes, contract enforcement, intellectual property arrangements, foreign investment, and the business climate. At the same time, the literature suggests that differences in transport, distribution and other costs of trade (trade costs for short) — such as arising from proximity of trading partners, the availability of efficient transportation and communications, as well as efficient and effective border control and customs procedures — may outrank within-country resource endowment advantages as determinants of trade patterns.</w:t>
      </w:r>
    </w:p>
    <w:p w:rsidR="00AC2131" w:rsidRDefault="00AC2131" w:rsidP="00AC2131">
      <w:pPr>
        <w:pStyle w:val="BodyText"/>
      </w:pPr>
      <w:r>
        <w:t xml:space="preserve">This new wave of trade analysis comes at a time when the Australian Government has released an </w:t>
      </w:r>
      <w:r w:rsidRPr="007E62E8">
        <w:rPr>
          <w:i/>
        </w:rPr>
        <w:t>Industry Innovation and Competitiveness Agenda</w:t>
      </w:r>
      <w:r>
        <w:t xml:space="preserve">, which includes measures intended to boost exports, and in some cases direct public support towards particular </w:t>
      </w:r>
      <w:r>
        <w:lastRenderedPageBreak/>
        <w:t xml:space="preserve">‘priority’ industries. The quantitative methodologies used to identify the industries with the most promising growth potential are predominantly based on past gross export earnings. However, newer analyses are suggesting past export success at the industry or firm level is not necessarily the best guide to future success. Policies which seek to direct resources and effort according to priority sectors risk disadvantaging other sectors (firms) that may be more competitive and have better prospects in global markets. Similarly, the establishment of bilateral and regional preferential trading arrangements risks disadvantaging more competitive suppliers not covered by those arrangements. In short, much of the focus of industry and trade policy forms the antithesis of the policy insights of value chain and supporting trade flow data. </w:t>
      </w:r>
    </w:p>
    <w:p w:rsidR="00AC2131" w:rsidRDefault="00AC2131" w:rsidP="00AC2131">
      <w:pPr>
        <w:pStyle w:val="Heading2"/>
      </w:pPr>
      <w:r>
        <w:t>2.</w:t>
      </w:r>
      <w:r>
        <w:rPr>
          <w:noProof/>
        </w:rPr>
        <w:t>1</w:t>
      </w:r>
      <w:r>
        <w:tab/>
        <w:t>Value-added trade patterns</w:t>
      </w:r>
    </w:p>
    <w:p w:rsidR="00AC2131" w:rsidRDefault="00AC2131" w:rsidP="00AC2131">
      <w:pPr>
        <w:pStyle w:val="BodyText"/>
      </w:pPr>
      <w:r>
        <w:t xml:space="preserve">The production of a single good or service involves direct and indirect transactions with many other industries and many other countries. At any one point in the global supply chain, the cost of a good or service can be divided into two components: the cost of intermediate inputs used in the production of goods and services; and the cost of the primary factors of production — labour, capital and land. The cost (or returns) to labour, capital and land are known as the ‘value-added’ generated in production. </w:t>
      </w:r>
      <w:r w:rsidRPr="003E13B2">
        <w:t xml:space="preserve">As inputs pass through </w:t>
      </w:r>
      <w:r>
        <w:t xml:space="preserve">global supply chains </w:t>
      </w:r>
      <w:r w:rsidRPr="003E13B2">
        <w:t>they cross borders many times</w:t>
      </w:r>
      <w:r>
        <w:t xml:space="preserve"> with the value added generated in upstream activities embodied in the interim and final prices of the good or service</w:t>
      </w:r>
      <w:r w:rsidRPr="003E13B2">
        <w:t xml:space="preserve">. </w:t>
      </w:r>
      <w:r>
        <w:t xml:space="preserve">The WTO describe the implication: </w:t>
      </w:r>
    </w:p>
    <w:p w:rsidR="00AC2131" w:rsidRDefault="00AC2131" w:rsidP="00AC2131">
      <w:pPr>
        <w:pStyle w:val="Quote"/>
      </w:pPr>
      <w:r>
        <w:t>Attributing the full commercial value to the last country of origin [and final industry] can lead to distorted statistics. Measuring trade in value-added terms seeks to address this distortion. (WTO 2013, p.181)</w:t>
      </w:r>
    </w:p>
    <w:p w:rsidR="00AC2131" w:rsidRDefault="00AC2131" w:rsidP="00AC2131">
      <w:pPr>
        <w:pStyle w:val="BodyText"/>
      </w:pPr>
      <w:r>
        <w:t xml:space="preserve">While the conceptual difference between gross trade and trade in value-added has </w:t>
      </w:r>
      <w:r w:rsidRPr="005F2182">
        <w:t xml:space="preserve">been </w:t>
      </w:r>
      <w:r>
        <w:t>long recognised, only recently have the differences been quantified on a comprehensive and consistent basis. This has been made possible by the increased availability of more refined national input-output tables (beyond those of developed countries), particularly emerging countries with significant increased involvement in global supply chains, and international efforts to link the national tables. These global input-output tables allow the ‘value added’ by country and industry-of-origin underlying gross trade flows to be traced to provide a fuller depiction of global production and trade.</w:t>
      </w:r>
      <w:r>
        <w:rPr>
          <w:rStyle w:val="FootnoteReference"/>
        </w:rPr>
        <w:footnoteReference w:id="1"/>
      </w:r>
      <w:r>
        <w:t xml:space="preserve"> </w:t>
      </w:r>
    </w:p>
    <w:p w:rsidR="00AC2131" w:rsidRDefault="00AC2131" w:rsidP="00AC2131">
      <w:pPr>
        <w:pStyle w:val="Heading3"/>
      </w:pPr>
      <w:r>
        <w:lastRenderedPageBreak/>
        <w:t>Comparing trade in ‘gross’ and value-added terms</w:t>
      </w:r>
    </w:p>
    <w:p w:rsidR="00AC2131" w:rsidRDefault="00AC2131" w:rsidP="00AC2131">
      <w:pPr>
        <w:pStyle w:val="Heading4"/>
        <w:spacing w:before="240"/>
      </w:pPr>
      <w:r>
        <w:t>Sectoral differences</w:t>
      </w:r>
    </w:p>
    <w:p w:rsidR="00AC2131" w:rsidRDefault="00AC2131" w:rsidP="00AC2131">
      <w:pPr>
        <w:pStyle w:val="BodyText"/>
      </w:pPr>
      <w:r>
        <w:t>In global terms, gross exports of manufactures accounts for an estimated 67 per cent, and services accounts for 20 per cent, of total exports. However, this overstates the contribution of manufacturing in global exports in two ways. First, a significant proportion of manufactured exports are of intermediate inputs for further processing. Second, manufactured exports include the indirect value added contributed by raw materials and service inputs. When the sectoral origin of all direct and indirect value added is traced through national and global value chains, manufacturing and services each account for about 40 per cent of total value-added exports (figure 2.1).</w:t>
      </w:r>
    </w:p>
    <w:p w:rsidR="00AC2131" w:rsidRDefault="00AC2131" w:rsidP="00AC2131">
      <w:pPr>
        <w:pStyle w:val="BodyText"/>
      </w:pPr>
      <w:r>
        <w:t>Australian trade shares the global pattern whereby manufacturing is relatively less important, and services relatively more important, when measured in value-added export terms, than in gross exports terms (figure 2.1 compared to 2.2). However, while manufactures comprised around 36 per cent of Australia’s observed exports in 2008 (the year for which comparative information is available),</w:t>
      </w:r>
      <w:r>
        <w:rPr>
          <w:rStyle w:val="FootnoteReference"/>
        </w:rPr>
        <w:footnoteReference w:id="2"/>
      </w:r>
      <w:r>
        <w:t xml:space="preserve"> manufactures only contribute around 14 per cent on a value adding basis — well below the global average for that year. Reflecting Australia’s mineral resource endowments, Australia’s exports of resource-based products is much higher than the global average, and accounted for around 40 per cent of Australia’s exports in both gross and value-added terms in 2008</w:t>
      </w:r>
      <w:r>
        <w:noBreakHyphen/>
        <w:t>09. Since the comparison year coincides with the terms of trade boom, the relative importance of mining product exports has increased, amounting to around 47 per cent of gross exports in 2013</w:t>
      </w:r>
      <w:r>
        <w:noBreakHyphen/>
        <w:t>14 declining to 43 per cent to the March quarter 2014</w:t>
      </w:r>
      <w:r>
        <w:noBreakHyphen/>
        <w:t>15 (value added in export shares are not available for these years) (ABS 2015a, Tables 2 and 32a).</w:t>
      </w:r>
      <w:r>
        <w:rPr>
          <w:rStyle w:val="FootnoteReference"/>
        </w:rPr>
        <w:footnoteReference w:id="3"/>
      </w:r>
      <w:r>
        <w:t xml:space="preserve"> </w:t>
      </w:r>
    </w:p>
    <w:p w:rsidR="00AC2131" w:rsidRDefault="00AC2131" w:rsidP="00AC2131">
      <w:pPr>
        <w:pStyle w:val="BodyText"/>
      </w:pPr>
      <w:r>
        <w:t xml:space="preserve">While the economic importance of services in international trade is heightened by its embodiment in other products, overall services output has tended to increase faster than that of other industries with the demand for services increasing ahead of per capita incomes. The share of services in global production has consequently increased over the last few decades — with World Bank information indicating that the services share of global production has increased from 56 per cent in 1980 to around 70 per cent in 2012. There has been a corresponding decline, at the global level, in the relative shares of agriculture and industry (appendix B).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2.</w:t>
            </w:r>
            <w:r>
              <w:rPr>
                <w:b w:val="0"/>
                <w:noProof/>
              </w:rPr>
              <w:t>1</w:t>
            </w:r>
            <w:r>
              <w:tab/>
              <w:t>World exports in gross and value-added terms sector shares, 2008</w:t>
            </w:r>
            <w:r w:rsidRPr="00B05D72">
              <w:rPr>
                <w:rStyle w:val="NoteLabel"/>
                <w:b/>
                <w:szCs w:val="20"/>
              </w:rPr>
              <w:t>a</w:t>
            </w:r>
          </w:p>
          <w:p w:rsidR="00AC2131" w:rsidRPr="00A579B5" w:rsidRDefault="00AC2131" w:rsidP="00AC2131">
            <w:pPr>
              <w:pStyle w:val="Subtitle"/>
            </w:pPr>
            <w:r w:rsidRPr="00A579B5">
              <w:t>per cent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59800958" wp14:editId="1FF36331">
                        <wp:extent cx="5400675" cy="2733675"/>
                        <wp:effectExtent l="0" t="0" r="9525" b="9525"/>
                        <wp:docPr id="1" name="Picture 1" descr="Figure 2.1 presents World exports in both gross and value added terms for the agriculture, non-manufacturing industrial production, manufacturing and services sectors in 2008-09.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00675" cy="2733675"/>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273F73" w:rsidRDefault="00AC2131" w:rsidP="00AC2131">
            <w:pPr>
              <w:pStyle w:val="Source"/>
            </w:pPr>
            <w:r>
              <w:rPr>
                <w:rStyle w:val="NoteLabel"/>
              </w:rPr>
              <w:t>a </w:t>
            </w:r>
            <w:r w:rsidRPr="00273F73">
              <w:t>Agr</w:t>
            </w:r>
            <w:r>
              <w:t xml:space="preserve">iculture includes forestry, hunting and fishing. Non-manufacturing industrial production includes mining and quarrying, electricity gas and water supply, and construction. </w:t>
            </w:r>
          </w:p>
          <w:p w:rsidR="00AC2131" w:rsidRPr="00176D3F" w:rsidRDefault="00AC2131" w:rsidP="00AC2131">
            <w:pPr>
              <w:pStyle w:val="Source"/>
            </w:pPr>
            <w:r>
              <w:rPr>
                <w:i/>
              </w:rPr>
              <w:t>S</w:t>
            </w:r>
            <w:r w:rsidRPr="00784A05">
              <w:rPr>
                <w:i/>
              </w:rPr>
              <w:t>ource</w:t>
            </w:r>
            <w:r w:rsidRPr="00176D3F">
              <w:t xml:space="preserve">: </w:t>
            </w:r>
            <w:r>
              <w:t>Johnson (2014, p. 125).</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410169" w:rsidRDefault="00AC2131" w:rsidP="00AC2131">
      <w:pPr>
        <w:pStyle w:val="BoxSpaceBelow"/>
        <w:rPr>
          <w:b/>
          <w:vanish/>
          <w:color w:val="FF00FF"/>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2.</w:t>
            </w:r>
            <w:r>
              <w:rPr>
                <w:b w:val="0"/>
                <w:noProof/>
              </w:rPr>
              <w:t>2</w:t>
            </w:r>
            <w:r>
              <w:tab/>
              <w:t>Australian exports in gross and value-added terms sector shares, 2008</w:t>
            </w:r>
            <w:r>
              <w:noBreakHyphen/>
              <w:t>09</w:t>
            </w:r>
          </w:p>
          <w:p w:rsidR="00AC2131" w:rsidRPr="00176D3F" w:rsidRDefault="00AC2131" w:rsidP="00AC2131">
            <w:pPr>
              <w:pStyle w:val="Subtitle"/>
            </w:pPr>
            <w:r>
              <w:t>per cent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573109B1" wp14:editId="0F4DC2AA">
                        <wp:extent cx="5400040" cy="2734310"/>
                        <wp:effectExtent l="0" t="0" r="0" b="8890"/>
                        <wp:docPr id="5" name="Picture 5" descr="Figure 2.2 presents Australian exports in both gross and value added terms for the agriculture, mining, manufacturing and services sectors in 2008-09. More details can be found within the text immediately surrounding this 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00040" cy="273431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rsidRPr="007956EC">
              <w:t xml:space="preserve">Commission estimates </w:t>
            </w:r>
            <w:r>
              <w:t>based on</w:t>
            </w:r>
            <w:r w:rsidRPr="007956EC">
              <w:t xml:space="preserve"> ABS </w:t>
            </w:r>
            <w:r>
              <w:t>(</w:t>
            </w:r>
            <w:r w:rsidRPr="007956EC">
              <w:rPr>
                <w:i/>
              </w:rPr>
              <w:t>Input-Output Tables 200</w:t>
            </w:r>
            <w:r>
              <w:rPr>
                <w:i/>
              </w:rPr>
              <w:t>8</w:t>
            </w:r>
            <w:r>
              <w:rPr>
                <w:i/>
              </w:rPr>
              <w:noBreakHyphen/>
            </w:r>
            <w:r w:rsidRPr="007956EC">
              <w:rPr>
                <w:i/>
              </w:rPr>
              <w:t>0</w:t>
            </w:r>
            <w:r>
              <w:rPr>
                <w:i/>
              </w:rPr>
              <w:t>9</w:t>
            </w:r>
            <w:r w:rsidRPr="007956EC">
              <w:t>, Cat. no. 5209.0</w:t>
            </w:r>
            <w:r>
              <w:t>).</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4"/>
      </w:pPr>
      <w:r>
        <w:lastRenderedPageBreak/>
        <w:t>Domestic versus foreign value-added content of gross exports</w:t>
      </w:r>
    </w:p>
    <w:p w:rsidR="00AC2131" w:rsidRDefault="00AC2131" w:rsidP="00AC2131">
      <w:pPr>
        <w:pStyle w:val="BodyText"/>
      </w:pPr>
      <w:r>
        <w:t>The domestic value-added content of exports (figure 2.2 above), however, does not cover the extent of foreign value added embodied in domestic production (and exports). The embodied input can be distinguished by tracing the foreign valued added embodied in imports of intermediate inputs in the new world input-output tables. These tables indicate that in 2008, for example, an estimated 86 per cent of Australia’s gross export value is domestic value added (table 2.1, line three), with the remaining 14 per cent being foreign value added embodied in Australia’s imports of intermediate inputs.</w:t>
      </w:r>
      <w:r>
        <w:rPr>
          <w:rStyle w:val="FootnoteReference"/>
        </w:rPr>
        <w:footnoteReference w:id="4"/>
      </w:r>
      <w:r>
        <w:t xml:space="preserve"> Because of Australia’s role as an exporter of raw materials and distance from global manufacturing hubs, Australia’s pattern materially differs from the world average — it having a higher domestic value-added content (86 per cent compared to a global average of 74 per cent) and lower imported value-added content in exports (14 per cent compared to a global average of 26 per cent). The higher imported value-added content of other countries’ exports is reflective of engagement in more multi-stage, multi-country manufacturing processes that has developed with the lowering costs of international trade and more open and liberal global trading environment.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909"/>
      </w:tblGrid>
      <w:tr w:rsidR="00AC2131" w:rsidTr="00AC2131">
        <w:tc>
          <w:tcPr>
            <w:tcW w:w="8909" w:type="dxa"/>
            <w:tcBorders>
              <w:top w:val="single" w:sz="6" w:space="0" w:color="78A22F"/>
              <w:left w:val="nil"/>
              <w:bottom w:val="nil"/>
              <w:right w:val="nil"/>
            </w:tcBorders>
            <w:shd w:val="clear" w:color="auto" w:fill="auto"/>
          </w:tcPr>
          <w:p w:rsidR="00AC2131" w:rsidRDefault="00AC2131" w:rsidP="00AC2131">
            <w:pPr>
              <w:pStyle w:val="TableTitle"/>
            </w:pPr>
            <w:r>
              <w:rPr>
                <w:b w:val="0"/>
              </w:rPr>
              <w:t>Table 2.</w:t>
            </w:r>
            <w:r>
              <w:rPr>
                <w:b w:val="0"/>
                <w:noProof/>
              </w:rPr>
              <w:t>1</w:t>
            </w:r>
            <w:r>
              <w:tab/>
              <w:t>Value-added</w:t>
            </w:r>
            <w:r w:rsidRPr="00F844DD">
              <w:t xml:space="preserve"> decomposition of gross exports, 2008</w:t>
            </w:r>
          </w:p>
          <w:p w:rsidR="00AC2131" w:rsidRPr="002416F1" w:rsidRDefault="00AC2131" w:rsidP="00AC2131">
            <w:pPr>
              <w:pStyle w:val="Subtitle"/>
            </w:pPr>
            <w:r>
              <w:t>p</w:t>
            </w:r>
            <w:r w:rsidRPr="002416F1">
              <w:t>er cent</w:t>
            </w:r>
          </w:p>
        </w:tc>
      </w:tr>
      <w:tr w:rsidR="00AC2131" w:rsidTr="00AC2131">
        <w:trPr>
          <w:cantSplit/>
        </w:trPr>
        <w:tc>
          <w:tcPr>
            <w:tcW w:w="8909" w:type="dxa"/>
            <w:tcBorders>
              <w:top w:val="nil"/>
              <w:left w:val="nil"/>
              <w:bottom w:val="nil"/>
              <w:right w:val="nil"/>
            </w:tcBorders>
            <w:shd w:val="clear" w:color="auto" w:fill="auto"/>
          </w:tcPr>
          <w:tbl>
            <w:tblPr>
              <w:tblW w:w="0" w:type="auto"/>
              <w:tblLayout w:type="fixed"/>
              <w:tblCellMar>
                <w:top w:w="28" w:type="dxa"/>
                <w:left w:w="0" w:type="dxa"/>
                <w:right w:w="0" w:type="dxa"/>
              </w:tblCellMar>
              <w:tblLook w:val="0000" w:firstRow="0" w:lastRow="0" w:firstColumn="0" w:lastColumn="0" w:noHBand="0" w:noVBand="0"/>
            </w:tblPr>
            <w:tblGrid>
              <w:gridCol w:w="3798"/>
              <w:gridCol w:w="964"/>
              <w:gridCol w:w="964"/>
              <w:gridCol w:w="964"/>
              <w:gridCol w:w="964"/>
              <w:gridCol w:w="964"/>
            </w:tblGrid>
            <w:tr w:rsidR="00AC2131" w:rsidRPr="009E6F93" w:rsidTr="00AC2131">
              <w:tc>
                <w:tcPr>
                  <w:tcW w:w="3798" w:type="dxa"/>
                  <w:tcBorders>
                    <w:top w:val="single" w:sz="6" w:space="0" w:color="BFBFBF"/>
                    <w:bottom w:val="single" w:sz="6" w:space="0" w:color="BFBFBF"/>
                  </w:tcBorders>
                  <w:shd w:val="clear" w:color="auto" w:fill="auto"/>
                  <w:tcMar>
                    <w:top w:w="28" w:type="dxa"/>
                  </w:tcMar>
                  <w:vAlign w:val="bottom"/>
                </w:tcPr>
                <w:p w:rsidR="00AC2131" w:rsidRPr="009E6F93" w:rsidRDefault="00AC2131" w:rsidP="00AC2131">
                  <w:pPr>
                    <w:pStyle w:val="TableColumnHeading"/>
                    <w:jc w:val="left"/>
                  </w:pPr>
                  <w:r w:rsidRPr="009E6F93">
                    <w:t>Components of gross exports</w:t>
                  </w:r>
                </w:p>
              </w:tc>
              <w:tc>
                <w:tcPr>
                  <w:tcW w:w="964" w:type="dxa"/>
                  <w:tcBorders>
                    <w:top w:val="single" w:sz="6" w:space="0" w:color="BFBFBF"/>
                    <w:bottom w:val="single" w:sz="6" w:space="0" w:color="BFBFBF"/>
                  </w:tcBorders>
                  <w:vAlign w:val="bottom"/>
                </w:tcPr>
                <w:p w:rsidR="00AC2131" w:rsidRPr="009E6F93" w:rsidRDefault="00AC2131" w:rsidP="00AC2131">
                  <w:pPr>
                    <w:pStyle w:val="TableColumnHeading"/>
                  </w:pPr>
                  <w:r w:rsidRPr="009E6F93">
                    <w:t>Australia</w:t>
                  </w:r>
                </w:p>
              </w:tc>
              <w:tc>
                <w:tcPr>
                  <w:tcW w:w="964" w:type="dxa"/>
                  <w:tcBorders>
                    <w:top w:val="single" w:sz="6" w:space="0" w:color="BFBFBF"/>
                    <w:bottom w:val="single" w:sz="6" w:space="0" w:color="BFBFBF"/>
                  </w:tcBorders>
                  <w:vAlign w:val="bottom"/>
                </w:tcPr>
                <w:p w:rsidR="00AC2131" w:rsidRPr="009E6F93" w:rsidRDefault="00AC2131" w:rsidP="00AC2131">
                  <w:pPr>
                    <w:pStyle w:val="TableColumnHeading"/>
                  </w:pPr>
                  <w:r w:rsidRPr="009E6F93">
                    <w:t xml:space="preserve">New Zealand </w:t>
                  </w:r>
                </w:p>
              </w:tc>
              <w:tc>
                <w:tcPr>
                  <w:tcW w:w="964" w:type="dxa"/>
                  <w:tcBorders>
                    <w:top w:val="single" w:sz="6" w:space="0" w:color="BFBFBF"/>
                    <w:bottom w:val="single" w:sz="6" w:space="0" w:color="BFBFBF"/>
                  </w:tcBorders>
                  <w:vAlign w:val="bottom"/>
                </w:tcPr>
                <w:p w:rsidR="00AC2131" w:rsidRPr="00DA3AD2" w:rsidRDefault="00AC2131" w:rsidP="00AC2131">
                  <w:pPr>
                    <w:pStyle w:val="TableColumnHeading"/>
                    <w:rPr>
                      <w:b/>
                    </w:rPr>
                  </w:pPr>
                  <w:r>
                    <w:rPr>
                      <w:b/>
                    </w:rPr>
                    <w:t xml:space="preserve">Global </w:t>
                  </w:r>
                  <w:r w:rsidRPr="00DA3AD2">
                    <w:rPr>
                      <w:b/>
                    </w:rPr>
                    <w:t>average</w:t>
                  </w:r>
                </w:p>
              </w:tc>
              <w:tc>
                <w:tcPr>
                  <w:tcW w:w="964" w:type="dxa"/>
                  <w:tcBorders>
                    <w:top w:val="single" w:sz="6" w:space="0" w:color="BFBFBF"/>
                    <w:bottom w:val="single" w:sz="6" w:space="0" w:color="BFBFBF"/>
                  </w:tcBorders>
                  <w:vAlign w:val="bottom"/>
                </w:tcPr>
                <w:p w:rsidR="00AC2131" w:rsidRPr="009E6F93" w:rsidRDefault="00AC2131" w:rsidP="00AC2131">
                  <w:pPr>
                    <w:pStyle w:val="TableColumnHeading"/>
                  </w:pPr>
                  <w:r w:rsidRPr="009E6F93">
                    <w:t>USA</w:t>
                  </w:r>
                </w:p>
              </w:tc>
              <w:tc>
                <w:tcPr>
                  <w:tcW w:w="964" w:type="dxa"/>
                  <w:tcBorders>
                    <w:top w:val="single" w:sz="6" w:space="0" w:color="BFBFBF"/>
                    <w:bottom w:val="single" w:sz="6" w:space="0" w:color="BFBFBF"/>
                  </w:tcBorders>
                  <w:shd w:val="clear" w:color="auto" w:fill="auto"/>
                  <w:tcMar>
                    <w:top w:w="28" w:type="dxa"/>
                  </w:tcMar>
                  <w:vAlign w:val="bottom"/>
                </w:tcPr>
                <w:p w:rsidR="00AC2131" w:rsidRPr="009E6F93" w:rsidRDefault="00AC2131" w:rsidP="00AC2131">
                  <w:pPr>
                    <w:pStyle w:val="TableColumnHeading"/>
                  </w:pPr>
                  <w:r w:rsidRPr="009E6F93">
                    <w:t>China</w:t>
                  </w:r>
                </w:p>
              </w:tc>
            </w:tr>
            <w:tr w:rsidR="00AC2131" w:rsidRPr="009E6F93" w:rsidTr="00AC2131">
              <w:tc>
                <w:tcPr>
                  <w:tcW w:w="3798" w:type="dxa"/>
                  <w:tcBorders>
                    <w:top w:val="single" w:sz="6" w:space="0" w:color="BFBFBF"/>
                  </w:tcBorders>
                </w:tcPr>
                <w:p w:rsidR="00AC2131" w:rsidRPr="009E6F93" w:rsidRDefault="00AC2131" w:rsidP="00AC2131">
                  <w:pPr>
                    <w:pStyle w:val="TableUnitsRow"/>
                    <w:jc w:val="left"/>
                  </w:pPr>
                  <w:r>
                    <w:t>Exports d</w:t>
                  </w:r>
                  <w:r w:rsidRPr="009E6F93">
                    <w:t>irect to trading partner</w:t>
                  </w:r>
                  <w:r>
                    <w:t>, used solely within trading partner</w:t>
                  </w:r>
                </w:p>
              </w:tc>
              <w:tc>
                <w:tcPr>
                  <w:tcW w:w="964" w:type="dxa"/>
                  <w:tcBorders>
                    <w:top w:val="single" w:sz="6" w:space="0" w:color="BFBFBF"/>
                  </w:tcBorders>
                  <w:vAlign w:val="bottom"/>
                </w:tcPr>
                <w:p w:rsidR="00AC2131" w:rsidRPr="009E6F93" w:rsidRDefault="00AC2131" w:rsidP="00AC2131">
                  <w:pPr>
                    <w:pStyle w:val="TableUnitsRow"/>
                  </w:pPr>
                  <w:r w:rsidRPr="009E6F93">
                    <w:t>52</w:t>
                  </w:r>
                </w:p>
              </w:tc>
              <w:tc>
                <w:tcPr>
                  <w:tcW w:w="964" w:type="dxa"/>
                  <w:tcBorders>
                    <w:top w:val="single" w:sz="6" w:space="0" w:color="BFBFBF"/>
                  </w:tcBorders>
                  <w:vAlign w:val="bottom"/>
                </w:tcPr>
                <w:p w:rsidR="00AC2131" w:rsidRPr="009E6F93" w:rsidRDefault="00AC2131" w:rsidP="00AC2131">
                  <w:pPr>
                    <w:pStyle w:val="TableUnitsRow"/>
                  </w:pPr>
                  <w:r w:rsidRPr="009E6F93">
                    <w:t>38</w:t>
                  </w:r>
                </w:p>
              </w:tc>
              <w:tc>
                <w:tcPr>
                  <w:tcW w:w="964" w:type="dxa"/>
                  <w:tcBorders>
                    <w:top w:val="single" w:sz="6" w:space="0" w:color="BFBFBF"/>
                  </w:tcBorders>
                  <w:vAlign w:val="bottom"/>
                </w:tcPr>
                <w:p w:rsidR="00AC2131" w:rsidRPr="00DA3AD2" w:rsidRDefault="00AC2131" w:rsidP="00AC2131">
                  <w:pPr>
                    <w:pStyle w:val="TableUnitsRow"/>
                    <w:rPr>
                      <w:b/>
                    </w:rPr>
                  </w:pPr>
                  <w:r w:rsidRPr="00DA3AD2">
                    <w:rPr>
                      <w:b/>
                    </w:rPr>
                    <w:t>42</w:t>
                  </w:r>
                </w:p>
              </w:tc>
              <w:tc>
                <w:tcPr>
                  <w:tcW w:w="964" w:type="dxa"/>
                  <w:tcBorders>
                    <w:top w:val="single" w:sz="6" w:space="0" w:color="BFBFBF"/>
                  </w:tcBorders>
                  <w:vAlign w:val="bottom"/>
                </w:tcPr>
                <w:p w:rsidR="00AC2131" w:rsidRPr="009E6F93" w:rsidRDefault="00AC2131" w:rsidP="00AC2131">
                  <w:pPr>
                    <w:pStyle w:val="TableUnitsRow"/>
                  </w:pPr>
                  <w:r w:rsidRPr="009E6F93">
                    <w:t>4</w:t>
                  </w:r>
                  <w:r>
                    <w:t>9</w:t>
                  </w:r>
                </w:p>
              </w:tc>
              <w:tc>
                <w:tcPr>
                  <w:tcW w:w="964" w:type="dxa"/>
                  <w:tcBorders>
                    <w:top w:val="single" w:sz="6" w:space="0" w:color="BFBFBF"/>
                  </w:tcBorders>
                  <w:vAlign w:val="bottom"/>
                </w:tcPr>
                <w:p w:rsidR="00AC2131" w:rsidRPr="009E6F93" w:rsidRDefault="00AC2131" w:rsidP="00AC2131">
                  <w:pPr>
                    <w:pStyle w:val="TableUnitsRow"/>
                  </w:pPr>
                  <w:r w:rsidRPr="009E6F93">
                    <w:t>2</w:t>
                  </w:r>
                  <w:r>
                    <w:t>5</w:t>
                  </w:r>
                </w:p>
              </w:tc>
            </w:tr>
            <w:tr w:rsidR="00AC2131" w:rsidRPr="009E6F93" w:rsidTr="00AC2131">
              <w:tc>
                <w:tcPr>
                  <w:tcW w:w="3798" w:type="dxa"/>
                </w:tcPr>
                <w:p w:rsidR="00AC2131" w:rsidRPr="009E6F93" w:rsidRDefault="00AC2131" w:rsidP="00AC2131">
                  <w:pPr>
                    <w:pStyle w:val="TableUnitsRow"/>
                    <w:jc w:val="left"/>
                  </w:pPr>
                  <w:r>
                    <w:t>Exports to trading partner, processed and on-exported to third countries</w:t>
                  </w:r>
                  <w:r w:rsidRPr="009E6F93">
                    <w:t xml:space="preserve"> </w:t>
                  </w:r>
                </w:p>
              </w:tc>
              <w:tc>
                <w:tcPr>
                  <w:tcW w:w="964" w:type="dxa"/>
                  <w:vAlign w:val="bottom"/>
                </w:tcPr>
                <w:p w:rsidR="00AC2131" w:rsidRPr="009E6F93" w:rsidRDefault="00AC2131" w:rsidP="00AC2131">
                  <w:pPr>
                    <w:pStyle w:val="TableUnitsRow"/>
                  </w:pPr>
                  <w:r w:rsidRPr="009E6F93">
                    <w:t>3</w:t>
                  </w:r>
                  <w:r>
                    <w:t>4</w:t>
                  </w:r>
                </w:p>
              </w:tc>
              <w:tc>
                <w:tcPr>
                  <w:tcW w:w="964" w:type="dxa"/>
                  <w:vAlign w:val="bottom"/>
                </w:tcPr>
                <w:p w:rsidR="00AC2131" w:rsidRPr="009E6F93" w:rsidRDefault="00AC2131" w:rsidP="00AC2131">
                  <w:pPr>
                    <w:pStyle w:val="TableUnitsRow"/>
                  </w:pPr>
                  <w:r w:rsidRPr="009E6F93">
                    <w:t>40</w:t>
                  </w:r>
                </w:p>
              </w:tc>
              <w:tc>
                <w:tcPr>
                  <w:tcW w:w="964" w:type="dxa"/>
                  <w:vAlign w:val="bottom"/>
                </w:tcPr>
                <w:p w:rsidR="00AC2131" w:rsidRPr="00DA3AD2" w:rsidRDefault="00AC2131" w:rsidP="00AC2131">
                  <w:pPr>
                    <w:pStyle w:val="TableUnitsRow"/>
                    <w:rPr>
                      <w:b/>
                    </w:rPr>
                  </w:pPr>
                  <w:r w:rsidRPr="00DA3AD2">
                    <w:rPr>
                      <w:b/>
                    </w:rPr>
                    <w:t>3</w:t>
                  </w:r>
                  <w:r>
                    <w:rPr>
                      <w:b/>
                    </w:rPr>
                    <w:t>2</w:t>
                  </w:r>
                </w:p>
              </w:tc>
              <w:tc>
                <w:tcPr>
                  <w:tcW w:w="964" w:type="dxa"/>
                  <w:vAlign w:val="bottom"/>
                </w:tcPr>
                <w:p w:rsidR="00AC2131" w:rsidRPr="009E6F93" w:rsidRDefault="00AC2131" w:rsidP="00AC2131">
                  <w:pPr>
                    <w:pStyle w:val="TableUnitsRow"/>
                  </w:pPr>
                  <w:r w:rsidRPr="009E6F93">
                    <w:t>3</w:t>
                  </w:r>
                  <w:r>
                    <w:t>6</w:t>
                  </w:r>
                </w:p>
              </w:tc>
              <w:tc>
                <w:tcPr>
                  <w:tcW w:w="964" w:type="dxa"/>
                  <w:vAlign w:val="bottom"/>
                </w:tcPr>
                <w:p w:rsidR="00AC2131" w:rsidRPr="009E6F93" w:rsidRDefault="00AC2131" w:rsidP="00AC2131">
                  <w:pPr>
                    <w:pStyle w:val="TableUnitsRow"/>
                  </w:pPr>
                  <w:r w:rsidRPr="009E6F93">
                    <w:t>4</w:t>
                  </w:r>
                  <w:r>
                    <w:t>1</w:t>
                  </w:r>
                </w:p>
              </w:tc>
            </w:tr>
            <w:tr w:rsidR="00AC2131" w:rsidRPr="009E6F93" w:rsidTr="00AC2131">
              <w:tc>
                <w:tcPr>
                  <w:tcW w:w="3798" w:type="dxa"/>
                </w:tcPr>
                <w:p w:rsidR="00AC2131" w:rsidRPr="009E6F93" w:rsidRDefault="00AC2131" w:rsidP="00AC2131">
                  <w:pPr>
                    <w:pStyle w:val="TableUnitsRow"/>
                    <w:jc w:val="left"/>
                    <w:rPr>
                      <w:b/>
                    </w:rPr>
                  </w:pPr>
                  <w:r>
                    <w:rPr>
                      <w:b/>
                    </w:rPr>
                    <w:t>Domestic value-added</w:t>
                  </w:r>
                  <w:r w:rsidRPr="009E6F93">
                    <w:rPr>
                      <w:b/>
                    </w:rPr>
                    <w:t xml:space="preserve"> exports </w:t>
                  </w:r>
                </w:p>
              </w:tc>
              <w:tc>
                <w:tcPr>
                  <w:tcW w:w="964" w:type="dxa"/>
                  <w:vAlign w:val="bottom"/>
                </w:tcPr>
                <w:p w:rsidR="00AC2131" w:rsidRPr="009E6F93" w:rsidRDefault="00AC2131" w:rsidP="00AC2131">
                  <w:pPr>
                    <w:pStyle w:val="TableUnitsRow"/>
                    <w:rPr>
                      <w:b/>
                    </w:rPr>
                  </w:pPr>
                  <w:r w:rsidRPr="009E6F93">
                    <w:rPr>
                      <w:b/>
                    </w:rPr>
                    <w:t>8</w:t>
                  </w:r>
                  <w:r>
                    <w:rPr>
                      <w:b/>
                    </w:rPr>
                    <w:t>6</w:t>
                  </w:r>
                </w:p>
              </w:tc>
              <w:tc>
                <w:tcPr>
                  <w:tcW w:w="964" w:type="dxa"/>
                  <w:vAlign w:val="bottom"/>
                </w:tcPr>
                <w:p w:rsidR="00AC2131" w:rsidRPr="009E6F93" w:rsidRDefault="00AC2131" w:rsidP="00AC2131">
                  <w:pPr>
                    <w:pStyle w:val="TableUnitsRow"/>
                    <w:rPr>
                      <w:b/>
                    </w:rPr>
                  </w:pPr>
                  <w:r w:rsidRPr="009E6F93">
                    <w:rPr>
                      <w:b/>
                    </w:rPr>
                    <w:t>7</w:t>
                  </w:r>
                  <w:r>
                    <w:rPr>
                      <w:b/>
                    </w:rPr>
                    <w:t>9</w:t>
                  </w:r>
                </w:p>
              </w:tc>
              <w:tc>
                <w:tcPr>
                  <w:tcW w:w="964" w:type="dxa"/>
                  <w:vAlign w:val="bottom"/>
                </w:tcPr>
                <w:p w:rsidR="00AC2131" w:rsidRPr="00DA3AD2" w:rsidRDefault="00AC2131" w:rsidP="00AC2131">
                  <w:pPr>
                    <w:pStyle w:val="TableUnitsRow"/>
                    <w:rPr>
                      <w:b/>
                    </w:rPr>
                  </w:pPr>
                  <w:r w:rsidRPr="00DA3AD2">
                    <w:rPr>
                      <w:b/>
                    </w:rPr>
                    <w:t>7</w:t>
                  </w:r>
                  <w:r>
                    <w:rPr>
                      <w:b/>
                    </w:rPr>
                    <w:t>4</w:t>
                  </w:r>
                </w:p>
              </w:tc>
              <w:tc>
                <w:tcPr>
                  <w:tcW w:w="964" w:type="dxa"/>
                  <w:vAlign w:val="bottom"/>
                </w:tcPr>
                <w:p w:rsidR="00AC2131" w:rsidRPr="009E6F93" w:rsidRDefault="00AC2131" w:rsidP="00AC2131">
                  <w:pPr>
                    <w:pStyle w:val="TableUnitsRow"/>
                    <w:rPr>
                      <w:b/>
                    </w:rPr>
                  </w:pPr>
                  <w:r w:rsidRPr="009E6F93">
                    <w:rPr>
                      <w:b/>
                    </w:rPr>
                    <w:t>8</w:t>
                  </w:r>
                  <w:r>
                    <w:rPr>
                      <w:b/>
                    </w:rPr>
                    <w:t>5</w:t>
                  </w:r>
                </w:p>
              </w:tc>
              <w:tc>
                <w:tcPr>
                  <w:tcW w:w="964" w:type="dxa"/>
                  <w:vAlign w:val="bottom"/>
                </w:tcPr>
                <w:p w:rsidR="00AC2131" w:rsidRPr="009E6F93" w:rsidRDefault="00AC2131" w:rsidP="00AC2131">
                  <w:pPr>
                    <w:pStyle w:val="TableUnitsRow"/>
                    <w:rPr>
                      <w:b/>
                    </w:rPr>
                  </w:pPr>
                  <w:r w:rsidRPr="009E6F93">
                    <w:rPr>
                      <w:b/>
                    </w:rPr>
                    <w:t>6</w:t>
                  </w:r>
                  <w:r>
                    <w:rPr>
                      <w:b/>
                    </w:rPr>
                    <w:t>6</w:t>
                  </w:r>
                </w:p>
              </w:tc>
            </w:tr>
            <w:tr w:rsidR="00AC2131" w:rsidRPr="009E6F93" w:rsidTr="00AC2131">
              <w:tc>
                <w:tcPr>
                  <w:tcW w:w="3798" w:type="dxa"/>
                </w:tcPr>
                <w:p w:rsidR="00AC2131" w:rsidRPr="009E6F93" w:rsidRDefault="00AC2131" w:rsidP="00AC2131">
                  <w:pPr>
                    <w:pStyle w:val="TableUnitsRow"/>
                    <w:jc w:val="left"/>
                  </w:pPr>
                  <w:r w:rsidRPr="009E6F93">
                    <w:t>Re-imported</w:t>
                  </w:r>
                  <w:r>
                    <w:t xml:space="preserve"> domestic value added</w:t>
                  </w:r>
                </w:p>
              </w:tc>
              <w:tc>
                <w:tcPr>
                  <w:tcW w:w="964" w:type="dxa"/>
                  <w:vAlign w:val="bottom"/>
                </w:tcPr>
                <w:p w:rsidR="00AC2131" w:rsidRPr="009E6F93" w:rsidRDefault="00AC2131" w:rsidP="00AC2131">
                  <w:pPr>
                    <w:pStyle w:val="TableUnitsRow"/>
                  </w:pPr>
                  <w:r>
                    <w:t>&gt;1</w:t>
                  </w:r>
                </w:p>
              </w:tc>
              <w:tc>
                <w:tcPr>
                  <w:tcW w:w="964" w:type="dxa"/>
                  <w:vAlign w:val="bottom"/>
                </w:tcPr>
                <w:p w:rsidR="00AC2131" w:rsidRPr="009E6F93" w:rsidRDefault="00AC2131" w:rsidP="00AC2131">
                  <w:pPr>
                    <w:pStyle w:val="TableUnitsRow"/>
                  </w:pPr>
                  <w:r>
                    <w:t>&gt;1</w:t>
                  </w:r>
                </w:p>
              </w:tc>
              <w:tc>
                <w:tcPr>
                  <w:tcW w:w="964" w:type="dxa"/>
                  <w:vAlign w:val="bottom"/>
                </w:tcPr>
                <w:p w:rsidR="00AC2131" w:rsidRPr="00DA3AD2" w:rsidRDefault="00AC2131" w:rsidP="00AC2131">
                  <w:pPr>
                    <w:pStyle w:val="TableUnitsRow"/>
                    <w:rPr>
                      <w:b/>
                    </w:rPr>
                  </w:pPr>
                  <w:r>
                    <w:rPr>
                      <w:b/>
                    </w:rPr>
                    <w:t>&gt;1</w:t>
                  </w:r>
                </w:p>
              </w:tc>
              <w:tc>
                <w:tcPr>
                  <w:tcW w:w="964" w:type="dxa"/>
                  <w:vAlign w:val="bottom"/>
                </w:tcPr>
                <w:p w:rsidR="00AC2131" w:rsidRPr="009E6F93" w:rsidRDefault="00AC2131" w:rsidP="00AC2131">
                  <w:pPr>
                    <w:pStyle w:val="TableUnitsRow"/>
                  </w:pPr>
                  <w:r>
                    <w:t>&gt;1</w:t>
                  </w:r>
                </w:p>
              </w:tc>
              <w:tc>
                <w:tcPr>
                  <w:tcW w:w="964" w:type="dxa"/>
                  <w:vAlign w:val="bottom"/>
                </w:tcPr>
                <w:p w:rsidR="00AC2131" w:rsidRPr="009E6F93" w:rsidRDefault="00AC2131" w:rsidP="00AC2131">
                  <w:pPr>
                    <w:pStyle w:val="TableUnitsRow"/>
                  </w:pPr>
                  <w:r w:rsidRPr="009E6F93">
                    <w:t>1</w:t>
                  </w:r>
                </w:p>
              </w:tc>
            </w:tr>
            <w:tr w:rsidR="00AC2131" w:rsidRPr="009E6F93" w:rsidTr="00AC2131">
              <w:tc>
                <w:tcPr>
                  <w:tcW w:w="3798" w:type="dxa"/>
                  <w:tcBorders>
                    <w:bottom w:val="single" w:sz="6" w:space="0" w:color="BFBFBF"/>
                  </w:tcBorders>
                  <w:shd w:val="clear" w:color="auto" w:fill="auto"/>
                </w:tcPr>
                <w:p w:rsidR="00AC2131" w:rsidRPr="009E6F93" w:rsidRDefault="00AC2131" w:rsidP="00AC2131">
                  <w:pPr>
                    <w:pStyle w:val="TableBodyText"/>
                    <w:jc w:val="left"/>
                  </w:pPr>
                  <w:r w:rsidRPr="009E6F93">
                    <w:t>Foreign value added</w:t>
                  </w:r>
                  <w:r>
                    <w:t xml:space="preserve"> in imported intermediate inputs used for export production</w:t>
                  </w:r>
                </w:p>
              </w:tc>
              <w:tc>
                <w:tcPr>
                  <w:tcW w:w="964" w:type="dxa"/>
                  <w:tcBorders>
                    <w:bottom w:val="single" w:sz="6" w:space="0" w:color="BFBFBF"/>
                  </w:tcBorders>
                  <w:vAlign w:val="bottom"/>
                </w:tcPr>
                <w:p w:rsidR="00AC2131" w:rsidRPr="009E6F93" w:rsidRDefault="00AC2131" w:rsidP="00AC2131">
                  <w:pPr>
                    <w:pStyle w:val="TableUnitsRow"/>
                  </w:pPr>
                  <w:r w:rsidRPr="009E6F93">
                    <w:t>14</w:t>
                  </w:r>
                </w:p>
              </w:tc>
              <w:tc>
                <w:tcPr>
                  <w:tcW w:w="964" w:type="dxa"/>
                  <w:tcBorders>
                    <w:bottom w:val="single" w:sz="6" w:space="0" w:color="BFBFBF"/>
                  </w:tcBorders>
                  <w:vAlign w:val="bottom"/>
                </w:tcPr>
                <w:p w:rsidR="00AC2131" w:rsidRPr="009E6F93" w:rsidRDefault="00AC2131" w:rsidP="00AC2131">
                  <w:pPr>
                    <w:pStyle w:val="TableUnitsRow"/>
                  </w:pPr>
                  <w:r w:rsidRPr="009E6F93">
                    <w:t>21</w:t>
                  </w:r>
                </w:p>
              </w:tc>
              <w:tc>
                <w:tcPr>
                  <w:tcW w:w="964" w:type="dxa"/>
                  <w:tcBorders>
                    <w:bottom w:val="single" w:sz="6" w:space="0" w:color="BFBFBF"/>
                  </w:tcBorders>
                  <w:vAlign w:val="bottom"/>
                </w:tcPr>
                <w:p w:rsidR="00AC2131" w:rsidRPr="00DA3AD2" w:rsidRDefault="00AC2131" w:rsidP="00AC2131">
                  <w:pPr>
                    <w:pStyle w:val="TableUnitsRow"/>
                    <w:rPr>
                      <w:b/>
                    </w:rPr>
                  </w:pPr>
                  <w:r w:rsidRPr="00DA3AD2">
                    <w:rPr>
                      <w:b/>
                    </w:rPr>
                    <w:t>26</w:t>
                  </w:r>
                </w:p>
              </w:tc>
              <w:tc>
                <w:tcPr>
                  <w:tcW w:w="964" w:type="dxa"/>
                  <w:tcBorders>
                    <w:bottom w:val="single" w:sz="6" w:space="0" w:color="BFBFBF"/>
                  </w:tcBorders>
                  <w:vAlign w:val="bottom"/>
                </w:tcPr>
                <w:p w:rsidR="00AC2131" w:rsidRPr="009E6F93" w:rsidRDefault="00AC2131" w:rsidP="00AC2131">
                  <w:pPr>
                    <w:pStyle w:val="TableUnitsRow"/>
                  </w:pPr>
                  <w:r w:rsidRPr="009E6F93">
                    <w:t>15</w:t>
                  </w:r>
                </w:p>
              </w:tc>
              <w:tc>
                <w:tcPr>
                  <w:tcW w:w="964" w:type="dxa"/>
                  <w:tcBorders>
                    <w:bottom w:val="single" w:sz="6" w:space="0" w:color="BFBFBF"/>
                  </w:tcBorders>
                  <w:shd w:val="clear" w:color="auto" w:fill="auto"/>
                  <w:vAlign w:val="bottom"/>
                </w:tcPr>
                <w:p w:rsidR="00AC2131" w:rsidRPr="009E6F93" w:rsidRDefault="00AC2131" w:rsidP="00AC2131">
                  <w:pPr>
                    <w:pStyle w:val="TableUnitsRow"/>
                  </w:pPr>
                  <w:r w:rsidRPr="009E6F93">
                    <w:t>33</w:t>
                  </w:r>
                </w:p>
              </w:tc>
            </w:tr>
          </w:tbl>
          <w:p w:rsidR="00AC2131" w:rsidRDefault="00AC2131" w:rsidP="00AC2131"/>
        </w:tc>
      </w:tr>
      <w:tr w:rsidR="00AC2131" w:rsidTr="00AC2131">
        <w:trPr>
          <w:cantSplit/>
        </w:trPr>
        <w:tc>
          <w:tcPr>
            <w:tcW w:w="8909"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rsidRPr="00F844DD">
              <w:t>WTO (2013).</w:t>
            </w:r>
          </w:p>
        </w:tc>
      </w:tr>
      <w:tr w:rsidR="00AC2131" w:rsidTr="00AC2131">
        <w:trPr>
          <w:cantSplit/>
        </w:trPr>
        <w:tc>
          <w:tcPr>
            <w:tcW w:w="8909"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909"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Another dimension shown by the world input-output tables, and not discernible from Australia’s national input-output table, is the ultimate destination of Australia’s value added in exports. For example, in 2008 an estimated 52 per cent of the Australia’s gross exports was Australian value added embodied in goods and services for consumption and investment within Australia’s trading partners (table 2.1, line one). A further 34 per cent of Australia’s gross exports by value was domestic value added embodied in goods and services which Australia’s bilateral trading partners further processed and on-exported to ‘third’ countries (table 2.1, line two). </w:t>
      </w:r>
    </w:p>
    <w:p w:rsidR="00AC2131" w:rsidRDefault="00AC2131" w:rsidP="00AC2131">
      <w:pPr>
        <w:pStyle w:val="BodyText"/>
      </w:pPr>
      <w:r>
        <w:lastRenderedPageBreak/>
        <w:t>Through the value-added decomposition of trade, once account is taken of the ultimate country destination of Australia’s exports, the relative importance of direct and indirect trading partners changes. Over the period 2002 to 2011, North America and Europe accounted for 23 per cent of Australia’s gross exports but about 32 per cent in value-added terms (figure 2.3). This is because a proportion of exports to Asia (such as to China, South Korea and Taiwan), especially of resources, are intermediate inputs used to produce goods that are then re-exported to North America and Europe. This trading structure underlines that Australia’s interests are best served through a multilateral trading system based on most favoured nation and national treatment principles.</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2.</w:t>
            </w:r>
            <w:r>
              <w:rPr>
                <w:b w:val="0"/>
                <w:noProof/>
              </w:rPr>
              <w:t>3</w:t>
            </w:r>
            <w:r>
              <w:tab/>
              <w:t>Australian value-added exports by country, 2002 to 2011 average</w:t>
            </w:r>
          </w:p>
          <w:p w:rsidR="00AC2131" w:rsidRPr="00176D3F" w:rsidRDefault="00AC2131" w:rsidP="00AC2131">
            <w:pPr>
              <w:pStyle w:val="Subtitle"/>
            </w:pPr>
            <w:r>
              <w:t>per cent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3531B4CC" wp14:editId="4EF1C30F">
                        <wp:extent cx="5400675" cy="2876550"/>
                        <wp:effectExtent l="0" t="0" r="9525" b="0"/>
                        <wp:docPr id="9" name="Picture 9" descr="Figure 2.3 presents Australian value added exports by country, average 2002 to 2011.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Kelly and La Cava (2014).</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3"/>
      </w:pPr>
      <w:r>
        <w:t>The global trade intensity of value added has increased</w:t>
      </w:r>
    </w:p>
    <w:p w:rsidR="00AC2131" w:rsidRDefault="00AC2131" w:rsidP="00AC2131">
      <w:pPr>
        <w:pStyle w:val="BodyText"/>
        <w:spacing w:before="200"/>
      </w:pPr>
      <w:r>
        <w:t>As production processes have increasingly been dispersed across countries to take advantage of lower-cost production opportunities, the gross value of exports to the value added generated in exporting has increased. Over the period 1970 to around 2009, available estimates indicate exports per unit of value added increased from 1.15 to 1.33 — that is, by around 15 per cent (figure 2.4).</w:t>
      </w:r>
      <w:r>
        <w:rPr>
          <w:rStyle w:val="FootnoteReference"/>
        </w:rPr>
        <w:footnoteReference w:id="5"/>
      </w:r>
      <w:r>
        <w:t xml:space="preserve"> Most of this increase occurred after 1990 </w:t>
      </w:r>
      <w:r>
        <w:lastRenderedPageBreak/>
        <w:t>coinciding with major trade liberalisations (including those associated with the formation of APEC in 1989 and the Bogor Declaration of 1994 and the accession of China into the WTO in 2001), the dissolution of the Soviet Union in 1991 and the expansion of the European Union to include former Soviet bloc economies, and the emergence and uptake of advanced information and communication technologies. With the contraction of global trade associated with the 2008 global financial crisis, global exports per unit of value added declined.</w:t>
      </w:r>
    </w:p>
    <w:p w:rsidR="00AC2131" w:rsidRDefault="00AC2131" w:rsidP="00AC2131">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2.</w:t>
            </w:r>
            <w:r>
              <w:rPr>
                <w:b w:val="0"/>
                <w:noProof/>
              </w:rPr>
              <w:t>4</w:t>
            </w:r>
            <w:r>
              <w:tab/>
              <w:t>Global export flows have increased ahead of value added in exporting, 1970 to 2009</w:t>
            </w:r>
          </w:p>
          <w:p w:rsidR="00AC2131" w:rsidRPr="00D8371D" w:rsidRDefault="00AC2131" w:rsidP="00AC2131">
            <w:pPr>
              <w:pStyle w:val="Subtitle"/>
            </w:pPr>
            <w:r>
              <w:t>Ratio of the global gross value of exports to the value added in exports</w:t>
            </w:r>
            <w:r w:rsidRPr="0070791B">
              <w:rPr>
                <w:rStyle w:val="NoteLabel"/>
              </w:rPr>
              <w:t>a</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2BD50532" wp14:editId="2635147A">
                        <wp:extent cx="5400675" cy="3600450"/>
                        <wp:effectExtent l="0" t="0" r="9525" b="0"/>
                        <wp:docPr id="12" name="Picture 12" descr="Figure 2.4 outlines the increase in global value added exports relative to the global gross value of exports, particularly since the early 1990s.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400675" cy="36004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Default="00AC2131" w:rsidP="00AC2131">
            <w:pPr>
              <w:pStyle w:val="Note"/>
              <w:rPr>
                <w:i/>
              </w:rPr>
            </w:pPr>
            <w:r>
              <w:rPr>
                <w:rStyle w:val="NoteLabel"/>
              </w:rPr>
              <w:t>a </w:t>
            </w:r>
            <w:r>
              <w:t xml:space="preserve">The original estimates of Johnson and </w:t>
            </w:r>
            <w:r w:rsidR="00B51CF2">
              <w:t>Noguera</w:t>
            </w:r>
            <w:r>
              <w:t xml:space="preserve"> were expressed in terms of value added exports to gross exports (the VAX ratio).</w:t>
            </w:r>
          </w:p>
          <w:p w:rsidR="00AC2131" w:rsidRPr="00176D3F" w:rsidRDefault="00AC2131" w:rsidP="00AC2131">
            <w:pPr>
              <w:pStyle w:val="Source"/>
            </w:pPr>
            <w:r>
              <w:rPr>
                <w:i/>
              </w:rPr>
              <w:t>S</w:t>
            </w:r>
            <w:r w:rsidRPr="00784A05">
              <w:rPr>
                <w:i/>
              </w:rPr>
              <w:t>ource</w:t>
            </w:r>
            <w:r w:rsidRPr="00176D3F">
              <w:t xml:space="preserve">: </w:t>
            </w:r>
            <w:r>
              <w:t xml:space="preserve">Commission estimates based on Johnson and </w:t>
            </w:r>
            <w:r w:rsidR="00B51CF2">
              <w:t>Noguera</w:t>
            </w:r>
            <w:r>
              <w:t xml:space="preserve"> (2012a). </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B05D72" w:rsidRDefault="00AC2131" w:rsidP="00AC2131">
      <w:pPr>
        <w:pStyle w:val="BodyText"/>
        <w:rPr>
          <w:spacing w:val="-4"/>
        </w:rPr>
      </w:pPr>
      <w:r w:rsidRPr="00B05D72">
        <w:rPr>
          <w:spacing w:val="-4"/>
        </w:rPr>
        <w:t>The increase in the ratio of gross exports to value added, between 1970 and 2009, particularly after 1990, predominantly reflects structural changes within the global manufacturing sector (figure 2.5). In particular, while exports of final manufactures has grown (steadily), the number of stages (or slicing up) of the stock of final manufactures has increased faster. As a result, the value of exports of manufactures relative to the value added exports of manufacturing has risen over 30 per cent — mainly since 1990. In contrast, exports of agricultural products and services per unit of value added in exports has slightly declined — as exports of agricultural products and services have grown slower than the use of those products as inputs into the increasingly fragmented manufacturing sector.</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RPr="00176D3F"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rPr>
                <w:rStyle w:val="NoteLabel"/>
              </w:rPr>
            </w:pPr>
            <w:r w:rsidRPr="00784A05">
              <w:rPr>
                <w:b w:val="0"/>
              </w:rPr>
              <w:t xml:space="preserve">Figure </w:t>
            </w:r>
            <w:r>
              <w:rPr>
                <w:b w:val="0"/>
              </w:rPr>
              <w:t>2.</w:t>
            </w:r>
            <w:r>
              <w:rPr>
                <w:b w:val="0"/>
                <w:noProof/>
              </w:rPr>
              <w:t>5</w:t>
            </w:r>
            <w:r>
              <w:tab/>
              <w:t>Value added in exporting varies between sector and over time, 1970 to 2009</w:t>
            </w:r>
          </w:p>
          <w:p w:rsidR="00AC2131" w:rsidRPr="00BD6650" w:rsidRDefault="00AC2131" w:rsidP="00AC2131">
            <w:pPr>
              <w:pStyle w:val="Subtitle"/>
            </w:pPr>
            <w:r>
              <w:t>Ratio of gross exports of a sector to sectoral value added in exports</w:t>
            </w:r>
            <w:r w:rsidRPr="001C47F4">
              <w:rPr>
                <w:rStyle w:val="NoteLabel"/>
              </w:rPr>
              <w:t>a</w:t>
            </w:r>
            <w:r>
              <w:rPr>
                <w:rStyle w:val="NoteLabel"/>
              </w:rPr>
              <w:t>,b</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5D5F4078" wp14:editId="2A39259E">
                        <wp:extent cx="5400675" cy="2876550"/>
                        <wp:effectExtent l="0" t="0" r="9525" b="0"/>
                        <wp:docPr id="14" name="Picture 14" descr="Figure 2.5 presents the ratio of global gross exports of a sector to sectoral value added in exports, from 1970 to 2009. More details can be found within the text immediately surrounding this 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C2131" w:rsidRDefault="00AC2131" w:rsidP="00AC2131">
            <w:pPr>
              <w:pStyle w:val="Figure"/>
            </w:pPr>
          </w:p>
        </w:tc>
      </w:tr>
      <w:tr w:rsidR="00AC2131" w:rsidRPr="00784A05" w:rsidTr="00AC2131">
        <w:tc>
          <w:tcPr>
            <w:tcW w:w="8771" w:type="dxa"/>
            <w:tcBorders>
              <w:top w:val="nil"/>
              <w:left w:val="nil"/>
              <w:bottom w:val="nil"/>
              <w:right w:val="nil"/>
            </w:tcBorders>
            <w:shd w:val="clear" w:color="auto" w:fill="auto"/>
          </w:tcPr>
          <w:p w:rsidR="00AC2131" w:rsidRPr="00784A05" w:rsidRDefault="00AC2131" w:rsidP="00AC2131">
            <w:pPr>
              <w:pStyle w:val="Note"/>
              <w:rPr>
                <w:i/>
              </w:rPr>
            </w:pPr>
            <w:r w:rsidRPr="00074A3B">
              <w:rPr>
                <w:rStyle w:val="NoteLabel"/>
              </w:rPr>
              <w:t>a</w:t>
            </w:r>
            <w:r>
              <w:t xml:space="preserve"> The original estimates of Johnson and </w:t>
            </w:r>
            <w:r w:rsidR="00B51CF2">
              <w:t>Noguera</w:t>
            </w:r>
            <w:r>
              <w:t xml:space="preserve"> were expressed in terms of value added exports by sector to gross exports of the sector (the sectoral VAX ratio). </w:t>
            </w:r>
            <w:r>
              <w:rPr>
                <w:rStyle w:val="NoteLabel"/>
              </w:rPr>
              <w:t>b</w:t>
            </w:r>
            <w:r>
              <w:t> Non-manufacturing includes oil and gas, iron ores and other mining.</w:t>
            </w: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 xml:space="preserve">Johnson and </w:t>
            </w:r>
            <w:r w:rsidR="00B51CF2">
              <w:t>Noguera</w:t>
            </w:r>
            <w:r>
              <w:t xml:space="preserve"> (2012a, p. 58).</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626D32"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2"/>
      </w:pPr>
      <w:r>
        <w:t>2.</w:t>
      </w:r>
      <w:r>
        <w:rPr>
          <w:noProof/>
        </w:rPr>
        <w:t>2</w:t>
      </w:r>
      <w:r>
        <w:tab/>
        <w:t>International trade competitiveness</w:t>
      </w:r>
    </w:p>
    <w:p w:rsidR="00AC2131" w:rsidRDefault="00AC2131" w:rsidP="00AC2131">
      <w:pPr>
        <w:pStyle w:val="BodyText"/>
      </w:pPr>
      <w:r>
        <w:t xml:space="preserve">The evolution of global supply chains has been paralleled by empirical research that has sought to identify the determinants of trade patterns and to disentangle the relative importance of cross-country industry and firm differences in factor endowments, institutional arrangements and trade costs (box 2.1).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2.</w:t>
            </w:r>
            <w:r>
              <w:rPr>
                <w:b w:val="0"/>
                <w:noProof/>
              </w:rPr>
              <w:t>1</w:t>
            </w:r>
            <w:r>
              <w:tab/>
              <w:t>Sources of trade competiveness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 xml:space="preserve">As emphasised by the OECD (2011a) international trade is (largely) driven by </w:t>
            </w:r>
            <w:r w:rsidRPr="00C125A3">
              <w:rPr>
                <w:i/>
              </w:rPr>
              <w:t>relative</w:t>
            </w:r>
            <w:r>
              <w:t xml:space="preserve"> trade competitiveness (that is, comparative advantage), which can be described in the following way:</w:t>
            </w:r>
          </w:p>
          <w:p w:rsidR="00AC2131" w:rsidRDefault="00AC2131" w:rsidP="00AC2131">
            <w:pPr>
              <w:pStyle w:val="BoxQuote"/>
            </w:pPr>
            <w:r>
              <w:t>… a country [firm] has comparative advantage in producing a good if the opportunity cost of producing that good in terms of other goods is lower in that country [firm] than it is in other countries. (Krugman and Obstfeld 2009, p.29)</w:t>
            </w:r>
          </w:p>
          <w:p w:rsidR="00AC2131" w:rsidRDefault="00AC2131" w:rsidP="00AC2131">
            <w:pPr>
              <w:pStyle w:val="Box"/>
            </w:pPr>
            <w:r>
              <w:t xml:space="preserve">While well established, and supported be contemporary empirical studies, there are a number of distinct sources of difference between industries and businesses (across countries) that generate opportunities for mutually beneficial international trade. </w:t>
            </w:r>
          </w:p>
          <w:p w:rsidR="00AC2131" w:rsidRDefault="00AC2131" w:rsidP="00AC2131">
            <w:pPr>
              <w:pStyle w:val="BoxListBullet"/>
            </w:pPr>
            <w:r>
              <w:t xml:space="preserve">Comparative advantages, posited in the principal theories of trade, based on cross-country differences in technology; cross-country differences in factor endowments; differences between industries and countries in industrial organisation, such as imperfect competition, returns to scale, and product differentiation and productivity differences between firms within industries. </w:t>
            </w:r>
          </w:p>
          <w:p w:rsidR="00AC2131" w:rsidRDefault="00AC2131" w:rsidP="00AC2131">
            <w:pPr>
              <w:pStyle w:val="BoxListBullet"/>
            </w:pPr>
            <w:r>
              <w:t xml:space="preserve">‘Institutional’ comparative advantages, arising from, for instance, differences in the local system of labour market arrangements, the availability of finance and financial institutions, legal systems and the recognition of property rights, intellectual property arrangements and, foreign direct investment policy. </w:t>
            </w:r>
          </w:p>
          <w:p w:rsidR="00AC2131" w:rsidRDefault="00AC2131" w:rsidP="00AC2131">
            <w:pPr>
              <w:pStyle w:val="BoxListBullet"/>
            </w:pPr>
            <w:r>
              <w:t xml:space="preserve">Direct costs of trade and trade facilitation advantages arising from, for example, the proximity of trading partners, the availability of efficient transportation and communications as well as efficient and effective border control and customs procedures. </w:t>
            </w:r>
          </w:p>
          <w:p w:rsidR="00AC2131" w:rsidRDefault="00AC2131" w:rsidP="00AC2131">
            <w:pPr>
              <w:pStyle w:val="Box"/>
            </w:pPr>
            <w:r>
              <w:t xml:space="preserve">Trade and investment can be eroded by barriers to trade such as though customs tariffs, quotas, local content schemes, preferential trading arrangements under bilateral and regional trade agreements, as well as industry subsidies and product marketing arrangements, preferential rules of origin in merchandise and services trade and inappropriately stringent quarantine arrangements. </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While this chapter does not seek to review all facets of trade competitiveness as it relates to Australia and its key trading partners, the empirical studies in this stream of investigation (box 2.2) have drawn attention to: </w:t>
      </w:r>
    </w:p>
    <w:p w:rsidR="00AC2131" w:rsidRDefault="00AC2131" w:rsidP="00AC2131">
      <w:pPr>
        <w:pStyle w:val="ListBullet"/>
      </w:pPr>
      <w:r>
        <w:t xml:space="preserve">the rate of change in countries’ most internationally competitive industries or activities is quite fast (or faster than what might have been guessed based on static analysis of representative firms or activities) suggesting that ‘winners’ are ‘temporary’ and evolve over time </w:t>
      </w:r>
    </w:p>
    <w:p w:rsidR="00AC2131" w:rsidRDefault="00AC2131" w:rsidP="00AC2131">
      <w:pPr>
        <w:pStyle w:val="ListBullet"/>
      </w:pPr>
      <w:r>
        <w:t xml:space="preserve">the role </w:t>
      </w:r>
      <w:r w:rsidRPr="00B758DA">
        <w:t>that</w:t>
      </w:r>
      <w:r>
        <w:t xml:space="preserve"> </w:t>
      </w:r>
      <w:r w:rsidRPr="00B758DA">
        <w:t>institution</w:t>
      </w:r>
      <w:r>
        <w:t>al settings</w:t>
      </w:r>
      <w:r w:rsidRPr="00B758DA">
        <w:t xml:space="preserve"> play in determining </w:t>
      </w:r>
      <w:r>
        <w:t>the overall</w:t>
      </w:r>
      <w:r w:rsidRPr="00B758DA">
        <w:t xml:space="preserve"> </w:t>
      </w:r>
      <w:r>
        <w:t xml:space="preserve">trade competiveness of an economy </w:t>
      </w:r>
    </w:p>
    <w:p w:rsidR="00AC2131" w:rsidRDefault="00AC2131" w:rsidP="00AC2131">
      <w:pPr>
        <w:pStyle w:val="ListBullet"/>
      </w:pPr>
      <w:r>
        <w:t xml:space="preserve">the importance of trade costs (such as transport and merchant costs and customs clearance time and charges) and the prospect that these may be the most important factor in determining trade patterns and product specialisation, for the ‘average’ country, compared with industry-level productivity differences and factor endowments. </w:t>
      </w:r>
    </w:p>
    <w:p w:rsidR="00AC2131" w:rsidRDefault="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2.</w:t>
            </w:r>
            <w:r>
              <w:rPr>
                <w:b w:val="0"/>
                <w:noProof/>
              </w:rPr>
              <w:t>2</w:t>
            </w:r>
            <w:r>
              <w:tab/>
              <w:t>Some recent empirical studies on trade competitiveness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Heading1"/>
            </w:pPr>
            <w:r>
              <w:t>The dynamic nature of comparative advantage</w:t>
            </w:r>
          </w:p>
          <w:p w:rsidR="00AC2131" w:rsidRDefault="00AC2131" w:rsidP="00AC2131">
            <w:pPr>
              <w:pStyle w:val="Box"/>
            </w:pPr>
            <w:r>
              <w:t xml:space="preserve">Hanson et al. (2014) </w:t>
            </w:r>
            <w:r w:rsidRPr="000B54E4">
              <w:t>explore the long</w:t>
            </w:r>
            <w:r>
              <w:t>-</w:t>
            </w:r>
            <w:r w:rsidRPr="000B54E4">
              <w:t>run evolution of comparative advantage for 135 industries</w:t>
            </w:r>
            <w:r>
              <w:t xml:space="preserve"> </w:t>
            </w:r>
            <w:r w:rsidRPr="000B54E4">
              <w:t xml:space="preserve">in 90 countries from 1962 to 2007. </w:t>
            </w:r>
            <w:r>
              <w:t>They find that i</w:t>
            </w:r>
            <w:r w:rsidRPr="000B54E4">
              <w:t>n the typical country, export success is highly concentrated in a handful</w:t>
            </w:r>
            <w:r>
              <w:t xml:space="preserve"> </w:t>
            </w:r>
            <w:r w:rsidRPr="000B54E4">
              <w:t xml:space="preserve">of </w:t>
            </w:r>
            <w:r>
              <w:t xml:space="preserve">broad </w:t>
            </w:r>
            <w:r w:rsidRPr="000B54E4">
              <w:t>industries</w:t>
            </w:r>
            <w:r>
              <w:t xml:space="preserve"> (defined at a mix of two and three digit level in the Standard International Trade Classification.)</w:t>
            </w:r>
            <w:r w:rsidRPr="000B54E4">
              <w:t>.</w:t>
            </w:r>
            <w:r>
              <w:t xml:space="preserve"> They also find there is </w:t>
            </w:r>
            <w:r w:rsidRPr="000B54E4">
              <w:t>a high</w:t>
            </w:r>
            <w:r>
              <w:t xml:space="preserve"> </w:t>
            </w:r>
            <w:r w:rsidRPr="000B54E4">
              <w:t>rate of turnover in a country’s top export industries</w:t>
            </w:r>
            <w:r>
              <w:t xml:space="preserve">, </w:t>
            </w:r>
            <w:r w:rsidRPr="000B54E4">
              <w:t xml:space="preserve">which </w:t>
            </w:r>
            <w:r>
              <w:t xml:space="preserve">they </w:t>
            </w:r>
            <w:r w:rsidRPr="000B54E4">
              <w:t>estimate to be o</w:t>
            </w:r>
            <w:r>
              <w:t>f</w:t>
            </w:r>
            <w:r w:rsidRPr="000B54E4">
              <w:t xml:space="preserve"> the order of 35</w:t>
            </w:r>
            <w:r>
              <w:t> per cent t</w:t>
            </w:r>
            <w:r w:rsidRPr="000B54E4">
              <w:t>o 55</w:t>
            </w:r>
            <w:r>
              <w:t> per cent</w:t>
            </w:r>
            <w:r w:rsidRPr="000B54E4">
              <w:t xml:space="preserve"> per</w:t>
            </w:r>
            <w:r>
              <w:t xml:space="preserve"> </w:t>
            </w:r>
            <w:r w:rsidRPr="000B54E4">
              <w:t>decade</w:t>
            </w:r>
            <w:r>
              <w:t xml:space="preserve">. The dynamic nature of comparative advantage is also empirically studied by Levchenko and Zhang (2011), OECD (2011b) and WTO (2013). </w:t>
            </w:r>
          </w:p>
          <w:p w:rsidR="00AC2131" w:rsidRDefault="00AC2131" w:rsidP="00AC2131">
            <w:pPr>
              <w:pStyle w:val="BoxHeading1"/>
            </w:pPr>
            <w:r>
              <w:t>Disentangling multiple sources of comparative advantage</w:t>
            </w:r>
          </w:p>
          <w:p w:rsidR="00AC2131" w:rsidRDefault="00AC2131" w:rsidP="00AC2131">
            <w:pPr>
              <w:pStyle w:val="Box"/>
            </w:pPr>
            <w:r>
              <w:t xml:space="preserve">An OECD study (Kowalski 2011) sought to jointly investigate the effect of numerous sources of comparative advantage. </w:t>
            </w:r>
            <w:r w:rsidRPr="001A1010">
              <w:t>The empirical</w:t>
            </w:r>
            <w:r>
              <w:t xml:space="preserve"> </w:t>
            </w:r>
            <w:r w:rsidRPr="001A1010">
              <w:t xml:space="preserve">investigation </w:t>
            </w:r>
            <w:r>
              <w:t xml:space="preserve">covered </w:t>
            </w:r>
            <w:r w:rsidRPr="001A1010">
              <w:t>bilateral trade of 55 OECD and selected emerging market</w:t>
            </w:r>
            <w:r>
              <w:t xml:space="preserve"> </w:t>
            </w:r>
            <w:r w:rsidRPr="001A1010">
              <w:t>economies and 44 manufacturing sectors</w:t>
            </w:r>
            <w:r>
              <w:t>,</w:t>
            </w:r>
            <w:r w:rsidRPr="001A1010">
              <w:t xml:space="preserve"> covering the entirety of merchandise</w:t>
            </w:r>
            <w:r>
              <w:t xml:space="preserve"> </w:t>
            </w:r>
            <w:r w:rsidRPr="001A1010">
              <w:t>trade</w:t>
            </w:r>
            <w:r>
              <w:t xml:space="preserve"> in 1995 and 2005. Overall, capital-to-labour ratios were estimated to be as important as distance in explaining trade patterns. Cross-country differences in secondary and tertiary education provide approximately half the explanatory power compared with distance. Country and industry differences in availability of credit and primary energy supply, regulatory quality and labour market rigidity were also confirmed as having a role in explaining the trade patterns. Another OECD study (Johannson and Olaberria 2014) performed a similar disentangling analysis using value-added production data covering manufacturing and services. Again, factor endowment differences do not fully explain production specialisation.</w:t>
            </w:r>
          </w:p>
          <w:p w:rsidR="00AC2131" w:rsidRPr="00A57A71" w:rsidRDefault="00AC2131" w:rsidP="00AC2131">
            <w:pPr>
              <w:pStyle w:val="BoxHeading1"/>
            </w:pPr>
            <w:r w:rsidRPr="00A57A71">
              <w:t>Institution</w:t>
            </w:r>
            <w:r>
              <w:t xml:space="preserve">s and </w:t>
            </w:r>
            <w:r w:rsidRPr="00A57A71">
              <w:t>comparative advantages</w:t>
            </w:r>
          </w:p>
          <w:p w:rsidR="00AC2131" w:rsidRDefault="00AC2131" w:rsidP="00AC2131">
            <w:pPr>
              <w:pStyle w:val="Box"/>
            </w:pPr>
            <w:r>
              <w:t xml:space="preserve">Nicolini (2011) focused specifically on the role of potential sources of institutional comparative advantage in a panel data analysis of variations in exports for 100 countries in 28 sectors across 1976 to 2004. Previous studies along these lines have been for single years (that is, cross sectional) and/or of single institutional variables. While confirming an important role for capital and skilled labour (in capital intensive and skill intensive industries) the analysis also finds a role for institutional quality as a source of comparative advantage. Better quality contract enforcement in the production of complex goods is identified as a source of comparative advantage, and this effect is gaining relevance over time, and is found to be more important in OECD than non-OECD countries. The level of development of financial institutions is also found to be a source of comparative advantage in industries that rely more on external financing. </w:t>
            </w:r>
          </w:p>
          <w:p w:rsidR="00AC2131" w:rsidRDefault="00AC2131" w:rsidP="00AC2131">
            <w:pPr>
              <w:pStyle w:val="BoxHeading1"/>
            </w:pPr>
            <w:r>
              <w:t>Are trade costs more relevant than factor endowments as determinants of trade specialisation?</w:t>
            </w:r>
          </w:p>
          <w:p w:rsidR="00AC2131" w:rsidRDefault="00AC2131" w:rsidP="00AC2131">
            <w:pPr>
              <w:pStyle w:val="Box"/>
            </w:pPr>
            <w:r>
              <w:t>Shikher (2013) advances previous treatments of trade costs in trade models by allowing for trade costs to be different for each industry and each pair of countries. The relative role of trade costs was then concurrently evaluated with factor endowments, technology and taste differences, in explaining the trade patterns among 19 OECD countries in eight broad manufacturing industries. The model was parameterized to 1989 data and then the effect of removing a single determinant from the model was simulated. Amongst other things the study indicated, that trade costs of an ‘average’ economy were relatively more important than variation in industry productivity and factor endowments. Such considerations appear most pronounced in middle income than richer countries. (Separate results for Australia, which is an outlier in terms of distance and natural resource endowments, are not available).</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lastRenderedPageBreak/>
        <w:t xml:space="preserve">Complementary to empirical trade studies at the country and industry level has been some investigations of firm-level trade. A robust finding across countries and industries, and over time, is that a small percentage of firms in an industry account for a large share of exports, and that many firms in an industry do not directly export. This prompts the question, whether firms engaging in exporting, and more particularly global value chains, stand-out from other firms in terms of their underlying characteristics. </w:t>
      </w:r>
    </w:p>
    <w:p w:rsidR="00AC2131" w:rsidRDefault="00AC2131" w:rsidP="00AC2131">
      <w:pPr>
        <w:pStyle w:val="BodyText"/>
      </w:pPr>
      <w:r>
        <w:t>An issue in this regard is how firms benefit from i</w:t>
      </w:r>
      <w:r w:rsidRPr="009E5E67">
        <w:t xml:space="preserve">ntegration into a </w:t>
      </w:r>
      <w:r>
        <w:t>global value chain — possibilities include through a</w:t>
      </w:r>
      <w:r w:rsidRPr="009E5E67">
        <w:t>ccess</w:t>
      </w:r>
      <w:r>
        <w:t>ing</w:t>
      </w:r>
      <w:r w:rsidRPr="009E5E67">
        <w:t xml:space="preserve"> larger foreign markets allow</w:t>
      </w:r>
      <w:r>
        <w:t>ing</w:t>
      </w:r>
      <w:r w:rsidRPr="009E5E67">
        <w:t xml:space="preserve"> exploit</w:t>
      </w:r>
      <w:r>
        <w:t>ation of</w:t>
      </w:r>
      <w:r w:rsidRPr="009E5E67">
        <w:t xml:space="preserve"> scale economies, learn</w:t>
      </w:r>
      <w:r>
        <w:t>ing</w:t>
      </w:r>
      <w:r w:rsidRPr="009E5E67">
        <w:t xml:space="preserve"> about new technologies and products and becom</w:t>
      </w:r>
      <w:r>
        <w:t>ing</w:t>
      </w:r>
      <w:r w:rsidRPr="009E5E67">
        <w:t xml:space="preserve"> more innovative.</w:t>
      </w:r>
      <w:r>
        <w:rPr>
          <w:rStyle w:val="FootnoteReference"/>
        </w:rPr>
        <w:footnoteReference w:id="6"/>
      </w:r>
      <w:r w:rsidRPr="009E5E67">
        <w:t xml:space="preserve"> </w:t>
      </w:r>
      <w:r>
        <w:t xml:space="preserve">Participation in a global value chain may also provide </w:t>
      </w:r>
      <w:r w:rsidRPr="009E5E67">
        <w:t xml:space="preserve">access to cheaper intermediate products, a wider variety of products, or a higher quality of foreign inputs, all of which may improve efficiency and reduce costs. </w:t>
      </w:r>
    </w:p>
    <w:p w:rsidR="00AC2131" w:rsidRDefault="00AC2131" w:rsidP="00AC2131">
      <w:pPr>
        <w:pStyle w:val="BodyText"/>
      </w:pPr>
      <w:r>
        <w:t>There is empirical evidence from Canadian manufacturing firms which suggests that firms which participate in global value chains are more productive (box 2.3). The effects were more pronounced in high and medium-high technology industries. P</w:t>
      </w:r>
      <w:r w:rsidRPr="00874170">
        <w:t xml:space="preserve">roductivity growth was </w:t>
      </w:r>
      <w:r>
        <w:t xml:space="preserve">also </w:t>
      </w:r>
      <w:r w:rsidRPr="00874170">
        <w:t xml:space="preserve">higher for </w:t>
      </w:r>
      <w:r>
        <w:t xml:space="preserve">the </w:t>
      </w:r>
      <w:r w:rsidRPr="00874170">
        <w:t xml:space="preserve">firms that </w:t>
      </w:r>
      <w:r>
        <w:t xml:space="preserve">traded with </w:t>
      </w:r>
      <w:r w:rsidRPr="00874170">
        <w:t>high-wage countries</w:t>
      </w:r>
      <w:r>
        <w:t>, which is consistent with the learning-by-exporting hypothesis and the hypothesis that imports provide a channel of technology diffusion. There were also some benefits to Canadian manufacturing firms in terms of cost savings from the use of imported inputs from low-wage countries in low technology industries.</w:t>
      </w:r>
      <w:r>
        <w:rPr>
          <w:rStyle w:val="FootnoteReference"/>
        </w:rPr>
        <w:footnoteReference w:id="7"/>
      </w:r>
      <w:r>
        <w:t xml:space="preserve">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2.</w:t>
            </w:r>
            <w:r>
              <w:rPr>
                <w:b w:val="0"/>
                <w:noProof/>
              </w:rPr>
              <w:t>3</w:t>
            </w:r>
            <w:r>
              <w:tab/>
              <w:t>Participation in global value chains found to have increased productivity of Canadian manufacturing firms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rsidRPr="007D7E66">
              <w:t xml:space="preserve">Baldwin and Yan (2014) examined whether the integration of Canadian manufacturing firms into a global value chain (GVC) improves their productivity. </w:t>
            </w:r>
            <w:r>
              <w:t xml:space="preserve">The firm sample covered the majority of Canadian manufacturing firms (around 30 000) over the period 2002 to 2006. </w:t>
            </w:r>
            <w:r w:rsidRPr="007D7E66">
              <w:t>Baldwin and Yan define GVC status as those f</w:t>
            </w:r>
            <w:r>
              <w:t>i</w:t>
            </w:r>
            <w:r w:rsidRPr="007D7E66">
              <w:t xml:space="preserve">rms engaging in both importing and exporting. </w:t>
            </w:r>
            <w:r>
              <w:t xml:space="preserve">Accordingly, about </w:t>
            </w:r>
            <w:r w:rsidRPr="007D7E66">
              <w:t>28 per cent of Canadian manufacturing firms participated in GVCs</w:t>
            </w:r>
            <w:r>
              <w:t>. A</w:t>
            </w:r>
            <w:r w:rsidRPr="003A150D">
              <w:t xml:space="preserve">bout </w:t>
            </w:r>
            <w:r>
              <w:t xml:space="preserve">30 per cent of firms neither export or import and about 20 per cent only import material or only export. </w:t>
            </w:r>
          </w:p>
          <w:p w:rsidR="00AC2131" w:rsidRDefault="00AC2131" w:rsidP="00AC2131">
            <w:pPr>
              <w:pStyle w:val="Box"/>
            </w:pPr>
            <w:r>
              <w:t xml:space="preserve">The raw data shows that the GVC firms </w:t>
            </w:r>
            <w:r w:rsidRPr="007D7E66">
              <w:t>had higher sales per worker (14</w:t>
            </w:r>
            <w:r>
              <w:t> per cent</w:t>
            </w:r>
            <w:r w:rsidRPr="007D7E66">
              <w:t>)</w:t>
            </w:r>
            <w:r>
              <w:t>,</w:t>
            </w:r>
            <w:r w:rsidRPr="007D7E66">
              <w:t xml:space="preserve"> paid higher wages (6</w:t>
            </w:r>
            <w:r>
              <w:t xml:space="preserve"> per cent) and were </w:t>
            </w:r>
            <w:r w:rsidRPr="007D7E66">
              <w:t>also more likely to be foreign-controlled.</w:t>
            </w:r>
            <w:r>
              <w:t xml:space="preserve"> However, such survey data alone is insufficient to conclude whether being in a GVC raises productivity or whether more productive firms participate in GVCs. After statistically controlling for potential selection bias, Baldwin and Yan found that </w:t>
            </w:r>
            <w:r w:rsidRPr="00E15DF4">
              <w:t>firms that joined GVCs were significantly more productive than those that did not, and firms that exited from GVCs were significantly less productive than those that continued to participate in a GVC</w:t>
            </w:r>
            <w:r>
              <w:t xml:space="preserve">. </w:t>
            </w:r>
            <w:r w:rsidRPr="00E15DF4">
              <w:t>During their first year in a GVC, firms experienced 5</w:t>
            </w:r>
            <w:r>
              <w:t> per cent</w:t>
            </w:r>
            <w:r w:rsidRPr="00E15DF4">
              <w:t xml:space="preserve"> more productivity growth than did non-GVC firms. The gap accumulated to 9</w:t>
            </w:r>
            <w:r>
              <w:t> per cent</w:t>
            </w:r>
            <w:r w:rsidRPr="00E15DF4">
              <w:t xml:space="preserve"> over four years. Alternatively, in the first year after they ceased to be in a GVC, firms experienced 1</w:t>
            </w:r>
            <w:r>
              <w:t xml:space="preserve"> per cent </w:t>
            </w:r>
            <w:r w:rsidRPr="00E15DF4">
              <w:t>lower productivity growth, compared with continuing GVC firms. The relative loss over four years amounted to 8</w:t>
            </w:r>
            <w:r>
              <w:t> per cent.</w:t>
            </w:r>
          </w:p>
          <w:p w:rsidR="00AC2131" w:rsidRDefault="00AC2131" w:rsidP="00AC2131">
            <w:pPr>
              <w:pStyle w:val="Box"/>
            </w:pPr>
            <w:r w:rsidRPr="000749CD">
              <w:t xml:space="preserve">The magnitude and timing of the </w:t>
            </w:r>
            <w:r>
              <w:t xml:space="preserve">productivity </w:t>
            </w:r>
            <w:r w:rsidRPr="000749CD">
              <w:t xml:space="preserve">effects of GVC status </w:t>
            </w:r>
            <w:r>
              <w:t xml:space="preserve">was not uniform across industries. </w:t>
            </w:r>
            <w:r w:rsidRPr="000749CD">
              <w:t>Around 50</w:t>
            </w:r>
            <w:r>
              <w:t> per cent</w:t>
            </w:r>
            <w:r w:rsidRPr="000749CD">
              <w:t xml:space="preserve"> of firms in high- and medium</w:t>
            </w:r>
            <w:r>
              <w:t>-to-</w:t>
            </w:r>
            <w:r w:rsidRPr="000749CD">
              <w:t>high-technology industries were integrated into GVCs, compared with the overall average of 28</w:t>
            </w:r>
            <w:r>
              <w:t> per cent</w:t>
            </w:r>
            <w:r w:rsidRPr="000749CD">
              <w:t xml:space="preserve">. </w:t>
            </w:r>
            <w:r>
              <w:t>And t</w:t>
            </w:r>
            <w:r w:rsidRPr="000749CD">
              <w:t xml:space="preserve">he productivity benefits of GVC participation </w:t>
            </w:r>
            <w:r>
              <w:t xml:space="preserve">by firms in the high technology sector were </w:t>
            </w:r>
            <w:r w:rsidRPr="000749CD">
              <w:t>almost double the gain of an average GVC starter.</w:t>
            </w:r>
            <w:r>
              <w:t xml:space="preserve"> Nonetheless, GVC participation also resulted in higher productivity across many other industries.</w:t>
            </w:r>
            <w:r w:rsidRPr="000749CD">
              <w:t xml:space="preserve"> </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pPr>
            <w:r>
              <w:rPr>
                <w:i/>
              </w:rPr>
              <w:t>Source</w:t>
            </w:r>
            <w:r w:rsidRPr="00167F06">
              <w:t xml:space="preserve">: </w:t>
            </w:r>
            <w:r>
              <w:t>Baldwin and Yan (2014).</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2"/>
      </w:pPr>
      <w:r>
        <w:t>2.</w:t>
      </w:r>
      <w:r>
        <w:rPr>
          <w:noProof/>
        </w:rPr>
        <w:t>3</w:t>
      </w:r>
      <w:r>
        <w:tab/>
        <w:t>Assistance to exporting and Australia’s export competitiveness</w:t>
      </w:r>
    </w:p>
    <w:p w:rsidR="00AC2131" w:rsidRDefault="00AC2131" w:rsidP="00AC2131">
      <w:pPr>
        <w:pStyle w:val="BodyText"/>
      </w:pPr>
      <w:r>
        <w:t xml:space="preserve">The previous sections outlined patterns of global trade, the determinants of trade competitiveness and drew attention to some policy implications. Against that background, this section identifies the main export assistance programs of the Australian Government. It highlights a diversity (indeed a plethora) of measures and target activities. A key issue is whether the rationales, effectiveness and efficiency of these export assistance programs are beneficial both in context of global value chains and value-added export patterns, and more generally. The section also previews aspects of the Australian Government’s recent </w:t>
      </w:r>
      <w:r w:rsidRPr="001C47F4">
        <w:rPr>
          <w:i/>
        </w:rPr>
        <w:t>Industry, Innovation and Competitiveness Agenda</w:t>
      </w:r>
      <w:r>
        <w:t>, which includes measures intended to boost exports, and in some cases direct public support towards particular ‘priority’ industries.</w:t>
      </w:r>
    </w:p>
    <w:p w:rsidR="00AC2131" w:rsidRDefault="00AC2131" w:rsidP="00AC2131">
      <w:pPr>
        <w:pStyle w:val="Heading3"/>
      </w:pPr>
      <w:r>
        <w:lastRenderedPageBreak/>
        <w:t>Australian Government programs to assist industry exporting and global value chain participation</w:t>
      </w:r>
    </w:p>
    <w:p w:rsidR="00AC2131" w:rsidRPr="002E5A82" w:rsidRDefault="00AC2131" w:rsidP="00AC2131">
      <w:pPr>
        <w:pStyle w:val="BodyText"/>
        <w:rPr>
          <w:spacing w:val="-4"/>
        </w:rPr>
      </w:pPr>
      <w:r w:rsidRPr="002E5A82">
        <w:rPr>
          <w:spacing w:val="-4"/>
        </w:rPr>
        <w:t>Successive Australian governments have provided assistance to businesses specifically to engage in global markets through exporting. In 2012</w:t>
      </w:r>
      <w:r w:rsidRPr="002E5A82">
        <w:rPr>
          <w:spacing w:val="-4"/>
        </w:rPr>
        <w:noBreakHyphen/>
        <w:t>13, Australian Government support through such programs amounted to over $900 million. The selective export support afforded by these programs comes in various forms and with differing target groups (table 2.2).</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2.</w:t>
            </w:r>
            <w:r>
              <w:rPr>
                <w:b w:val="0"/>
                <w:noProof/>
              </w:rPr>
              <w:t>2</w:t>
            </w:r>
            <w:r>
              <w:tab/>
              <w:t xml:space="preserve">Recent Australian Government export assistance </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88"/>
              <w:gridCol w:w="3544"/>
              <w:gridCol w:w="2555"/>
            </w:tblGrid>
            <w:tr w:rsidR="00AC2131" w:rsidTr="00AC2131">
              <w:tc>
                <w:tcPr>
                  <w:tcW w:w="140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Type of export assistance</w:t>
                  </w:r>
                </w:p>
              </w:tc>
              <w:tc>
                <w:tcPr>
                  <w:tcW w:w="2088"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Example programs</w:t>
                  </w:r>
                </w:p>
              </w:tc>
              <w:tc>
                <w:tcPr>
                  <w:tcW w:w="150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right="28"/>
                    <w:jc w:val="left"/>
                  </w:pPr>
                  <w:r>
                    <w:t>Government outlays 2013-14</w:t>
                  </w:r>
                </w:p>
              </w:tc>
            </w:tr>
            <w:tr w:rsidR="00AC2131" w:rsidTr="00AC2131">
              <w:tc>
                <w:tcPr>
                  <w:tcW w:w="5000" w:type="pct"/>
                  <w:gridSpan w:val="3"/>
                  <w:tcBorders>
                    <w:top w:val="single" w:sz="6" w:space="0" w:color="BFBFBF"/>
                  </w:tcBorders>
                </w:tcPr>
                <w:p w:rsidR="00AC2131" w:rsidRDefault="00AC2131" w:rsidP="00AC2131">
                  <w:pPr>
                    <w:pStyle w:val="TableUnitsRow"/>
                    <w:spacing w:before="0" w:after="0"/>
                    <w:ind w:right="28"/>
                    <w:jc w:val="left"/>
                  </w:pPr>
                </w:p>
              </w:tc>
            </w:tr>
            <w:tr w:rsidR="00AC2131" w:rsidTr="00AC2131">
              <w:tc>
                <w:tcPr>
                  <w:tcW w:w="1407" w:type="pct"/>
                </w:tcPr>
                <w:p w:rsidR="00AC2131" w:rsidRDefault="00AC2131" w:rsidP="00AC2131">
                  <w:pPr>
                    <w:pStyle w:val="TableBodyText"/>
                    <w:spacing w:after="30"/>
                    <w:jc w:val="left"/>
                  </w:pPr>
                  <w:r w:rsidRPr="00C97D09">
                    <w:rPr>
                      <w:b/>
                    </w:rPr>
                    <w:t>Industry specific</w:t>
                  </w:r>
                  <w:r>
                    <w:br/>
                  </w:r>
                  <w:r>
                    <w:br/>
                    <w:t>(through outlays, tax concessions and third party promotion and information services)</w:t>
                  </w:r>
                </w:p>
              </w:tc>
              <w:tc>
                <w:tcPr>
                  <w:tcW w:w="2088" w:type="pct"/>
                </w:tcPr>
                <w:p w:rsidR="00AC2131" w:rsidRPr="00B05D72" w:rsidRDefault="00AC2131" w:rsidP="00AC2131">
                  <w:pPr>
                    <w:pStyle w:val="TableBodyText"/>
                    <w:spacing w:after="30"/>
                    <w:jc w:val="left"/>
                    <w:rPr>
                      <w:spacing w:val="-2"/>
                    </w:rPr>
                  </w:pPr>
                  <w:r w:rsidRPr="00B05D72">
                    <w:rPr>
                      <w:spacing w:val="-2"/>
                    </w:rPr>
                    <w:t>Australia as a Financial Centre (reduced withholding tax) ($200.0m); Offshore Banking Units (tax concession) ($185.0m); Tourism Australia ($130.4m); Automotive New Markets Initiative ($6.3m); Global Supply Chains (Defence); Defence Export Unit; Clean Energy Trade and Investment Strategy; Food Innovation Australia Limited.</w:t>
                  </w:r>
                </w:p>
              </w:tc>
              <w:tc>
                <w:tcPr>
                  <w:tcW w:w="1505" w:type="pct"/>
                </w:tcPr>
                <w:p w:rsidR="00AC2131" w:rsidRDefault="00AC2131" w:rsidP="00AC2131">
                  <w:pPr>
                    <w:pStyle w:val="TableBodyText"/>
                    <w:spacing w:after="30"/>
                    <w:ind w:right="28"/>
                    <w:jc w:val="left"/>
                  </w:pPr>
                  <w:r>
                    <w:t>&gt; $521.0 million</w:t>
                  </w:r>
                </w:p>
              </w:tc>
            </w:tr>
            <w:tr w:rsidR="00AC2131" w:rsidTr="00AC2131">
              <w:tc>
                <w:tcPr>
                  <w:tcW w:w="1407" w:type="pct"/>
                </w:tcPr>
                <w:p w:rsidR="00AC2131" w:rsidRDefault="00AC2131" w:rsidP="00AC2131">
                  <w:pPr>
                    <w:pStyle w:val="TableBodyText"/>
                    <w:spacing w:after="0"/>
                    <w:jc w:val="left"/>
                  </w:pPr>
                </w:p>
              </w:tc>
              <w:tc>
                <w:tcPr>
                  <w:tcW w:w="2088" w:type="pct"/>
                </w:tcPr>
                <w:p w:rsidR="00AC2131" w:rsidRDefault="00AC2131" w:rsidP="00AC2131">
                  <w:pPr>
                    <w:pStyle w:val="TableBodyText"/>
                    <w:spacing w:after="0"/>
                    <w:jc w:val="left"/>
                  </w:pPr>
                </w:p>
              </w:tc>
              <w:tc>
                <w:tcPr>
                  <w:tcW w:w="1505" w:type="pct"/>
                </w:tcPr>
                <w:p w:rsidR="00AC2131" w:rsidRDefault="00AC2131" w:rsidP="00AC2131">
                  <w:pPr>
                    <w:pStyle w:val="TableBodyText"/>
                    <w:spacing w:after="0"/>
                    <w:ind w:right="28"/>
                    <w:jc w:val="left"/>
                  </w:pPr>
                </w:p>
              </w:tc>
            </w:tr>
            <w:tr w:rsidR="00AC2131" w:rsidTr="00AC2131">
              <w:tc>
                <w:tcPr>
                  <w:tcW w:w="1407" w:type="pct"/>
                </w:tcPr>
                <w:p w:rsidR="00AC2131" w:rsidRDefault="00AC2131" w:rsidP="00AC2131">
                  <w:pPr>
                    <w:pStyle w:val="TableBodyText"/>
                    <w:spacing w:after="30"/>
                    <w:jc w:val="left"/>
                  </w:pPr>
                  <w:r w:rsidRPr="00C97D09">
                    <w:rPr>
                      <w:b/>
                    </w:rPr>
                    <w:t>Generally available across industries</w:t>
                  </w:r>
                  <w:r>
                    <w:br/>
                  </w:r>
                  <w:r>
                    <w:br/>
                    <w:t>(through grants, loans, guarantees, third party promotion and information services)</w:t>
                  </w:r>
                </w:p>
              </w:tc>
              <w:tc>
                <w:tcPr>
                  <w:tcW w:w="2088" w:type="pct"/>
                </w:tcPr>
                <w:p w:rsidR="00AC2131" w:rsidRDefault="00AC2131" w:rsidP="00AC2131">
                  <w:pPr>
                    <w:pStyle w:val="TableBodyText"/>
                    <w:spacing w:after="30"/>
                    <w:jc w:val="left"/>
                  </w:pPr>
                  <w:r>
                    <w:t>Austrade ($176.8m); Export Market Development Grants ($113.6m); Export Finance and Insurance Corporation;</w:t>
                  </w:r>
                  <w:r w:rsidRPr="008E77FE">
                    <w:rPr>
                      <w:rStyle w:val="NoteLabel"/>
                    </w:rPr>
                    <w:t xml:space="preserve"> </w:t>
                  </w:r>
                  <w:r>
                    <w:t>Women in Global Business.</w:t>
                  </w:r>
                </w:p>
              </w:tc>
              <w:tc>
                <w:tcPr>
                  <w:tcW w:w="1505" w:type="pct"/>
                </w:tcPr>
                <w:p w:rsidR="00AC2131" w:rsidRDefault="00AC2131" w:rsidP="00AC2131">
                  <w:pPr>
                    <w:pStyle w:val="TableBodyText"/>
                    <w:spacing w:after="30"/>
                    <w:ind w:right="28"/>
                    <w:jc w:val="left"/>
                  </w:pPr>
                  <w:r>
                    <w:t>$290.4 million</w:t>
                  </w:r>
                  <w:r w:rsidRPr="008E77FE">
                    <w:rPr>
                      <w:rStyle w:val="NoteLabel"/>
                    </w:rPr>
                    <w:t>a</w:t>
                  </w:r>
                </w:p>
              </w:tc>
            </w:tr>
            <w:tr w:rsidR="00AC2131" w:rsidTr="00AC2131">
              <w:tc>
                <w:tcPr>
                  <w:tcW w:w="1407" w:type="pct"/>
                </w:tcPr>
                <w:p w:rsidR="00AC2131" w:rsidRDefault="00AC2131" w:rsidP="00AC2131">
                  <w:pPr>
                    <w:pStyle w:val="TableBodyText"/>
                    <w:spacing w:after="0"/>
                    <w:jc w:val="left"/>
                  </w:pPr>
                </w:p>
              </w:tc>
              <w:tc>
                <w:tcPr>
                  <w:tcW w:w="2088" w:type="pct"/>
                </w:tcPr>
                <w:p w:rsidR="00AC2131" w:rsidRDefault="00AC2131" w:rsidP="00AC2131">
                  <w:pPr>
                    <w:pStyle w:val="TableBodyText"/>
                    <w:spacing w:after="0"/>
                    <w:jc w:val="left"/>
                  </w:pPr>
                </w:p>
              </w:tc>
              <w:tc>
                <w:tcPr>
                  <w:tcW w:w="1505" w:type="pct"/>
                </w:tcPr>
                <w:p w:rsidR="00AC2131" w:rsidRDefault="00AC2131" w:rsidP="00AC2131">
                  <w:pPr>
                    <w:pStyle w:val="TableBodyText"/>
                    <w:spacing w:after="0"/>
                    <w:ind w:right="28"/>
                    <w:jc w:val="left"/>
                  </w:pPr>
                </w:p>
              </w:tc>
            </w:tr>
            <w:tr w:rsidR="00AC2131" w:rsidTr="00AC2131">
              <w:tc>
                <w:tcPr>
                  <w:tcW w:w="1407" w:type="pct"/>
                </w:tcPr>
                <w:p w:rsidR="00AC2131" w:rsidRPr="00C97D09" w:rsidRDefault="00AC2131" w:rsidP="00AC2131">
                  <w:pPr>
                    <w:pStyle w:val="TableBodyText"/>
                    <w:spacing w:after="30"/>
                    <w:jc w:val="left"/>
                    <w:rPr>
                      <w:b/>
                    </w:rPr>
                  </w:pPr>
                  <w:r w:rsidRPr="00C97D09">
                    <w:rPr>
                      <w:b/>
                    </w:rPr>
                    <w:t>Tariff relief on imported inputs used to produce exports</w:t>
                  </w:r>
                </w:p>
              </w:tc>
              <w:tc>
                <w:tcPr>
                  <w:tcW w:w="2088" w:type="pct"/>
                </w:tcPr>
                <w:p w:rsidR="00AC2131" w:rsidRDefault="00AC2131" w:rsidP="00AC2131">
                  <w:pPr>
                    <w:pStyle w:val="TableBodyText"/>
                    <w:spacing w:after="30"/>
                    <w:jc w:val="left"/>
                  </w:pPr>
                  <w:r>
                    <w:t>Duty Drawback ($62.7m); TRADEX ($43.5m); Enhanced Project By-Law Scheme (exporters and non-exporters).</w:t>
                  </w:r>
                </w:p>
              </w:tc>
              <w:tc>
                <w:tcPr>
                  <w:tcW w:w="1505" w:type="pct"/>
                </w:tcPr>
                <w:p w:rsidR="00AC2131" w:rsidRDefault="00AC2131" w:rsidP="00AC2131">
                  <w:pPr>
                    <w:pStyle w:val="TableBodyText"/>
                    <w:spacing w:after="30"/>
                    <w:ind w:right="28"/>
                    <w:jc w:val="left"/>
                  </w:pPr>
                  <w:r>
                    <w:t>$106.2 million</w:t>
                  </w:r>
                  <w:r>
                    <w:rPr>
                      <w:rStyle w:val="NoteLabel"/>
                    </w:rPr>
                    <w:t>b</w:t>
                  </w:r>
                </w:p>
                <w:p w:rsidR="00AC2131" w:rsidRDefault="00AC2131" w:rsidP="00AC2131">
                  <w:pPr>
                    <w:pStyle w:val="TableBodyText"/>
                    <w:spacing w:after="30"/>
                    <w:ind w:right="28"/>
                    <w:jc w:val="left"/>
                  </w:pPr>
                </w:p>
              </w:tc>
            </w:tr>
            <w:tr w:rsidR="00AC2131" w:rsidTr="00AC2131">
              <w:tc>
                <w:tcPr>
                  <w:tcW w:w="1407" w:type="pct"/>
                </w:tcPr>
                <w:p w:rsidR="00AC2131" w:rsidRDefault="00AC2131" w:rsidP="00AC2131">
                  <w:pPr>
                    <w:pStyle w:val="TableBodyText"/>
                    <w:spacing w:after="0"/>
                    <w:jc w:val="left"/>
                  </w:pPr>
                </w:p>
              </w:tc>
              <w:tc>
                <w:tcPr>
                  <w:tcW w:w="2088" w:type="pct"/>
                </w:tcPr>
                <w:p w:rsidR="00AC2131" w:rsidRDefault="00AC2131" w:rsidP="00AC2131">
                  <w:pPr>
                    <w:pStyle w:val="TableBodyText"/>
                    <w:spacing w:after="0"/>
                    <w:jc w:val="left"/>
                  </w:pPr>
                </w:p>
              </w:tc>
              <w:tc>
                <w:tcPr>
                  <w:tcW w:w="1505" w:type="pct"/>
                </w:tcPr>
                <w:p w:rsidR="00AC2131" w:rsidRDefault="00AC2131" w:rsidP="00AC2131">
                  <w:pPr>
                    <w:pStyle w:val="TableBodyText"/>
                    <w:spacing w:after="0"/>
                    <w:ind w:right="28"/>
                    <w:jc w:val="left"/>
                  </w:pPr>
                </w:p>
              </w:tc>
            </w:tr>
            <w:tr w:rsidR="00AC2131" w:rsidTr="00AC2131">
              <w:tc>
                <w:tcPr>
                  <w:tcW w:w="1407" w:type="pct"/>
                </w:tcPr>
                <w:p w:rsidR="00AC2131" w:rsidRDefault="00AC2131" w:rsidP="00AC2131">
                  <w:pPr>
                    <w:pStyle w:val="TableBodyText"/>
                    <w:spacing w:after="30"/>
                    <w:jc w:val="left"/>
                  </w:pPr>
                  <w:r w:rsidRPr="00C97D09">
                    <w:rPr>
                      <w:b/>
                    </w:rPr>
                    <w:t>Supplier participation</w:t>
                  </w:r>
                  <w:r>
                    <w:br/>
                  </w:r>
                  <w:r>
                    <w:br/>
                    <w:t>(including through government procurement plans, third party promotion and information)</w:t>
                  </w:r>
                </w:p>
              </w:tc>
              <w:tc>
                <w:tcPr>
                  <w:tcW w:w="2088" w:type="pct"/>
                </w:tcPr>
                <w:p w:rsidR="00AC2131" w:rsidRDefault="00AC2131" w:rsidP="00AC2131">
                  <w:pPr>
                    <w:pStyle w:val="TableBodyText"/>
                    <w:spacing w:after="30"/>
                    <w:jc w:val="left"/>
                  </w:pPr>
                  <w:r>
                    <w:t>Australian Industry Participation Plans; Supplier Access to Major Projects; Global Opportunities Program; Buy Australia at Home and Abroad; Export Facilitators (Australia-US Free Trade Agreement).</w:t>
                  </w:r>
                </w:p>
              </w:tc>
              <w:tc>
                <w:tcPr>
                  <w:tcW w:w="1505" w:type="pct"/>
                </w:tcPr>
                <w:p w:rsidR="00AC2131" w:rsidRDefault="00AC2131" w:rsidP="00AC2131">
                  <w:pPr>
                    <w:pStyle w:val="TableBodyText"/>
                    <w:spacing w:after="30"/>
                    <w:ind w:right="28"/>
                    <w:jc w:val="left"/>
                  </w:pPr>
                  <w:r>
                    <w:t>Not available</w:t>
                  </w:r>
                  <w:r>
                    <w:rPr>
                      <w:rStyle w:val="NoteLabel"/>
                    </w:rPr>
                    <w:t>c</w:t>
                  </w:r>
                  <w:r w:rsidDel="00396346">
                    <w:t xml:space="preserve"> </w:t>
                  </w:r>
                </w:p>
              </w:tc>
            </w:tr>
            <w:tr w:rsidR="00AC2131" w:rsidTr="00AC2131">
              <w:tc>
                <w:tcPr>
                  <w:tcW w:w="1407" w:type="pct"/>
                </w:tcPr>
                <w:p w:rsidR="00AC2131" w:rsidRPr="00720C6E" w:rsidRDefault="00AC2131" w:rsidP="00AC2131">
                  <w:pPr>
                    <w:pStyle w:val="TableBodyText"/>
                    <w:spacing w:after="0"/>
                    <w:jc w:val="left"/>
                    <w:rPr>
                      <w:b/>
                    </w:rPr>
                  </w:pPr>
                </w:p>
              </w:tc>
              <w:tc>
                <w:tcPr>
                  <w:tcW w:w="2088" w:type="pct"/>
                </w:tcPr>
                <w:p w:rsidR="00AC2131" w:rsidRDefault="00AC2131" w:rsidP="00AC2131">
                  <w:pPr>
                    <w:pStyle w:val="TableBodyText"/>
                    <w:spacing w:after="0"/>
                    <w:jc w:val="left"/>
                  </w:pPr>
                </w:p>
              </w:tc>
              <w:tc>
                <w:tcPr>
                  <w:tcW w:w="1505" w:type="pct"/>
                </w:tcPr>
                <w:p w:rsidR="00AC2131" w:rsidRDefault="00AC2131" w:rsidP="00AC2131">
                  <w:pPr>
                    <w:pStyle w:val="TableBodyText"/>
                    <w:spacing w:after="0"/>
                    <w:ind w:right="28"/>
                    <w:jc w:val="left"/>
                  </w:pPr>
                </w:p>
              </w:tc>
            </w:tr>
            <w:tr w:rsidR="00AC2131" w:rsidTr="00AC2131">
              <w:tc>
                <w:tcPr>
                  <w:tcW w:w="1407" w:type="pct"/>
                  <w:tcBorders>
                    <w:bottom w:val="single" w:sz="4" w:space="0" w:color="BFBFBF"/>
                  </w:tcBorders>
                </w:tcPr>
                <w:p w:rsidR="00AC2131" w:rsidRPr="00720C6E" w:rsidRDefault="00AC2131" w:rsidP="00AC2131">
                  <w:pPr>
                    <w:pStyle w:val="TableBodyText"/>
                    <w:jc w:val="left"/>
                    <w:rPr>
                      <w:b/>
                    </w:rPr>
                  </w:pPr>
                  <w:r>
                    <w:rPr>
                      <w:b/>
                    </w:rPr>
                    <w:t>TOTAL</w:t>
                  </w:r>
                </w:p>
              </w:tc>
              <w:tc>
                <w:tcPr>
                  <w:tcW w:w="2088" w:type="pct"/>
                  <w:tcBorders>
                    <w:bottom w:val="single" w:sz="4" w:space="0" w:color="BFBFBF"/>
                  </w:tcBorders>
                </w:tcPr>
                <w:p w:rsidR="00AC2131" w:rsidRDefault="00AC2131" w:rsidP="00AC2131">
                  <w:pPr>
                    <w:pStyle w:val="TableBodyText"/>
                    <w:jc w:val="left"/>
                  </w:pPr>
                </w:p>
              </w:tc>
              <w:tc>
                <w:tcPr>
                  <w:tcW w:w="1505" w:type="pct"/>
                  <w:tcBorders>
                    <w:bottom w:val="single" w:sz="4" w:space="0" w:color="BFBFBF"/>
                  </w:tcBorders>
                </w:tcPr>
                <w:p w:rsidR="00AC2131" w:rsidRDefault="00AC2131" w:rsidP="00AC2131">
                  <w:pPr>
                    <w:pStyle w:val="TableBodyText"/>
                    <w:ind w:right="28"/>
                    <w:jc w:val="left"/>
                  </w:pPr>
                  <w:r>
                    <w:t>&gt;$917.6 million</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sidRPr="008E77FE">
              <w:rPr>
                <w:rStyle w:val="NoteLabel"/>
              </w:rPr>
              <w:t>a</w:t>
            </w:r>
            <w:r>
              <w:t> Excludes EFIC. EFIC does not receive an annual budget appropriation. EFIC borrows to fund its expenditure and earns revenue on its services. In 2013</w:t>
            </w:r>
            <w:r>
              <w:noBreakHyphen/>
              <w:t>14, EFIC’s net interest income was $22.6 million. The value of its products provided in 2013</w:t>
            </w:r>
            <w:r>
              <w:noBreakHyphen/>
              <w:t>14 was $577 million. The equity in EFIC at 30 June 2014 was $225.9 million. EFIC paid a dividend to the Australian Government of $11.3 million in 2013</w:t>
            </w:r>
            <w:r>
              <w:noBreakHyphen/>
              <w:t xml:space="preserve">14. </w:t>
            </w:r>
            <w:r>
              <w:rPr>
                <w:rStyle w:val="NoteLabel"/>
              </w:rPr>
              <w:t>b</w:t>
            </w:r>
            <w:r>
              <w:t> Excludes Enhanced Project By-Law Scheme, which is confidential.</w:t>
            </w:r>
            <w:r>
              <w:rPr>
                <w:rStyle w:val="NoteLabel"/>
              </w:rPr>
              <w:t xml:space="preserve"> c</w:t>
            </w:r>
            <w:r>
              <w:t> Supplier participation plans generally do not involve assistance paid to businesses by the Australian Government. The Australian Government incurs departmental expenditure in administering such programs. Amounts for 2013</w:t>
            </w:r>
            <w:r>
              <w:noBreakHyphen/>
              <w:t>14 are not available. Expenditure in 2007 for some of these programs was $34.1 million.</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ListBullet"/>
        <w:keepNext/>
        <w:keepLines/>
      </w:pPr>
      <w:r>
        <w:lastRenderedPageBreak/>
        <w:t>Some of this support is industry specific, such as several relating to defence, tourism, automotive, finance, food and ‘clean’ energy, and which accounted for about half of total estimated export assistance in 2013</w:t>
      </w:r>
      <w:r>
        <w:noBreakHyphen/>
        <w:t>14.</w:t>
      </w:r>
      <w:r>
        <w:rPr>
          <w:rStyle w:val="FootnoteReference"/>
        </w:rPr>
        <w:footnoteReference w:id="8"/>
      </w:r>
      <w:r>
        <w:t xml:space="preserve"> Of the $521 million of identified industry specific export assistance, the tax concessions available to the finance industry accounted for $385 million.</w:t>
      </w:r>
    </w:p>
    <w:p w:rsidR="00AC2131" w:rsidRDefault="00AC2131" w:rsidP="00AC2131">
      <w:pPr>
        <w:pStyle w:val="ListBullet"/>
      </w:pPr>
      <w:r>
        <w:t>There are generic programs, available to firms across all industries, such as the long-running support relating to export and trade finance (Export Finance and Insurance Corporation) (EFIC) and market access (Austrade and Export Market Development Grants) (EMDG). The budget appropriations for Austrade and EMDG totalled almost $300 million in 2013</w:t>
      </w:r>
      <w:r>
        <w:noBreakHyphen/>
        <w:t>14. EFIC does not receive an annual budget appropriation (see table 2.1, note ‘a’). In 2013</w:t>
      </w:r>
      <w:r>
        <w:noBreakHyphen/>
        <w:t xml:space="preserve">14, EFIC provided $577 million worth of export finance assistance in the form of guarantees, bonds and loans, though this does not equate to the ‘assistance’ to EFIC clients in terms of export credit subsidy. Quantifying the assistance to EFIC clients is difficult, though some estimates have been made for some overseas export credit programs (PC 2012a, chapter 6 and appendix B). </w:t>
      </w:r>
    </w:p>
    <w:p w:rsidR="00AC2131" w:rsidRDefault="00AC2131" w:rsidP="00AC2131">
      <w:pPr>
        <w:pStyle w:val="ListBullet"/>
      </w:pPr>
      <w:r>
        <w:t>There are three programs — Duty Drawback, TRADEX and the Enhanced Project By-Law Scheme (EPBLS) — that variously provide tariff relief on imported inputs for eligible exporting activities. Duty Drawback and TRADEX provided over $100 million tariff relief in 2013</w:t>
      </w:r>
      <w:r>
        <w:noBreakHyphen/>
        <w:t xml:space="preserve">14. The tariff concessions under the EPBLS is available to large (export and non-export) projects having an approved plan to use local suppliers. The projects and the concession are confidential. </w:t>
      </w:r>
    </w:p>
    <w:p w:rsidR="00AC2131" w:rsidRDefault="00AC2131" w:rsidP="00AC2131">
      <w:pPr>
        <w:pStyle w:val="ListBullet"/>
      </w:pPr>
      <w:r>
        <w:t xml:space="preserve">There are also a number of supplier participation programs which are generally intended to increase the participation of Australia suppliers in major local projects (many of which export, such as resources) and global supply chains. There does not appear to be meaningful public data on program outcomes. </w:t>
      </w:r>
    </w:p>
    <w:p w:rsidR="00AC2131" w:rsidRDefault="00AC2131" w:rsidP="00AC2131">
      <w:pPr>
        <w:pStyle w:val="BodyText"/>
      </w:pPr>
      <w:r>
        <w:t>The scale, diversity and mixed targeting of export assistance prompts asking: what additional activity is prompted by this assistance, what is the alternative uses (opportunity cost) of funds directed to such export assistance and which programs deliver best-value for taxpayer money? Some relevant observations include:</w:t>
      </w:r>
    </w:p>
    <w:p w:rsidR="00AC2131" w:rsidRPr="002E5A82" w:rsidRDefault="00AC2131" w:rsidP="00AC2131">
      <w:pPr>
        <w:pStyle w:val="ListBullet"/>
        <w:rPr>
          <w:spacing w:val="-2"/>
        </w:rPr>
      </w:pPr>
      <w:r w:rsidRPr="002E5A82">
        <w:rPr>
          <w:spacing w:val="-2"/>
        </w:rPr>
        <w:t xml:space="preserve">while there have been a number of reviews of some individual export assistance programs, such as of EMDG and EFIC, some residual concerns continue for these programs (box 2.4) </w:t>
      </w:r>
    </w:p>
    <w:p w:rsidR="00AC2131" w:rsidRDefault="00AC2131" w:rsidP="00AC2131">
      <w:pPr>
        <w:pStyle w:val="ListBullet"/>
      </w:pPr>
      <w:r>
        <w:t>there has been little, if any, appropriate economic evaluations of the significant assistance to travel and tourism (</w:t>
      </w:r>
      <w:r w:rsidRPr="00D6520D">
        <w:rPr>
          <w:i/>
        </w:rPr>
        <w:t>Trade &amp; Assistance Review</w:t>
      </w:r>
      <w:r>
        <w:t> 2006</w:t>
      </w:r>
      <w:r>
        <w:noBreakHyphen/>
        <w:t>07), and defence industry assistance (</w:t>
      </w:r>
      <w:r w:rsidRPr="00563388">
        <w:rPr>
          <w:i/>
        </w:rPr>
        <w:t>Trade &amp; Assistance Review</w:t>
      </w:r>
      <w:r>
        <w:t> 2012-13)</w:t>
      </w:r>
    </w:p>
    <w:p w:rsidR="00AC2131" w:rsidRDefault="00AC2131" w:rsidP="00AC2131">
      <w:pPr>
        <w:pStyle w:val="BodyText"/>
      </w:pP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2.</w:t>
            </w:r>
            <w:r>
              <w:rPr>
                <w:b w:val="0"/>
                <w:noProof/>
              </w:rPr>
              <w:t>4</w:t>
            </w:r>
            <w:r>
              <w:tab/>
              <w:t>Some cautionary considerations about EMDG and EFIC</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Heading1"/>
              <w:spacing w:line="264" w:lineRule="auto"/>
            </w:pPr>
            <w:r>
              <w:t>Export Market Development Grants</w:t>
            </w:r>
          </w:p>
          <w:p w:rsidR="00AC2131" w:rsidRDefault="00AC2131" w:rsidP="00AC2131">
            <w:pPr>
              <w:pStyle w:val="Box"/>
              <w:spacing w:line="264" w:lineRule="auto"/>
            </w:pPr>
            <w:r>
              <w:t xml:space="preserve">Following the 2008 Review of the EMDG Scheme, the 2007-08 </w:t>
            </w:r>
            <w:r w:rsidRPr="006D0F0F">
              <w:rPr>
                <w:i/>
              </w:rPr>
              <w:t>Trade &amp; Assistance Review</w:t>
            </w:r>
            <w:r>
              <w:t xml:space="preserve"> (PC 2009b) outlined a number of concerns with the design and operation of the scheme, and of some of the analytical assumptions made by the review. </w:t>
            </w:r>
          </w:p>
          <w:p w:rsidR="00AC2131" w:rsidRDefault="00AC2131" w:rsidP="00AC2131">
            <w:pPr>
              <w:pStyle w:val="BoxListBullet"/>
              <w:spacing w:line="264" w:lineRule="auto"/>
            </w:pPr>
            <w:r>
              <w:t xml:space="preserve">The rationales advanced for the EMDG are problematic. Governments do not generally subsidise the operating costs of business. Information deficiencies about the general benefits of exporting and specific knowledge about suitable export markets is, or can be, addressed by Austrade (and the Australian Tourism Commission). Learning by doing benefits (to the exporter) are ‘internalised’ and so firms have a strong incentive to realise these gains. Moreover, learning by doing is ubiquitous for almost any ‘new’ activity, whether export or domestic. Government’s do not generally underwrite leaning by doing. </w:t>
            </w:r>
          </w:p>
          <w:p w:rsidR="00AC2131" w:rsidRDefault="00AC2131" w:rsidP="00AC2131">
            <w:pPr>
              <w:pStyle w:val="BoxListBullet"/>
              <w:spacing w:line="264" w:lineRule="auto"/>
            </w:pPr>
            <w:r>
              <w:t>Assessments of the effectiveness of grants — the additionality impact — are implausibly large. EMDG grants partly subsidise export promotion, which are less than 5 per cent of total export costs. Yet the 2008 review concluded that each dollar of EMDG support (not all of which is successful) generated additional exports of between $13.50 and $27.</w:t>
            </w:r>
          </w:p>
          <w:p w:rsidR="00AC2131" w:rsidRPr="00B07F45" w:rsidRDefault="00AC2131" w:rsidP="00AC2131">
            <w:pPr>
              <w:pStyle w:val="BoxListBullet"/>
              <w:spacing w:line="264" w:lineRule="auto"/>
            </w:pPr>
            <w:r>
              <w:t>The economy-wide efficiency assessment included an optimistic assumption of spillover benefits from EMDG recipients to non-EMDG firms of equal magnitude to the direct benefits to EMDG recipients. The profile of EMDG firms and activity suggests that the extent of ‘leaning’ and pioneering’ spillover benefits may be more limited than commonly claimed. The majority of EMDG firms were experienced exporters and mostly exported identical or virtually the same products as they sell domestically. The majority of EMDG exports were to traditional markets (United States and United Kingdom). The main products exported by EMDG participants — tourism, education, culture, information technology and food and beverages — do not appear to be ‘new’. Only 26 per cent of surveyed non-EMDG exporters said they benefited from EMDG exporters.</w:t>
            </w:r>
          </w:p>
          <w:p w:rsidR="00AC2131" w:rsidRDefault="00AC2131" w:rsidP="00AC2131">
            <w:pPr>
              <w:pStyle w:val="BoxHeading1"/>
              <w:spacing w:line="264" w:lineRule="auto"/>
            </w:pPr>
            <w:r>
              <w:t>Export Finance and Insurance Corporation</w:t>
            </w:r>
          </w:p>
          <w:p w:rsidR="00AC2131" w:rsidRDefault="00AC2131" w:rsidP="00AC2131">
            <w:pPr>
              <w:pStyle w:val="Box"/>
              <w:spacing w:line="264" w:lineRule="auto"/>
            </w:pPr>
            <w:r>
              <w:t xml:space="preserve">The Export Finance and Insurance Corporation (EFIC) was established to facilitate and encourage Australian export trade through provision of financial services. </w:t>
            </w:r>
            <w:r w:rsidRPr="00157D48">
              <w:t>A key element of the recommendations from the Productivity Commission review of EFIC (PC 2012</w:t>
            </w:r>
            <w:r>
              <w:t>a</w:t>
            </w:r>
            <w:r w:rsidRPr="00157D48">
              <w:t xml:space="preserve">) was to reorientate EFICs operations to support SMEs and to limit provision of export finance to situations of information-related market failure. These failures were likely to be limited to SMEs with limited export experience or attempting to access emerging export markets. </w:t>
            </w:r>
          </w:p>
          <w:p w:rsidR="00AC2131" w:rsidRDefault="00AC2131" w:rsidP="00AC2131">
            <w:pPr>
              <w:pStyle w:val="Box"/>
              <w:spacing w:line="264" w:lineRule="auto"/>
            </w:pPr>
            <w:r w:rsidRPr="00157D48">
              <w:t xml:space="preserve">The Commission observed that the EFIC definition of an SME — annual turnover up to $150 million — was over double the </w:t>
            </w:r>
            <w:r>
              <w:t>value</w:t>
            </w:r>
            <w:r w:rsidRPr="00157D48">
              <w:t xml:space="preserve"> used by some other Australian Government agencies and private sector finance providers. The EFIC definition has the effect of </w:t>
            </w:r>
            <w:r>
              <w:t xml:space="preserve">affording </w:t>
            </w:r>
            <w:r w:rsidRPr="00157D48">
              <w:t>assist</w:t>
            </w:r>
            <w:r>
              <w:t>ance to</w:t>
            </w:r>
            <w:r w:rsidRPr="00157D48">
              <w:t xml:space="preserve"> large firms whose </w:t>
            </w:r>
            <w:r>
              <w:t>financing ability is</w:t>
            </w:r>
            <w:r w:rsidRPr="00157D48">
              <w:t xml:space="preserve"> </w:t>
            </w:r>
            <w:r>
              <w:t>unlikely to be</w:t>
            </w:r>
            <w:r w:rsidRPr="00157D48">
              <w:t xml:space="preserve"> </w:t>
            </w:r>
            <w:r>
              <w:t>subject</w:t>
            </w:r>
            <w:r w:rsidRPr="00157D48">
              <w:t xml:space="preserve"> </w:t>
            </w:r>
            <w:r>
              <w:t xml:space="preserve">to </w:t>
            </w:r>
            <w:r w:rsidRPr="00157D48">
              <w:t xml:space="preserve">market failures. </w:t>
            </w:r>
          </w:p>
          <w:p w:rsidR="00AC2131" w:rsidRPr="00B07F45" w:rsidRDefault="00AC2131" w:rsidP="00AC2131">
            <w:pPr>
              <w:pStyle w:val="Box"/>
              <w:spacing w:line="264" w:lineRule="auto"/>
            </w:pPr>
            <w:r w:rsidRPr="00157D48">
              <w:t xml:space="preserve">The PC recommended that EFIC should be required to define a SME as a business with less than 100 employees or annual turnover of less than $50 million. The </w:t>
            </w:r>
            <w:r>
              <w:t>former</w:t>
            </w:r>
            <w:r w:rsidRPr="00157D48">
              <w:t xml:space="preserve"> Government in its formal response indicated it would change the threshold to $100 million</w:t>
            </w:r>
            <w:r>
              <w:t>. T</w:t>
            </w:r>
            <w:r w:rsidRPr="00157D48">
              <w:t>he $150 million threshold remains in operation. EFIC is also not precluded from lending to firms larger than the SME threshold. In 2013</w:t>
            </w:r>
            <w:r w:rsidRPr="00157D48">
              <w:noBreakHyphen/>
              <w:t>14 around 10</w:t>
            </w:r>
            <w:r>
              <w:t> </w:t>
            </w:r>
            <w:r w:rsidRPr="00157D48">
              <w:t>per</w:t>
            </w:r>
            <w:r>
              <w:t> </w:t>
            </w:r>
            <w:r w:rsidRPr="00157D48">
              <w:t xml:space="preserve">cent of EFIC transactions </w:t>
            </w:r>
            <w:r>
              <w:t xml:space="preserve">(by number) </w:t>
            </w:r>
            <w:r w:rsidRPr="00157D48">
              <w:t>on the Commercial Account involved ‘large’ companies</w:t>
            </w:r>
            <w:r>
              <w:t>.</w:t>
            </w:r>
            <w:r w:rsidRPr="00157D48">
              <w:t xml:space="preserve"> </w:t>
            </w:r>
            <w:r>
              <w:t>In 2010</w:t>
            </w:r>
            <w:r>
              <w:noBreakHyphen/>
              <w:t>11, 77 per cent (by value) of EFIC transactions were with large firms (PC 2012a, p. 10). It is intended that EFIC will be subject to competitive neutrality charges from 2015</w:t>
            </w:r>
            <w:r>
              <w:noBreakHyphen/>
              <w:t xml:space="preserve">16 (Robb 2014a; Export Finance and Insurance Corporation Act (1991). </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ListBullet"/>
      </w:pPr>
      <w:r>
        <w:lastRenderedPageBreak/>
        <w:t xml:space="preserve">the lack of transparency on the recipients of export assistance and outcomes data in key programs, for example, there is no public record of the projects (and industries) receiving tariff concessions under the EPBLS, industry usage of duty drawback, nor the industry profile of firms that receive Austrade services. </w:t>
      </w:r>
    </w:p>
    <w:p w:rsidR="00AC2131" w:rsidRDefault="00AC2131" w:rsidP="00AC2131">
      <w:pPr>
        <w:pStyle w:val="Heading3"/>
      </w:pPr>
      <w:r>
        <w:t>Recent assessments of Australia’s trade competitiveness</w:t>
      </w:r>
    </w:p>
    <w:p w:rsidR="00AC2131" w:rsidRDefault="00AC2131">
      <w:pPr>
        <w:pStyle w:val="BodyText"/>
      </w:pPr>
      <w:r>
        <w:t xml:space="preserve">In October 2014 the Australian Government released its </w:t>
      </w:r>
      <w:r w:rsidRPr="00290E27">
        <w:rPr>
          <w:i/>
        </w:rPr>
        <w:t>Industry</w:t>
      </w:r>
      <w:r>
        <w:rPr>
          <w:i/>
        </w:rPr>
        <w:t>,</w:t>
      </w:r>
      <w:r w:rsidRPr="00290E27">
        <w:rPr>
          <w:i/>
        </w:rPr>
        <w:t xml:space="preserve"> Innovation and Competitiveness Agenda</w:t>
      </w:r>
      <w:r>
        <w:t xml:space="preserve"> (Australian Government 2014b). The Agenda is intended to strengthen Australia’s productivity and competitiveness including Australia’s export (and import competing) competitiveness:</w:t>
      </w:r>
    </w:p>
    <w:p w:rsidR="00AC2131" w:rsidRDefault="00AC2131" w:rsidP="00AC2131">
      <w:pPr>
        <w:pStyle w:val="Quote"/>
      </w:pPr>
      <w:r>
        <w:t>Australia compares well against a number of international economic benchmarks, but in recent years our competitiveness has weakened. … Without change, Australia risks being out-competed in the world market, resulting in fewer jobs and lower economic growth. If left unaddressed, our declining competitiveness will represent the start of an unacceptable slide into mediocrity. Improving our competitiveness is essential if we are to sustain and enhance the living standard of all Australians. (Australian Government 2014b, p.iii)</w:t>
      </w:r>
    </w:p>
    <w:p w:rsidR="00AC2131" w:rsidRDefault="00AC2131">
      <w:pPr>
        <w:pStyle w:val="BodyText"/>
      </w:pPr>
      <w:r>
        <w:t>In seeking to improve Australia’s competitiveness the Agenda proposes four ‘ambitions’:</w:t>
      </w:r>
    </w:p>
    <w:p w:rsidR="00AC2131" w:rsidRDefault="00AC2131" w:rsidP="00AC2131">
      <w:pPr>
        <w:pStyle w:val="ListBullet"/>
      </w:pPr>
      <w:r>
        <w:t>A lower cost, business friendly environment</w:t>
      </w:r>
    </w:p>
    <w:p w:rsidR="00AC2131" w:rsidRDefault="00AC2131" w:rsidP="00AC2131">
      <w:pPr>
        <w:pStyle w:val="ListBullet"/>
      </w:pPr>
      <w:r>
        <w:t>A more skilled labour force</w:t>
      </w:r>
    </w:p>
    <w:p w:rsidR="00AC2131" w:rsidRDefault="00AC2131" w:rsidP="00AC2131">
      <w:pPr>
        <w:pStyle w:val="ListBullet"/>
      </w:pPr>
      <w:r>
        <w:t>Better economic infrastructure</w:t>
      </w:r>
    </w:p>
    <w:p w:rsidR="00AC2131" w:rsidRDefault="00AC2131" w:rsidP="00AC2131">
      <w:pPr>
        <w:pStyle w:val="ListBullet"/>
      </w:pPr>
      <w:r>
        <w:t>Industry policy that fosters innovation and entrepreneurship.</w:t>
      </w:r>
    </w:p>
    <w:p w:rsidR="00AC2131" w:rsidRDefault="00AC2131" w:rsidP="00AC2131">
      <w:pPr>
        <w:pStyle w:val="BodyText"/>
      </w:pPr>
      <w:r>
        <w:t xml:space="preserve">The first three ambitions involve measures intended to improve the general business environment. The achievement of these objectives could potentially lower trade costs and improve competiveness of Australian industry. </w:t>
      </w:r>
    </w:p>
    <w:p w:rsidR="00AC2131" w:rsidRDefault="00AC2131" w:rsidP="00AC2131">
      <w:pPr>
        <w:pStyle w:val="BodyText"/>
      </w:pPr>
      <w:r>
        <w:t xml:space="preserve">The fourth ambition which relates to industry policy, includes three direct export assistance measures — an additional $200 million capital injection into EFIC; an additional $50 million over four years for EMDG; and a ‘Team Australia’ approach through trade missions led by the Prime Minister and senior Cabinet Ministers to priority markets. The $200 million for EFIC is a return of the $200 million that had been a budget reduction made by the previous Government. EFIC plan to use the $200 million capital injection </w:t>
      </w:r>
      <w:r w:rsidRPr="00D52C7F">
        <w:rPr>
          <w:rStyle w:val="BodyTextChar"/>
        </w:rPr>
        <w:t>‘…to support exporting SMEs, those in the global supply chain and exporters of all sizes conducting business in emerging and frontier markets’</w:t>
      </w:r>
      <w:r>
        <w:t xml:space="preserve"> (EFIC 2014a, p. 7). EFIC was at or near its maximum country limits for Russia, Mongolia, Sri Lanka and Papua New Guinea. The additional $50 million (over four years) for EMDG compares with an annual program cost of $113.6 million in 2013</w:t>
      </w:r>
      <w:r>
        <w:noBreakHyphen/>
        <w:t>14. In concert with the $50 million, eligibility for EMDG has also been enhanced, through a reduction in the minimum expenses threshold (from $20 000 to $15 000), and an increase in the maximum number of grants able to be received by an applicant from seven to eight.</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2.</w:t>
            </w:r>
            <w:r>
              <w:rPr>
                <w:b w:val="0"/>
                <w:noProof/>
              </w:rPr>
              <w:t>5</w:t>
            </w:r>
            <w:r>
              <w:tab/>
              <w:t>Competitiveness Agenda proposals which give priority to five industries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The Industry Skills Fund and Industry Growth Centres will give immediate priority, but not exclusivity, to five designated growth sectors within the Industry and Science Portfolio — advanced manufacturing, food and agribusiness, medical technologies and pharmaceuticals, mining equipment, technology and services, and, oil, gas and energy sources.</w:t>
            </w:r>
          </w:p>
          <w:p w:rsidR="00AC2131" w:rsidRDefault="00AC2131" w:rsidP="00AC2131">
            <w:pPr>
              <w:pStyle w:val="BoxHeading1"/>
            </w:pPr>
            <w:r>
              <w:t>Industry Skills Fund</w:t>
            </w:r>
          </w:p>
          <w:p w:rsidR="00AC2131" w:rsidRPr="00572048" w:rsidRDefault="00AC2131" w:rsidP="00AC2131">
            <w:pPr>
              <w:pStyle w:val="Box"/>
            </w:pPr>
            <w:r>
              <w:t>T</w:t>
            </w:r>
            <w:r w:rsidRPr="00572048">
              <w:t>he 2014-15 Budget provided</w:t>
            </w:r>
            <w:r>
              <w:t xml:space="preserve"> </w:t>
            </w:r>
            <w:r w:rsidRPr="00572048">
              <w:t xml:space="preserve">$476 million </w:t>
            </w:r>
            <w:r>
              <w:t xml:space="preserve">over four years </w:t>
            </w:r>
            <w:r w:rsidRPr="00572048">
              <w:t>to establish the Industry Skills Fund to support</w:t>
            </w:r>
            <w:r>
              <w:t xml:space="preserve"> </w:t>
            </w:r>
            <w:r w:rsidRPr="00572048">
              <w:t>the training needs of small to medium enterprises not readily</w:t>
            </w:r>
            <w:r>
              <w:t xml:space="preserve"> </w:t>
            </w:r>
            <w:r w:rsidRPr="00572048">
              <w:t>met by the national training system. The Fund will commence</w:t>
            </w:r>
            <w:r>
              <w:t xml:space="preserve">d in </w:t>
            </w:r>
            <w:r w:rsidRPr="00572048">
              <w:t xml:space="preserve">January 2015 and </w:t>
            </w:r>
            <w:r>
              <w:t xml:space="preserve">is expected to </w:t>
            </w:r>
            <w:r w:rsidRPr="00572048">
              <w:t>deliver 200,000 targeted training</w:t>
            </w:r>
            <w:r>
              <w:t xml:space="preserve"> </w:t>
            </w:r>
            <w:r w:rsidRPr="00572048">
              <w:t>places and training support services over four years. It will</w:t>
            </w:r>
            <w:r>
              <w:t xml:space="preserve"> </w:t>
            </w:r>
            <w:r w:rsidRPr="00572048">
              <w:t>prioritise assistance to small and medium enterprises (SMEs</w:t>
            </w:r>
            <w:r>
              <w:t>).</w:t>
            </w:r>
            <w:r w:rsidRPr="00572048">
              <w:t xml:space="preserve"> Larger companies</w:t>
            </w:r>
            <w:r>
              <w:t xml:space="preserve"> </w:t>
            </w:r>
            <w:r w:rsidRPr="00572048">
              <w:t>may apply to access the Fund, but will be expected to make greater contributions towards</w:t>
            </w:r>
            <w:r>
              <w:t xml:space="preserve"> </w:t>
            </w:r>
            <w:r w:rsidRPr="00572048">
              <w:t>the cost of training.</w:t>
            </w:r>
            <w:r>
              <w:t xml:space="preserve"> </w:t>
            </w:r>
          </w:p>
          <w:p w:rsidR="00AC2131" w:rsidRDefault="00AC2131" w:rsidP="00AC2131">
            <w:pPr>
              <w:pStyle w:val="BoxHeading1"/>
            </w:pPr>
            <w:r>
              <w:t>Industry Growth Centres Initiative</w:t>
            </w:r>
          </w:p>
          <w:p w:rsidR="00AC2131" w:rsidRDefault="00AC2131" w:rsidP="00AC2131">
            <w:pPr>
              <w:pStyle w:val="Box"/>
            </w:pPr>
            <w:r>
              <w:t xml:space="preserve">The Government has budgeted $188.5 million over four years from 2014-15 to 2017-18 to establish </w:t>
            </w:r>
            <w:r w:rsidRPr="005D2526">
              <w:t>five Industry Growth Centres (Growth Centres)</w:t>
            </w:r>
            <w:r>
              <w:t>,</w:t>
            </w:r>
            <w:r w:rsidRPr="005D2526">
              <w:t xml:space="preserve"> </w:t>
            </w:r>
            <w:r>
              <w:t xml:space="preserve">one for each designated </w:t>
            </w:r>
            <w:r w:rsidRPr="005D2526">
              <w:t xml:space="preserve">key growth sector within the Industry </w:t>
            </w:r>
            <w:r>
              <w:t xml:space="preserve">and Science </w:t>
            </w:r>
            <w:r w:rsidRPr="005D2526">
              <w:t>Portfolio.</w:t>
            </w:r>
            <w:r>
              <w:t xml:space="preserve"> </w:t>
            </w:r>
          </w:p>
          <w:p w:rsidR="00AC2131" w:rsidRPr="00572048" w:rsidRDefault="00AC2131" w:rsidP="00AC2131">
            <w:pPr>
              <w:pStyle w:val="Box"/>
            </w:pPr>
            <w:r w:rsidRPr="00572048">
              <w:t xml:space="preserve">The Centres </w:t>
            </w:r>
            <w:r>
              <w:t xml:space="preserve">are intended to lift </w:t>
            </w:r>
            <w:r w:rsidRPr="006F6A69">
              <w:t>competitiveness and productivity by focusing on areas of competitive strength</w:t>
            </w:r>
            <w:r>
              <w:t xml:space="preserve"> and address the</w:t>
            </w:r>
            <w:r w:rsidRPr="006F6A69">
              <w:t xml:space="preserve"> </w:t>
            </w:r>
            <w:r w:rsidRPr="00551CEF">
              <w:t xml:space="preserve">need to encourage innovation, target market failures and enable activities that markets will not adequately provide. The Initiative provides </w:t>
            </w:r>
            <w:r>
              <w:t xml:space="preserve">a platform for </w:t>
            </w:r>
            <w:r w:rsidRPr="00551CEF">
              <w:t>coordinated national action on issues such as deregulation, skills and science.</w:t>
            </w:r>
            <w:r>
              <w:t xml:space="preserve"> </w:t>
            </w:r>
            <w:r w:rsidRPr="00572048">
              <w:t xml:space="preserve">The Industry Growth Centres model is </w:t>
            </w:r>
            <w:r>
              <w:t xml:space="preserve">be </w:t>
            </w:r>
            <w:r w:rsidRPr="00572048">
              <w:t>based on Australian and overseas experience,</w:t>
            </w:r>
            <w:r>
              <w:t xml:space="preserve"> </w:t>
            </w:r>
            <w:r w:rsidRPr="00572048">
              <w:t>including the Unites States’ Small Business Administration’s Regional Cluster Initiative,</w:t>
            </w:r>
            <w:r>
              <w:t xml:space="preserve"> </w:t>
            </w:r>
            <w:r w:rsidRPr="00572048">
              <w:t>the Canadian Business-led Networks of Centres of Excellence and the United Kingdom’s</w:t>
            </w:r>
            <w:r>
              <w:t xml:space="preserve"> </w:t>
            </w:r>
            <w:r w:rsidRPr="00572048">
              <w:t>Catapult Centres.</w:t>
            </w:r>
          </w:p>
          <w:p w:rsidR="00AC2131" w:rsidRDefault="00AC2131" w:rsidP="00AC2131">
            <w:pPr>
              <w:pStyle w:val="Box"/>
            </w:pPr>
            <w:r>
              <w:t xml:space="preserve">Each of the initial five centres will receive funding of up to $3.5 million per year and will be required to plan to become self-sustaining after four years. Each Growth Centre can apply for competitive grants from a $63 million Growth Centre Project Fund, to support large-scale projects. </w:t>
            </w:r>
          </w:p>
          <w:p w:rsidR="00AC2131" w:rsidRPr="00DF457C" w:rsidRDefault="00AC2131" w:rsidP="00AC2131">
            <w:pPr>
              <w:pStyle w:val="BoxHeading1"/>
            </w:pPr>
            <w:r w:rsidRPr="00DF457C">
              <w:t xml:space="preserve">Entrepreneurs’ Infrastructure Programme </w:t>
            </w:r>
          </w:p>
          <w:p w:rsidR="00AC2131" w:rsidRPr="00DF457C" w:rsidRDefault="00AC2131" w:rsidP="00AC2131">
            <w:pPr>
              <w:pStyle w:val="Box"/>
            </w:pPr>
            <w:r>
              <w:t xml:space="preserve">The 2014-15 Budget provided $484.2 million for the Entrepreneurs’ Infrastructure Programme, which included an allocation of $92.4 million for the single business advisory service. The Entrepreneurs’ Infrastructure Programme is intended to provide </w:t>
            </w:r>
            <w:r w:rsidRPr="00DF457C">
              <w:t xml:space="preserve">support </w:t>
            </w:r>
            <w:r>
              <w:t>through</w:t>
            </w:r>
            <w:r w:rsidRPr="00DF457C">
              <w:t xml:space="preserve">: advice from </w:t>
            </w:r>
            <w:r>
              <w:t>professionals</w:t>
            </w:r>
            <w:r w:rsidRPr="00DF457C">
              <w:t xml:space="preserve"> with private sector experience; co-funded grants to commercialise new products, processes and services; funding to take advantage of growth opportunities; and connection and collaboration opportunities. </w:t>
            </w:r>
          </w:p>
          <w:p w:rsidR="00AC2131" w:rsidRDefault="00AC2131" w:rsidP="00AC2131">
            <w:pPr>
              <w:pStyle w:val="Box"/>
            </w:pPr>
            <w:r>
              <w:t xml:space="preserve">The Programme consists of three elements. The </w:t>
            </w:r>
            <w:r w:rsidRPr="00DF457C">
              <w:t xml:space="preserve">Business Management and Research Connections </w:t>
            </w:r>
            <w:r>
              <w:t xml:space="preserve">elements are to </w:t>
            </w:r>
            <w:r w:rsidRPr="00DF457C">
              <w:t>provide support to eligible businesses in the five growth sectors, as well as eligible businesses provid</w:t>
            </w:r>
            <w:r>
              <w:t>ing</w:t>
            </w:r>
            <w:r w:rsidRPr="00DF457C">
              <w:t xml:space="preserve"> enabling technologies and services to those sectors. </w:t>
            </w:r>
            <w:r>
              <w:t xml:space="preserve">The </w:t>
            </w:r>
            <w:r w:rsidRPr="00DF457C">
              <w:t xml:space="preserve">Accelerating Commercialisation </w:t>
            </w:r>
            <w:r>
              <w:t xml:space="preserve">element focuses on </w:t>
            </w:r>
            <w:r w:rsidRPr="00DF457C">
              <w:t xml:space="preserve">small and medium businesses, entrepreneurs and researchers, with priority given to </w:t>
            </w:r>
            <w:r>
              <w:t xml:space="preserve">eligible </w:t>
            </w:r>
            <w:r w:rsidRPr="00DF457C">
              <w:t xml:space="preserve">projects in the </w:t>
            </w:r>
            <w:r>
              <w:t xml:space="preserve">five </w:t>
            </w:r>
            <w:r w:rsidRPr="00DF457C">
              <w:t xml:space="preserve">growth sectors, </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pPr>
            <w:r>
              <w:rPr>
                <w:i/>
              </w:rPr>
              <w:t>Sources</w:t>
            </w:r>
            <w:r w:rsidRPr="00167F06">
              <w:t xml:space="preserve">: </w:t>
            </w:r>
            <w:r>
              <w:t xml:space="preserve">Australian Government (2014b); Australian Government (2015b). </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lastRenderedPageBreak/>
        <w:t>The industry policy ambition also includes three measures — Industry Growth Centres, the Industry Skills Fund and the Entrepreneurs’ Infrastructure Programme (box 2.5). These are not exclusively for export support, but will give priority to five industries, chosen on the basis of their export growth potential. Among other things, the Industry Skills Fund is intended to assist participating companies to open ‘…</w:t>
      </w:r>
      <w:r>
        <w:rPr>
          <w:lang w:val="en-GB"/>
        </w:rPr>
        <w:t xml:space="preserve"> export markets and emerging economies’</w:t>
      </w:r>
      <w:r>
        <w:t xml:space="preserve"> (Australian Government 2014, p. 70) whilst the Industry Growth Centres and Entrepreneurs’ Infrastructure Programme are intended to enhance ‘…</w:t>
      </w:r>
      <w:r w:rsidRPr="00BF5A67">
        <w:t>businesses’ ability to enter global value chains</w:t>
      </w:r>
      <w:r>
        <w:t>…’ (Australian Government 2014b, p. 73).</w:t>
      </w:r>
    </w:p>
    <w:p w:rsidR="00AC2131" w:rsidRDefault="00AC2131" w:rsidP="00AC2131">
      <w:pPr>
        <w:pStyle w:val="BodyText"/>
      </w:pPr>
      <w:r>
        <w:t xml:space="preserve">The five designated priority areas within the Industry and Science Portfolio — advanced manufacturing, food and agribusiness, mining equipment, technology and services, medical technologies and pharmaceuticals, and oil, gas and energy resources — are nominated in the Agenda. These five priority areas align, in part, with eight industry groupings judged (but not unanimously) by five private sector economic consulting firms as having future growth potential (table 2.3). </w:t>
      </w:r>
    </w:p>
    <w:p w:rsidR="00AC2131" w:rsidRDefault="00AC2131" w:rsidP="00AC2131">
      <w:pPr>
        <w:pStyle w:val="BodyText"/>
        <w:keepNext/>
      </w:pPr>
      <w:r>
        <w:t>The methodologies adopted by the consultants, to analyse industry growth prospects, involve a mix of quantitative calculations and qualitative assessments (box 2.6).</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2.</w:t>
            </w:r>
            <w:r>
              <w:rPr>
                <w:b w:val="0"/>
                <w:noProof/>
              </w:rPr>
              <w:t>3</w:t>
            </w:r>
            <w:r>
              <w:tab/>
              <w:t>Some future growth sectors identified by economic consulting firms</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673"/>
              <w:gridCol w:w="939"/>
              <w:gridCol w:w="1220"/>
              <w:gridCol w:w="1220"/>
              <w:gridCol w:w="1220"/>
              <w:gridCol w:w="1215"/>
            </w:tblGrid>
            <w:tr w:rsidR="00AC2131" w:rsidTr="00AC2131">
              <w:tc>
                <w:tcPr>
                  <w:tcW w:w="1574" w:type="pct"/>
                  <w:tcBorders>
                    <w:top w:val="single" w:sz="6" w:space="0" w:color="BFBFBF"/>
                    <w:bottom w:val="single" w:sz="6" w:space="0" w:color="BFBFBF"/>
                  </w:tcBorders>
                  <w:vAlign w:val="bottom"/>
                </w:tcPr>
                <w:p w:rsidR="00AC2131" w:rsidRDefault="00AC2131" w:rsidP="00AC2131">
                  <w:pPr>
                    <w:pStyle w:val="TableColumnHeading"/>
                    <w:jc w:val="left"/>
                  </w:pPr>
                  <w:r>
                    <w:t xml:space="preserve">Industry sector </w:t>
                  </w:r>
                </w:p>
              </w:tc>
              <w:tc>
                <w:tcPr>
                  <w:tcW w:w="553" w:type="pct"/>
                  <w:tcBorders>
                    <w:top w:val="single" w:sz="6" w:space="0" w:color="BFBFBF"/>
                    <w:bottom w:val="single" w:sz="6" w:space="0" w:color="BFBFBF"/>
                  </w:tcBorders>
                  <w:vAlign w:val="bottom"/>
                </w:tcPr>
                <w:p w:rsidR="00AC2131" w:rsidRDefault="00AC2131" w:rsidP="00AC2131">
                  <w:pPr>
                    <w:pStyle w:val="TableColumnHeading"/>
                  </w:pPr>
                  <w:r>
                    <w:t>Deloitte (2014)</w:t>
                  </w:r>
                </w:p>
              </w:tc>
              <w:tc>
                <w:tcPr>
                  <w:tcW w:w="719" w:type="pct"/>
                  <w:tcBorders>
                    <w:top w:val="single" w:sz="6" w:space="0" w:color="BFBFBF"/>
                    <w:bottom w:val="single" w:sz="6" w:space="0" w:color="BFBFBF"/>
                  </w:tcBorders>
                  <w:vAlign w:val="bottom"/>
                </w:tcPr>
                <w:p w:rsidR="00AC2131" w:rsidRDefault="00AC2131" w:rsidP="00AC2131">
                  <w:pPr>
                    <w:pStyle w:val="TableColumnHeading"/>
                  </w:pPr>
                  <w:r>
                    <w:t xml:space="preserve">PwC </w:t>
                  </w:r>
                  <w:r>
                    <w:br/>
                    <w:t>(2013)</w:t>
                  </w:r>
                  <w:r w:rsidRPr="008762FC">
                    <w:rPr>
                      <w:rStyle w:val="NoteLabel"/>
                      <w:sz w:val="16"/>
                      <w:szCs w:val="16"/>
                    </w:rPr>
                    <w:t>a</w:t>
                  </w:r>
                </w:p>
              </w:tc>
              <w:tc>
                <w:tcPr>
                  <w:tcW w:w="719"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pPr>
                  <w:r>
                    <w:t xml:space="preserve">IBIS </w:t>
                  </w:r>
                  <w:r>
                    <w:br/>
                    <w:t xml:space="preserve">World </w:t>
                  </w:r>
                  <w:r>
                    <w:br/>
                    <w:t>(2013)</w:t>
                  </w:r>
                </w:p>
              </w:tc>
              <w:tc>
                <w:tcPr>
                  <w:tcW w:w="719"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pPr>
                  <w:r>
                    <w:t>Outlook Economics (2014)</w:t>
                  </w:r>
                </w:p>
              </w:tc>
              <w:tc>
                <w:tcPr>
                  <w:tcW w:w="717"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28"/>
                  </w:pPr>
                  <w:r>
                    <w:t>McKinsey Australia (2014)</w:t>
                  </w:r>
                  <w:r w:rsidRPr="008762FC">
                    <w:rPr>
                      <w:rStyle w:val="NoteLabel"/>
                      <w:sz w:val="16"/>
                      <w:szCs w:val="16"/>
                    </w:rPr>
                    <w:t>b</w:t>
                  </w:r>
                </w:p>
              </w:tc>
            </w:tr>
            <w:tr w:rsidR="00AC2131" w:rsidTr="00AC2131">
              <w:tc>
                <w:tcPr>
                  <w:tcW w:w="5000" w:type="pct"/>
                  <w:gridSpan w:val="6"/>
                  <w:tcBorders>
                    <w:top w:val="single" w:sz="6" w:space="0" w:color="BFBFBF"/>
                  </w:tcBorders>
                </w:tcPr>
                <w:p w:rsidR="00AC2131" w:rsidRPr="007B1654" w:rsidRDefault="00AC2131" w:rsidP="00AC2131">
                  <w:pPr>
                    <w:pStyle w:val="TableColumnHeading"/>
                    <w:ind w:right="0"/>
                    <w:jc w:val="left"/>
                    <w:rPr>
                      <w:spacing w:val="-4"/>
                    </w:rPr>
                  </w:pPr>
                  <w:r w:rsidRPr="007B1654">
                    <w:rPr>
                      <w:spacing w:val="-4"/>
                    </w:rPr>
                    <w:t xml:space="preserve">Activities with growth potential broadly aligned with Industry Innovation </w:t>
                  </w:r>
                  <w:r>
                    <w:rPr>
                      <w:spacing w:val="-4"/>
                    </w:rPr>
                    <w:t>&amp;</w:t>
                  </w:r>
                  <w:r w:rsidRPr="007B1654">
                    <w:rPr>
                      <w:spacing w:val="-4"/>
                    </w:rPr>
                    <w:t xml:space="preserve"> Competitiveness Agenda priority areas</w:t>
                  </w:r>
                </w:p>
              </w:tc>
            </w:tr>
            <w:tr w:rsidR="00AC2131" w:rsidTr="00AC2131">
              <w:tc>
                <w:tcPr>
                  <w:tcW w:w="1574" w:type="pct"/>
                </w:tcPr>
                <w:p w:rsidR="00AC2131" w:rsidRDefault="00AC2131" w:rsidP="00AC2131">
                  <w:pPr>
                    <w:pStyle w:val="TableUnitsRow"/>
                    <w:jc w:val="left"/>
                  </w:pPr>
                  <w:r>
                    <w:t>Agriculture</w:t>
                  </w:r>
                </w:p>
              </w:tc>
              <w:tc>
                <w:tcPr>
                  <w:tcW w:w="553" w:type="pct"/>
                </w:tcPr>
                <w:p w:rsidR="00AC2131" w:rsidRDefault="00AC2131" w:rsidP="00AC2131">
                  <w:pPr>
                    <w:pStyle w:val="TableUnitsRow"/>
                    <w:jc w:val="center"/>
                  </w:pPr>
                  <w:r>
                    <w:sym w:font="Wingdings" w:char="F0FC"/>
                  </w:r>
                </w:p>
              </w:tc>
              <w:tc>
                <w:tcPr>
                  <w:tcW w:w="719" w:type="pct"/>
                </w:tcPr>
                <w:p w:rsidR="00AC2131" w:rsidRDefault="00AC2131" w:rsidP="00AC2131">
                  <w:pPr>
                    <w:pStyle w:val="TableUnitsRow"/>
                    <w:jc w:val="center"/>
                  </w:pPr>
                  <w:r>
                    <w:sym w:font="Wingdings" w:char="F0FC"/>
                  </w:r>
                </w:p>
              </w:tc>
              <w:tc>
                <w:tcPr>
                  <w:tcW w:w="719" w:type="pct"/>
                </w:tcPr>
                <w:p w:rsidR="00AC2131" w:rsidRDefault="00AC2131" w:rsidP="00AC2131">
                  <w:pPr>
                    <w:pStyle w:val="TableUnitsRow"/>
                    <w:jc w:val="center"/>
                  </w:pPr>
                </w:p>
              </w:tc>
              <w:tc>
                <w:tcPr>
                  <w:tcW w:w="719" w:type="pct"/>
                </w:tcPr>
                <w:p w:rsidR="00AC2131" w:rsidRDefault="00AC2131" w:rsidP="00AC2131">
                  <w:pPr>
                    <w:pStyle w:val="TableUnitsRow"/>
                    <w:jc w:val="center"/>
                  </w:pPr>
                </w:p>
              </w:tc>
              <w:tc>
                <w:tcPr>
                  <w:tcW w:w="717" w:type="pct"/>
                </w:tcPr>
                <w:p w:rsidR="00AC2131" w:rsidRDefault="00AC2131" w:rsidP="00AC2131">
                  <w:pPr>
                    <w:pStyle w:val="TableUnitsRow"/>
                    <w:ind w:right="28"/>
                    <w:jc w:val="center"/>
                  </w:pPr>
                  <w:r>
                    <w:sym w:font="Wingdings" w:char="F0FC"/>
                  </w:r>
                </w:p>
              </w:tc>
            </w:tr>
            <w:tr w:rsidR="00AC2131" w:rsidTr="00AC2131">
              <w:tc>
                <w:tcPr>
                  <w:tcW w:w="1574" w:type="pct"/>
                </w:tcPr>
                <w:p w:rsidR="00AC2131" w:rsidRDefault="00AC2131" w:rsidP="00AC2131">
                  <w:pPr>
                    <w:pStyle w:val="TableBodyText"/>
                    <w:jc w:val="left"/>
                  </w:pPr>
                  <w:r>
                    <w:t>Food &amp; beverage processing</w:t>
                  </w:r>
                </w:p>
              </w:tc>
              <w:tc>
                <w:tcPr>
                  <w:tcW w:w="553" w:type="pct"/>
                </w:tcPr>
                <w:p w:rsidR="00AC2131" w:rsidRDefault="00AC2131" w:rsidP="00AC2131">
                  <w:pPr>
                    <w:pStyle w:val="TableBodyText"/>
                    <w:jc w:val="center"/>
                  </w:pPr>
                  <w:r>
                    <w:sym w:font="Wingdings" w:char="F0FC"/>
                  </w:r>
                </w:p>
              </w:tc>
              <w:tc>
                <w:tcPr>
                  <w:tcW w:w="719" w:type="pct"/>
                </w:tcPr>
                <w:p w:rsidR="00AC2131" w:rsidRDefault="00AC2131" w:rsidP="00AC2131">
                  <w:pPr>
                    <w:pStyle w:val="TableBodyText"/>
                    <w:jc w:val="center"/>
                  </w:pPr>
                </w:p>
              </w:tc>
              <w:tc>
                <w:tcPr>
                  <w:tcW w:w="719" w:type="pct"/>
                </w:tcPr>
                <w:p w:rsidR="00AC2131" w:rsidRDefault="00AC2131" w:rsidP="00AC2131">
                  <w:pPr>
                    <w:pStyle w:val="TableBodyText"/>
                    <w:jc w:val="center"/>
                  </w:pPr>
                  <w:r>
                    <w:sym w:font="Wingdings" w:char="F0FC"/>
                  </w:r>
                  <w:r>
                    <w:rPr>
                      <w:rStyle w:val="NoteLabel"/>
                      <w:b w:val="0"/>
                      <w:sz w:val="16"/>
                      <w:szCs w:val="16"/>
                    </w:rPr>
                    <w:t xml:space="preserve"> </w:t>
                  </w:r>
                </w:p>
              </w:tc>
              <w:tc>
                <w:tcPr>
                  <w:tcW w:w="719" w:type="pct"/>
                </w:tcPr>
                <w:p w:rsidR="00AC2131" w:rsidRDefault="00AC2131" w:rsidP="00AC2131">
                  <w:pPr>
                    <w:pStyle w:val="TableBodyText"/>
                    <w:jc w:val="center"/>
                  </w:pPr>
                </w:p>
              </w:tc>
              <w:tc>
                <w:tcPr>
                  <w:tcW w:w="717" w:type="pct"/>
                </w:tcPr>
                <w:p w:rsidR="00AC2131" w:rsidRDefault="00AC2131" w:rsidP="00AC2131">
                  <w:pPr>
                    <w:pStyle w:val="TableBodyText"/>
                    <w:ind w:right="28"/>
                    <w:jc w:val="center"/>
                  </w:pPr>
                  <w:r>
                    <w:sym w:font="Wingdings" w:char="F0FC"/>
                  </w:r>
                </w:p>
              </w:tc>
            </w:tr>
            <w:tr w:rsidR="00AC2131" w:rsidTr="00AC2131">
              <w:tc>
                <w:tcPr>
                  <w:tcW w:w="1574" w:type="pct"/>
                </w:tcPr>
                <w:p w:rsidR="00AC2131" w:rsidRDefault="00AC2131" w:rsidP="00AC2131">
                  <w:pPr>
                    <w:pStyle w:val="TableBodyText"/>
                    <w:jc w:val="left"/>
                  </w:pPr>
                  <w:r>
                    <w:t>Mining services</w:t>
                  </w:r>
                </w:p>
              </w:tc>
              <w:tc>
                <w:tcPr>
                  <w:tcW w:w="553" w:type="pct"/>
                </w:tcPr>
                <w:p w:rsidR="00AC2131" w:rsidRDefault="00AC2131" w:rsidP="00AC2131">
                  <w:pPr>
                    <w:pStyle w:val="TableBodyText"/>
                    <w:jc w:val="center"/>
                  </w:pPr>
                </w:p>
              </w:tc>
              <w:tc>
                <w:tcPr>
                  <w:tcW w:w="719" w:type="pct"/>
                </w:tcPr>
                <w:p w:rsidR="00AC2131" w:rsidRDefault="00AC2131" w:rsidP="00AC2131">
                  <w:pPr>
                    <w:pStyle w:val="TableBodyText"/>
                    <w:jc w:val="center"/>
                  </w:pPr>
                  <w:r>
                    <w:sym w:font="Wingdings" w:char="F0FC"/>
                  </w:r>
                </w:p>
              </w:tc>
              <w:tc>
                <w:tcPr>
                  <w:tcW w:w="719" w:type="pct"/>
                  <w:shd w:val="clear" w:color="auto" w:fill="auto"/>
                </w:tcPr>
                <w:p w:rsidR="00AC2131" w:rsidRDefault="00AC2131" w:rsidP="00AC2131">
                  <w:pPr>
                    <w:pStyle w:val="TableBodyText"/>
                    <w:jc w:val="center"/>
                  </w:pPr>
                </w:p>
              </w:tc>
              <w:tc>
                <w:tcPr>
                  <w:tcW w:w="719" w:type="pct"/>
                  <w:shd w:val="clear" w:color="auto" w:fill="auto"/>
                </w:tcPr>
                <w:p w:rsidR="00AC2131" w:rsidRDefault="00AC2131" w:rsidP="00AC2131">
                  <w:pPr>
                    <w:pStyle w:val="TableBodyText"/>
                    <w:jc w:val="center"/>
                  </w:pPr>
                  <w:r>
                    <w:sym w:font="Wingdings" w:char="F0FC"/>
                  </w:r>
                </w:p>
              </w:tc>
              <w:tc>
                <w:tcPr>
                  <w:tcW w:w="717" w:type="pct"/>
                  <w:shd w:val="clear" w:color="auto" w:fill="auto"/>
                </w:tcPr>
                <w:p w:rsidR="00AC2131" w:rsidRDefault="00AC2131" w:rsidP="00AC2131">
                  <w:pPr>
                    <w:pStyle w:val="TableBodyText"/>
                    <w:ind w:right="28"/>
                    <w:jc w:val="center"/>
                  </w:pPr>
                  <w:r>
                    <w:sym w:font="Wingdings" w:char="F0FC"/>
                  </w:r>
                </w:p>
              </w:tc>
            </w:tr>
            <w:tr w:rsidR="00AC2131" w:rsidTr="00AC2131">
              <w:tc>
                <w:tcPr>
                  <w:tcW w:w="1574" w:type="pct"/>
                </w:tcPr>
                <w:p w:rsidR="00AC2131" w:rsidRDefault="00AC2131" w:rsidP="00AC2131">
                  <w:pPr>
                    <w:pStyle w:val="TableBodyText"/>
                    <w:jc w:val="left"/>
                  </w:pPr>
                  <w:r>
                    <w:t>Pharmaceuticals, biotech &amp; medical</w:t>
                  </w:r>
                </w:p>
              </w:tc>
              <w:tc>
                <w:tcPr>
                  <w:tcW w:w="553" w:type="pct"/>
                </w:tcPr>
                <w:p w:rsidR="00AC2131" w:rsidRDefault="00AC2131" w:rsidP="00AC2131">
                  <w:pPr>
                    <w:pStyle w:val="TableBodyText"/>
                    <w:jc w:val="center"/>
                  </w:pPr>
                </w:p>
              </w:tc>
              <w:tc>
                <w:tcPr>
                  <w:tcW w:w="719" w:type="pct"/>
                </w:tcPr>
                <w:p w:rsidR="00AC2131" w:rsidRDefault="00AC2131" w:rsidP="00AC2131">
                  <w:pPr>
                    <w:pStyle w:val="TableBodyText"/>
                    <w:jc w:val="center"/>
                  </w:pPr>
                  <w:r>
                    <w:sym w:font="Wingdings" w:char="F0FC"/>
                  </w:r>
                </w:p>
              </w:tc>
              <w:tc>
                <w:tcPr>
                  <w:tcW w:w="719" w:type="pct"/>
                  <w:shd w:val="clear" w:color="auto" w:fill="auto"/>
                </w:tcPr>
                <w:p w:rsidR="00AC2131" w:rsidRDefault="00AC2131" w:rsidP="00AC2131">
                  <w:pPr>
                    <w:pStyle w:val="TableBodyText"/>
                    <w:jc w:val="center"/>
                  </w:pPr>
                </w:p>
              </w:tc>
              <w:tc>
                <w:tcPr>
                  <w:tcW w:w="719" w:type="pct"/>
                  <w:shd w:val="clear" w:color="auto" w:fill="auto"/>
                </w:tcPr>
                <w:p w:rsidR="00AC2131" w:rsidRDefault="00AC2131" w:rsidP="00AC2131">
                  <w:pPr>
                    <w:pStyle w:val="TableBodyText"/>
                    <w:jc w:val="center"/>
                  </w:pPr>
                </w:p>
              </w:tc>
              <w:tc>
                <w:tcPr>
                  <w:tcW w:w="717" w:type="pct"/>
                  <w:shd w:val="clear" w:color="auto" w:fill="auto"/>
                </w:tcPr>
                <w:p w:rsidR="00AC2131" w:rsidRDefault="00AC2131" w:rsidP="00AC2131">
                  <w:pPr>
                    <w:pStyle w:val="TableBodyText"/>
                    <w:ind w:right="28"/>
                    <w:jc w:val="center"/>
                  </w:pPr>
                  <w:r>
                    <w:sym w:font="Wingdings" w:char="F0FC"/>
                  </w:r>
                </w:p>
              </w:tc>
            </w:tr>
            <w:tr w:rsidR="00AC2131" w:rsidTr="00AC2131">
              <w:tc>
                <w:tcPr>
                  <w:tcW w:w="1574" w:type="pct"/>
                </w:tcPr>
                <w:p w:rsidR="00AC2131" w:rsidRDefault="00AC2131" w:rsidP="00AC2131">
                  <w:pPr>
                    <w:pStyle w:val="TableBodyText"/>
                    <w:jc w:val="left"/>
                  </w:pPr>
                  <w:r>
                    <w:t>Gas</w:t>
                  </w:r>
                </w:p>
              </w:tc>
              <w:tc>
                <w:tcPr>
                  <w:tcW w:w="553" w:type="pct"/>
                </w:tcPr>
                <w:p w:rsidR="00AC2131" w:rsidRDefault="00AC2131" w:rsidP="00AC2131">
                  <w:pPr>
                    <w:pStyle w:val="TableBodyText"/>
                    <w:jc w:val="center"/>
                  </w:pPr>
                  <w:r>
                    <w:sym w:font="Wingdings" w:char="F0FC"/>
                  </w:r>
                </w:p>
              </w:tc>
              <w:tc>
                <w:tcPr>
                  <w:tcW w:w="719" w:type="pct"/>
                </w:tcPr>
                <w:p w:rsidR="00AC2131" w:rsidRDefault="00AC2131" w:rsidP="00AC2131">
                  <w:pPr>
                    <w:pStyle w:val="TableBodyText"/>
                    <w:jc w:val="center"/>
                  </w:pPr>
                  <w:r>
                    <w:sym w:font="Wingdings" w:char="F0FC"/>
                  </w:r>
                </w:p>
              </w:tc>
              <w:tc>
                <w:tcPr>
                  <w:tcW w:w="719" w:type="pct"/>
                  <w:shd w:val="clear" w:color="auto" w:fill="auto"/>
                </w:tcPr>
                <w:p w:rsidR="00AC2131" w:rsidRDefault="00AC2131" w:rsidP="00AC2131">
                  <w:pPr>
                    <w:pStyle w:val="TableBodyText"/>
                    <w:jc w:val="center"/>
                  </w:pPr>
                  <w:r>
                    <w:sym w:font="Wingdings" w:char="F0FC"/>
                  </w:r>
                </w:p>
              </w:tc>
              <w:tc>
                <w:tcPr>
                  <w:tcW w:w="719" w:type="pct"/>
                  <w:shd w:val="clear" w:color="auto" w:fill="auto"/>
                </w:tcPr>
                <w:p w:rsidR="00AC2131" w:rsidRDefault="00AC2131" w:rsidP="00AC2131">
                  <w:pPr>
                    <w:pStyle w:val="TableBodyText"/>
                    <w:jc w:val="center"/>
                  </w:pPr>
                  <w:r>
                    <w:sym w:font="Wingdings" w:char="F0FC"/>
                  </w:r>
                </w:p>
              </w:tc>
              <w:tc>
                <w:tcPr>
                  <w:tcW w:w="717" w:type="pct"/>
                  <w:shd w:val="clear" w:color="auto" w:fill="auto"/>
                </w:tcPr>
                <w:p w:rsidR="00AC2131" w:rsidRDefault="00AC2131" w:rsidP="00AC2131">
                  <w:pPr>
                    <w:pStyle w:val="TableBodyText"/>
                    <w:ind w:right="28"/>
                    <w:jc w:val="center"/>
                  </w:pPr>
                  <w:r>
                    <w:sym w:font="Wingdings" w:char="F0FC"/>
                  </w:r>
                </w:p>
              </w:tc>
            </w:tr>
            <w:tr w:rsidR="00AC2131" w:rsidTr="00AC2131">
              <w:tc>
                <w:tcPr>
                  <w:tcW w:w="5000" w:type="pct"/>
                  <w:gridSpan w:val="6"/>
                </w:tcPr>
                <w:p w:rsidR="00AC2131" w:rsidRDefault="00AC2131" w:rsidP="00AC2131">
                  <w:pPr>
                    <w:pStyle w:val="TableColumnHeading"/>
                    <w:spacing w:before="160"/>
                    <w:jc w:val="left"/>
                  </w:pPr>
                  <w:r>
                    <w:t>Activities with growth potential not aligned with IICA priority industries</w:t>
                  </w:r>
                </w:p>
              </w:tc>
            </w:tr>
            <w:tr w:rsidR="00AC2131" w:rsidTr="00AC2131">
              <w:tc>
                <w:tcPr>
                  <w:tcW w:w="1574" w:type="pct"/>
                </w:tcPr>
                <w:p w:rsidR="00AC2131" w:rsidRDefault="00AC2131" w:rsidP="00AC2131">
                  <w:pPr>
                    <w:pStyle w:val="TableBodyText"/>
                    <w:jc w:val="left"/>
                  </w:pPr>
                  <w:r>
                    <w:t>International education</w:t>
                  </w:r>
                </w:p>
              </w:tc>
              <w:tc>
                <w:tcPr>
                  <w:tcW w:w="553" w:type="pct"/>
                </w:tcPr>
                <w:p w:rsidR="00AC2131" w:rsidRDefault="00AC2131" w:rsidP="00AC2131">
                  <w:pPr>
                    <w:pStyle w:val="TableBodyText"/>
                    <w:jc w:val="center"/>
                  </w:pPr>
                  <w:r>
                    <w:sym w:font="Wingdings" w:char="F0FC"/>
                  </w:r>
                </w:p>
              </w:tc>
              <w:tc>
                <w:tcPr>
                  <w:tcW w:w="719" w:type="pct"/>
                </w:tcPr>
                <w:p w:rsidR="00AC2131" w:rsidRDefault="00AC2131" w:rsidP="00AC2131">
                  <w:pPr>
                    <w:pStyle w:val="TableBodyText"/>
                    <w:jc w:val="center"/>
                  </w:pPr>
                </w:p>
              </w:tc>
              <w:tc>
                <w:tcPr>
                  <w:tcW w:w="719" w:type="pct"/>
                  <w:shd w:val="clear" w:color="auto" w:fill="auto"/>
                </w:tcPr>
                <w:p w:rsidR="00AC2131" w:rsidRDefault="00AC2131" w:rsidP="00AC2131">
                  <w:pPr>
                    <w:pStyle w:val="TableBodyText"/>
                    <w:jc w:val="center"/>
                  </w:pPr>
                  <w:r>
                    <w:sym w:font="Wingdings" w:char="F0FC"/>
                  </w:r>
                </w:p>
              </w:tc>
              <w:tc>
                <w:tcPr>
                  <w:tcW w:w="719" w:type="pct"/>
                  <w:shd w:val="clear" w:color="auto" w:fill="auto"/>
                </w:tcPr>
                <w:p w:rsidR="00AC2131" w:rsidRDefault="00AC2131" w:rsidP="00AC2131">
                  <w:pPr>
                    <w:pStyle w:val="TableBodyText"/>
                    <w:jc w:val="center"/>
                  </w:pPr>
                  <w:r>
                    <w:sym w:font="Wingdings" w:char="F0FC"/>
                  </w:r>
                </w:p>
              </w:tc>
              <w:tc>
                <w:tcPr>
                  <w:tcW w:w="717" w:type="pct"/>
                  <w:shd w:val="clear" w:color="auto" w:fill="auto"/>
                </w:tcPr>
                <w:p w:rsidR="00AC2131" w:rsidRDefault="00AC2131" w:rsidP="00AC2131">
                  <w:pPr>
                    <w:pStyle w:val="TableBodyText"/>
                    <w:ind w:right="28"/>
                    <w:jc w:val="center"/>
                  </w:pPr>
                  <w:r>
                    <w:sym w:font="Wingdings" w:char="F0FC"/>
                  </w:r>
                </w:p>
              </w:tc>
            </w:tr>
            <w:tr w:rsidR="00AC2131" w:rsidTr="00AC2131">
              <w:tc>
                <w:tcPr>
                  <w:tcW w:w="1574" w:type="pct"/>
                </w:tcPr>
                <w:p w:rsidR="00AC2131" w:rsidRDefault="00AC2131" w:rsidP="00AC2131">
                  <w:pPr>
                    <w:pStyle w:val="TableBodyText"/>
                    <w:jc w:val="left"/>
                  </w:pPr>
                  <w:r>
                    <w:t>Tourism</w:t>
                  </w:r>
                </w:p>
              </w:tc>
              <w:tc>
                <w:tcPr>
                  <w:tcW w:w="553" w:type="pct"/>
                </w:tcPr>
                <w:p w:rsidR="00AC2131" w:rsidRDefault="00AC2131" w:rsidP="00AC2131">
                  <w:pPr>
                    <w:pStyle w:val="TableBodyText"/>
                    <w:jc w:val="center"/>
                  </w:pPr>
                  <w:r>
                    <w:sym w:font="Wingdings" w:char="F0FC"/>
                  </w:r>
                </w:p>
              </w:tc>
              <w:tc>
                <w:tcPr>
                  <w:tcW w:w="719" w:type="pct"/>
                </w:tcPr>
                <w:p w:rsidR="00AC2131" w:rsidRDefault="00AC2131" w:rsidP="00AC2131">
                  <w:pPr>
                    <w:pStyle w:val="TableBodyText"/>
                    <w:jc w:val="center"/>
                  </w:pPr>
                  <w:r>
                    <w:sym w:font="Wingdings" w:char="F0FC"/>
                  </w:r>
                </w:p>
              </w:tc>
              <w:tc>
                <w:tcPr>
                  <w:tcW w:w="719" w:type="pct"/>
                  <w:shd w:val="clear" w:color="auto" w:fill="auto"/>
                </w:tcPr>
                <w:p w:rsidR="00AC2131" w:rsidRDefault="00AC2131" w:rsidP="00AC2131">
                  <w:pPr>
                    <w:pStyle w:val="TableBodyText"/>
                    <w:jc w:val="center"/>
                  </w:pPr>
                </w:p>
              </w:tc>
              <w:tc>
                <w:tcPr>
                  <w:tcW w:w="719" w:type="pct"/>
                  <w:shd w:val="clear" w:color="auto" w:fill="auto"/>
                </w:tcPr>
                <w:p w:rsidR="00AC2131" w:rsidRDefault="00AC2131" w:rsidP="00AC2131">
                  <w:pPr>
                    <w:pStyle w:val="TableBodyText"/>
                    <w:jc w:val="center"/>
                  </w:pPr>
                  <w:r>
                    <w:sym w:font="Wingdings" w:char="F0FC"/>
                  </w:r>
                </w:p>
              </w:tc>
              <w:tc>
                <w:tcPr>
                  <w:tcW w:w="717" w:type="pct"/>
                  <w:shd w:val="clear" w:color="auto" w:fill="auto"/>
                </w:tcPr>
                <w:p w:rsidR="00AC2131" w:rsidRDefault="00AC2131" w:rsidP="00AC2131">
                  <w:pPr>
                    <w:pStyle w:val="TableBodyText"/>
                    <w:ind w:right="28"/>
                    <w:jc w:val="center"/>
                  </w:pPr>
                  <w:r>
                    <w:sym w:font="Wingdings" w:char="F0FC"/>
                  </w:r>
                </w:p>
              </w:tc>
            </w:tr>
            <w:tr w:rsidR="00AC2131" w:rsidTr="00AC2131">
              <w:tc>
                <w:tcPr>
                  <w:tcW w:w="1574" w:type="pct"/>
                </w:tcPr>
                <w:p w:rsidR="00AC2131" w:rsidRDefault="00AC2131" w:rsidP="00AC2131">
                  <w:pPr>
                    <w:pStyle w:val="TableBodyText"/>
                    <w:jc w:val="left"/>
                  </w:pPr>
                  <w:r>
                    <w:t>Professional &amp; financial services</w:t>
                  </w:r>
                </w:p>
              </w:tc>
              <w:tc>
                <w:tcPr>
                  <w:tcW w:w="553" w:type="pct"/>
                </w:tcPr>
                <w:p w:rsidR="00AC2131" w:rsidRDefault="00AC2131" w:rsidP="00AC2131">
                  <w:pPr>
                    <w:pStyle w:val="TableBodyText"/>
                    <w:jc w:val="center"/>
                  </w:pPr>
                  <w:r>
                    <w:sym w:font="Wingdings" w:char="F0FC"/>
                  </w:r>
                  <w:r w:rsidRPr="008762FC">
                    <w:rPr>
                      <w:rStyle w:val="NoteLabel"/>
                      <w:sz w:val="16"/>
                      <w:szCs w:val="16"/>
                    </w:rPr>
                    <w:t>c</w:t>
                  </w:r>
                </w:p>
              </w:tc>
              <w:tc>
                <w:tcPr>
                  <w:tcW w:w="719" w:type="pct"/>
                </w:tcPr>
                <w:p w:rsidR="00AC2131" w:rsidRDefault="00AC2131" w:rsidP="00AC2131">
                  <w:pPr>
                    <w:pStyle w:val="TableBodyText"/>
                    <w:jc w:val="center"/>
                  </w:pPr>
                  <w:r>
                    <w:sym w:font="Wingdings" w:char="F0FC"/>
                  </w:r>
                </w:p>
              </w:tc>
              <w:tc>
                <w:tcPr>
                  <w:tcW w:w="719" w:type="pct"/>
                  <w:shd w:val="clear" w:color="auto" w:fill="auto"/>
                </w:tcPr>
                <w:p w:rsidR="00AC2131" w:rsidRDefault="00AC2131" w:rsidP="00AC2131">
                  <w:pPr>
                    <w:pStyle w:val="TableBodyText"/>
                    <w:jc w:val="center"/>
                  </w:pPr>
                  <w:r>
                    <w:sym w:font="Wingdings" w:char="F0FC"/>
                  </w:r>
                  <w:r w:rsidRPr="008762FC">
                    <w:rPr>
                      <w:rStyle w:val="NoteLabel"/>
                      <w:sz w:val="16"/>
                      <w:szCs w:val="16"/>
                    </w:rPr>
                    <w:t>d</w:t>
                  </w:r>
                </w:p>
              </w:tc>
              <w:tc>
                <w:tcPr>
                  <w:tcW w:w="719" w:type="pct"/>
                  <w:shd w:val="clear" w:color="auto" w:fill="auto"/>
                </w:tcPr>
                <w:p w:rsidR="00AC2131" w:rsidRDefault="00AC2131" w:rsidP="00AC2131">
                  <w:pPr>
                    <w:pStyle w:val="TableBodyText"/>
                    <w:jc w:val="center"/>
                  </w:pPr>
                  <w:r>
                    <w:sym w:font="Wingdings" w:char="F0FC"/>
                  </w:r>
                </w:p>
              </w:tc>
              <w:tc>
                <w:tcPr>
                  <w:tcW w:w="717" w:type="pct"/>
                  <w:shd w:val="clear" w:color="auto" w:fill="auto"/>
                </w:tcPr>
                <w:p w:rsidR="00AC2131" w:rsidRDefault="00AC2131" w:rsidP="00AC2131">
                  <w:pPr>
                    <w:pStyle w:val="TableBodyText"/>
                    <w:ind w:right="28"/>
                    <w:jc w:val="center"/>
                  </w:pPr>
                </w:p>
              </w:tc>
            </w:tr>
            <w:tr w:rsidR="00AC2131" w:rsidTr="00AC2131">
              <w:tc>
                <w:tcPr>
                  <w:tcW w:w="1574" w:type="pct"/>
                  <w:tcBorders>
                    <w:bottom w:val="single" w:sz="6" w:space="0" w:color="BFBFBF"/>
                  </w:tcBorders>
                </w:tcPr>
                <w:p w:rsidR="00AC2131" w:rsidRDefault="00AC2131" w:rsidP="00AC2131">
                  <w:pPr>
                    <w:pStyle w:val="TableBodyText"/>
                    <w:jc w:val="left"/>
                  </w:pPr>
                  <w:r>
                    <w:t>Distribution Services</w:t>
                  </w:r>
                  <w:r w:rsidRPr="008762FC">
                    <w:rPr>
                      <w:rStyle w:val="NoteLabel"/>
                      <w:sz w:val="16"/>
                      <w:szCs w:val="16"/>
                    </w:rPr>
                    <w:t>e</w:t>
                  </w:r>
                </w:p>
              </w:tc>
              <w:tc>
                <w:tcPr>
                  <w:tcW w:w="553" w:type="pct"/>
                  <w:tcBorders>
                    <w:bottom w:val="single" w:sz="6" w:space="0" w:color="BFBFBF"/>
                  </w:tcBorders>
                </w:tcPr>
                <w:p w:rsidR="00AC2131" w:rsidRDefault="00AC2131" w:rsidP="00AC2131">
                  <w:pPr>
                    <w:pStyle w:val="TableBodyText"/>
                    <w:jc w:val="center"/>
                  </w:pPr>
                  <w:r>
                    <w:sym w:font="Wingdings" w:char="F0FC"/>
                  </w:r>
                </w:p>
              </w:tc>
              <w:tc>
                <w:tcPr>
                  <w:tcW w:w="719" w:type="pct"/>
                  <w:tcBorders>
                    <w:bottom w:val="single" w:sz="6" w:space="0" w:color="BFBFBF"/>
                  </w:tcBorders>
                </w:tcPr>
                <w:p w:rsidR="00AC2131" w:rsidRDefault="00AC2131" w:rsidP="00AC2131">
                  <w:pPr>
                    <w:pStyle w:val="TableBodyText"/>
                    <w:jc w:val="center"/>
                  </w:pPr>
                  <w:r>
                    <w:sym w:font="Wingdings" w:char="F0FC"/>
                  </w:r>
                </w:p>
              </w:tc>
              <w:tc>
                <w:tcPr>
                  <w:tcW w:w="719" w:type="pct"/>
                  <w:tcBorders>
                    <w:bottom w:val="single" w:sz="6" w:space="0" w:color="BFBFBF"/>
                  </w:tcBorders>
                  <w:shd w:val="clear" w:color="auto" w:fill="auto"/>
                </w:tcPr>
                <w:p w:rsidR="00AC2131" w:rsidRDefault="00AC2131" w:rsidP="00AC2131">
                  <w:pPr>
                    <w:pStyle w:val="TableBodyText"/>
                    <w:jc w:val="center"/>
                  </w:pPr>
                </w:p>
              </w:tc>
              <w:tc>
                <w:tcPr>
                  <w:tcW w:w="719" w:type="pct"/>
                  <w:tcBorders>
                    <w:bottom w:val="single" w:sz="6" w:space="0" w:color="BFBFBF"/>
                  </w:tcBorders>
                  <w:shd w:val="clear" w:color="auto" w:fill="auto"/>
                </w:tcPr>
                <w:p w:rsidR="00AC2131" w:rsidRDefault="00AC2131" w:rsidP="00AC2131">
                  <w:pPr>
                    <w:pStyle w:val="TableBodyText"/>
                    <w:jc w:val="center"/>
                  </w:pPr>
                </w:p>
              </w:tc>
              <w:tc>
                <w:tcPr>
                  <w:tcW w:w="717" w:type="pct"/>
                  <w:tcBorders>
                    <w:bottom w:val="single" w:sz="6" w:space="0" w:color="BFBFBF"/>
                  </w:tcBorders>
                  <w:shd w:val="clear" w:color="auto" w:fill="auto"/>
                </w:tcPr>
                <w:p w:rsidR="00AC2131" w:rsidRDefault="00AC2131" w:rsidP="00AC2131">
                  <w:pPr>
                    <w:pStyle w:val="TableBodyText"/>
                    <w:ind w:right="28"/>
                    <w:jc w:val="center"/>
                  </w:pP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Pr="001068E5" w:rsidRDefault="00AC2131" w:rsidP="00AC2131">
            <w:pPr>
              <w:pStyle w:val="Note"/>
            </w:pPr>
            <w:r>
              <w:rPr>
                <w:rStyle w:val="NoteLabel"/>
              </w:rPr>
              <w:t>a</w:t>
            </w:r>
            <w:r>
              <w:t xml:space="preserve"> PwC also identified Digital; Transport; Space &amp; spatial; and Built environment &amp; construction as having strong growth paths. </w:t>
            </w:r>
            <w:r>
              <w:rPr>
                <w:rStyle w:val="NoteLabel"/>
              </w:rPr>
              <w:t>b</w:t>
            </w:r>
            <w:r>
              <w:t xml:space="preserve"> Sectors identified by McKinsey as ‘advantaged performers’ and ‘latent potentials’. </w:t>
            </w:r>
            <w:r>
              <w:rPr>
                <w:rStyle w:val="NoteLabel"/>
              </w:rPr>
              <w:t>c </w:t>
            </w:r>
            <w:r>
              <w:t xml:space="preserve">In professional &amp; financial services Deloitte identified wealth management as a growth subsector. </w:t>
            </w:r>
            <w:r w:rsidRPr="008762FC">
              <w:rPr>
                <w:rStyle w:val="NoteLabel"/>
              </w:rPr>
              <w:t>d</w:t>
            </w:r>
            <w:r>
              <w:t xml:space="preserve"> Within the professional and financial services category IBIS identified legal services as a key growth subsector. </w:t>
            </w:r>
            <w:r>
              <w:rPr>
                <w:rStyle w:val="NoteLabel"/>
              </w:rPr>
              <w:t>e</w:t>
            </w:r>
            <w:r>
              <w:t xml:space="preserve"> Distribution services includes wholesale and retail trade, transport, and postal and warehousing. The Agenda excluded Distribution Services from the ‘final eight’ industries discussed in further detail in the Agenda. </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Australian Government (2014b, p. 9).</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5D1D29" w:rsidRDefault="00AC2131" w:rsidP="00AC2131">
      <w:pPr>
        <w:pStyle w:val="BoxSpaceAbove"/>
        <w:rPr>
          <w:i/>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2.</w:t>
            </w:r>
            <w:r>
              <w:rPr>
                <w:b w:val="0"/>
                <w:noProof/>
              </w:rPr>
              <w:t>6</w:t>
            </w:r>
            <w:r>
              <w:tab/>
              <w:t>Approaches to identifying Australian industry export growth prospects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The methodologies adopted by three of the consultants to analyse industry growth prospects are public, and involve a mix of quantitative calculations and judgements.</w:t>
            </w:r>
          </w:p>
          <w:p w:rsidR="00AC2131" w:rsidRDefault="00AC2131" w:rsidP="00AC2131">
            <w:pPr>
              <w:pStyle w:val="BoxHeading1"/>
            </w:pPr>
            <w:r>
              <w:t xml:space="preserve">Deloitte (2014), </w:t>
            </w:r>
            <w:r w:rsidRPr="00441AEA">
              <w:rPr>
                <w:i/>
              </w:rPr>
              <w:t>‘Positioning for Prosperity: catching the next wave’</w:t>
            </w:r>
          </w:p>
          <w:p w:rsidR="00AC2131" w:rsidRDefault="00AC2131" w:rsidP="00AC2131">
            <w:pPr>
              <w:pStyle w:val="Box"/>
            </w:pPr>
            <w:r>
              <w:t>Deloitte first projected global industry output growth for 20 industry sectors for 2013 to 2033. Second, it assessed the (underlying) advantage of Australian industries. It then compared how the two rankings intersected. This produced a relative advantage score for each Australian industry.</w:t>
            </w:r>
          </w:p>
          <w:p w:rsidR="00AC2131" w:rsidRDefault="00AC2131" w:rsidP="00AC2131">
            <w:pPr>
              <w:pStyle w:val="Box"/>
            </w:pPr>
            <w:r>
              <w:t>The underlying advantage of Australian industries was calculated as a weighted average of scores for the following nine indicators, in descending order of weight: natural resource (29 per cent weight); cost competitiveness (19.1); regulatory competitiveness (18.9); exchange rate (11.8); relative productivity (11.1); sector-specific factors (4.3); proximity to Asia (3.4), revealed comparative advantage (1.9); and educational attainment (0.4).</w:t>
            </w:r>
          </w:p>
          <w:p w:rsidR="00AC2131" w:rsidRDefault="00AC2131" w:rsidP="00AC2131">
            <w:pPr>
              <w:pStyle w:val="Box"/>
            </w:pPr>
            <w:r>
              <w:t xml:space="preserve">The rankings based on the numerical exercise were adjusted for several industries based on judgements about the industry. For instance, coal, manufacturing and health were marked down, while wealth management, international education, agri-business and professional services were marked up. </w:t>
            </w:r>
          </w:p>
          <w:p w:rsidR="00AC2131" w:rsidRDefault="00AC2131" w:rsidP="00AC2131">
            <w:pPr>
              <w:pStyle w:val="BoxHeading1"/>
            </w:pPr>
            <w:r>
              <w:t xml:space="preserve">IBIS World (2013), </w:t>
            </w:r>
            <w:r w:rsidRPr="00441AEA">
              <w:rPr>
                <w:i/>
              </w:rPr>
              <w:t>‘Australia’s Top 5 New Exports’</w:t>
            </w:r>
          </w:p>
          <w:p w:rsidR="00AC2131" w:rsidRDefault="00AC2131" w:rsidP="00AC2131">
            <w:pPr>
              <w:pStyle w:val="Box"/>
            </w:pPr>
            <w:r>
              <w:t xml:space="preserve">IBIS drew on nine of their industry reports to identify Australia’s five biggest export prospects, beyond mining commodities. IBIS industry reports examine factors such as: demand drivers, cost structures, competition and entry barriers, firm level differences, and government policies. </w:t>
            </w:r>
          </w:p>
          <w:p w:rsidR="00AC2131" w:rsidRDefault="00AC2131" w:rsidP="00AC2131">
            <w:pPr>
              <w:pStyle w:val="Box"/>
            </w:pPr>
            <w:r>
              <w:t>Increased demand opportunities from Asia and a lower exchange rate were significant factors in delineating between industry prospects.</w:t>
            </w:r>
          </w:p>
          <w:p w:rsidR="00AC2131" w:rsidRDefault="00AC2131" w:rsidP="00AC2131">
            <w:pPr>
              <w:pStyle w:val="BoxHeading1"/>
            </w:pPr>
            <w:r>
              <w:t xml:space="preserve">McKinsey Australia (2014), </w:t>
            </w:r>
            <w:r w:rsidRPr="00441AEA">
              <w:rPr>
                <w:i/>
              </w:rPr>
              <w:t>‘Compete to Prosper: How Australia can gain a global edge’</w:t>
            </w:r>
          </w:p>
          <w:p w:rsidR="00AC2131" w:rsidRDefault="00AC2131" w:rsidP="00AC2131">
            <w:pPr>
              <w:pStyle w:val="Box"/>
            </w:pPr>
            <w:r>
              <w:t xml:space="preserve">McKinsey assessed export competitiveness in two ways. </w:t>
            </w:r>
          </w:p>
          <w:p w:rsidR="00AC2131" w:rsidRDefault="00AC2131" w:rsidP="00AC2131">
            <w:pPr>
              <w:pStyle w:val="BoxListBullet"/>
            </w:pPr>
            <w:r>
              <w:t>The first method of assessment is how Australian industries actually performed in the global market. Accordingly, it calculated two outcome measures. One was the export to import ratio for 14 industry groupings in the snapshot year 2010. The other indicator was world export market share growth for 2005 to 2010.</w:t>
            </w:r>
          </w:p>
          <w:p w:rsidR="00AC2131" w:rsidRDefault="00AC2131" w:rsidP="00AC2131">
            <w:pPr>
              <w:pStyle w:val="BoxListBullet"/>
            </w:pPr>
            <w:r>
              <w:t xml:space="preserve">The second method of assessment was to calculate a Relative Competitiveness Index (RCI) for 2005 and 2012. The RCI is </w:t>
            </w:r>
            <w:r w:rsidRPr="00E16E38">
              <w:t xml:space="preserve">an index of gross value added (GVA) divided by total input costs, relative to other countries. </w:t>
            </w:r>
            <w:r>
              <w:t xml:space="preserve">The RCI could only be calculated for a few industries and for a few countries because of data limitations. </w:t>
            </w:r>
          </w:p>
          <w:p w:rsidR="00AC2131" w:rsidRDefault="00AC2131" w:rsidP="00AC2131">
            <w:pPr>
              <w:pStyle w:val="Box"/>
            </w:pPr>
            <w:r>
              <w:t>McKinsey supplement this empirical work by judgements on which industries fit Australia’s endowments. It judges that Australia has ‘two great’ endowments: natural endowments built on its unique geography and geology; and a skill endowment derived from people (whether Australian-born or immigrants, educated in Australia or overseas).</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lastRenderedPageBreak/>
        <w:t>Broadly, the assessments take into account past export sales (that is, gross exports), fit with future predicted global growth, fit with Australia’s natural resources, and sectoral relative cost and productivity.</w:t>
      </w:r>
    </w:p>
    <w:p w:rsidR="00AC2131" w:rsidRDefault="00AC2131" w:rsidP="00AC2131">
      <w:pPr>
        <w:pStyle w:val="BodyText"/>
      </w:pPr>
      <w:r>
        <w:t xml:space="preserve">An issue regarding this approach of targeting is whether past experience is the best guide to the future, whether policy judgements concerning future areas of commercial success are the best guide and whether an approach based on selectivity affords net economic benefits, that is, community wide gains. Some cautionary concerns about designating five priority sectors follow. </w:t>
      </w:r>
    </w:p>
    <w:p w:rsidR="00AC2131" w:rsidRDefault="00AC2131" w:rsidP="00AC2131">
      <w:pPr>
        <w:pStyle w:val="ListBullet"/>
      </w:pPr>
      <w:r>
        <w:t>The quantitative methodologies used to identify the industries with the most promising (export) growth potential are predominantly based on past gross export earnings. As discussed above (section 2.1), value-added export data provides an additional perspective of the relative contribution of how industries contribute to the Australian economy. In value-added terms, for Australia and the world, services are relatively more important, and manufactured exports relatively less important, as a generator of national income, than implied by gross export values. Estimations of Revealed Comparative Advantage (RCA) in gross and value-added terms, indicate that the rankings of industries (and countries) change, often significantly, including from having a revealed comparative advantage in gross terms to a disadvantage in value-added terms (Koopman et al. 2014).</w:t>
      </w:r>
      <w:r>
        <w:rPr>
          <w:rStyle w:val="FootnoteReference"/>
        </w:rPr>
        <w:footnoteReference w:id="9"/>
      </w:r>
      <w:r>
        <w:t xml:space="preserve"> </w:t>
      </w:r>
    </w:p>
    <w:p w:rsidR="00AC2131" w:rsidRDefault="00AC2131" w:rsidP="00AC2131">
      <w:pPr>
        <w:pStyle w:val="ListBullet"/>
      </w:pPr>
      <w:r>
        <w:t>Recent export performance may not be the best guide to future prospects. Moreover, industries that have recently been internationally successful, and somewhat likely to remain so in the near term, would not seem to warrant being a priority for future public support. Between 1995 and 2007 about 75 per cent of the growth in world manufacturing exports was growth of existing country-product trade flows (often referred to as growth along the intensive margin) (Beltramello et al. 2012). For Australia, the contribution of ‘old trade flows’ was about 50 per cent.</w:t>
      </w:r>
      <w:r>
        <w:rPr>
          <w:rStyle w:val="FootnoteReference"/>
        </w:rPr>
        <w:footnoteReference w:id="10"/>
      </w:r>
      <w:r>
        <w:t xml:space="preserve"> New trade flows (often referred to as growth along the extensive margin) can be divided into three categories: (1) new combination of existing products to existing destination; (2) existing products to new destinations; and (3) new products to new destinations. For the world, growth along the intensive margin dominated, with Australia above the world average. Around 90 per cent of Australia’s growth in new manufactured exports between 1995 and 2007 was of an existing exported product to an existing trading </w:t>
      </w:r>
      <w:r>
        <w:lastRenderedPageBreak/>
        <w:t>partner. Most of the remaining 10 per cent of new exports was in the form of new products to existing destinations.</w:t>
      </w:r>
    </w:p>
    <w:p w:rsidR="00AC2131" w:rsidRDefault="00AC2131" w:rsidP="00AC2131">
      <w:pPr>
        <w:pStyle w:val="ListBullet"/>
      </w:pPr>
      <w:r>
        <w:t>The five priority sectors are very broad. For instance the ‘food and agribusiness’ grouping would seem to describe 2 industries of the ANZSIC 2 digit classification, 19 industries at the 3 digit classification level, and 58 at the 4 digit level. The empirical trade literature indicates quite different competitiveness and trade patterns for industries that fall within the same broad industry grouping (OECD 2011a), while the consultants identified specific subsectors with the broad industry groupings as having different prospects.</w:t>
      </w:r>
      <w:r>
        <w:rPr>
          <w:rStyle w:val="FootnoteReference"/>
        </w:rPr>
        <w:footnoteReference w:id="11"/>
      </w:r>
      <w:r>
        <w:t xml:space="preserve"> For instance, within the broad Food and Agribusiness industry grouping, one consultant report specifically identified beer manufacturing, baby food and dairy as top prospects. A concern is whether the programs can realistically identify sub-industry participants (within the broad industry groupings) with realisable growth prospects and/or deliver general purpose skills and information that would not otherwise be available and that are transferable between activities. Moreover, even if activities with above average growth prospects can be identified, there is a question as to what rationale and merit there is for government intervention. </w:t>
      </w:r>
    </w:p>
    <w:p w:rsidR="00AC2131" w:rsidRDefault="00AC2131" w:rsidP="00AC2131">
      <w:pPr>
        <w:pStyle w:val="ListBullet"/>
      </w:pPr>
      <w:r>
        <w:t>Following a market analysis in 2013 Austrade identified a broader set of eight high-level global demand and trade areas on which to focus its activities (Austrade 2014, p. 26). These areas subsume the five designated priority areas in the Industry and Science Portfolio and cover: premium processed foods (especially clean, green and ethical); agribusiness (such as dairy and seafood production); resources and energy (focussing on mining equipment, technology and services); health, aged care and biotechnology; advanced manufacturing (focussing on aerospace, defence, marine and automotive components); infrastructure; environment, water and energy efficiency; and advanced services (focussing on financial, ICT, professional business advisory, creative industries and major sporting event delivery).</w:t>
      </w:r>
    </w:p>
    <w:p w:rsidR="00AC2131" w:rsidRDefault="00AC2131" w:rsidP="00AC2131">
      <w:pPr>
        <w:pStyle w:val="ListBullet"/>
      </w:pPr>
      <w:r>
        <w:t>Industries comprise highly heterogeneous firms. The empirical literature indicates substantial between-firm differences in competitiveness and trading position within the same industry. And, while a robust stylised fact (across countries, industries and time) is that a few firms account for the majority of exports of an industry, even a small number of successful firms within the same industry can have different sources of underlying comparative advantages. A concern is that the program will not be cost effective given unavoidable difficulty in meaningfully selecting firms that are likely to be successful in commerce by administrative processes.</w:t>
      </w:r>
    </w:p>
    <w:p w:rsidR="00AC2131" w:rsidRDefault="00AC2131" w:rsidP="00AC2131">
      <w:pPr>
        <w:pStyle w:val="BodyText"/>
      </w:pPr>
      <w:r>
        <w:t>An enduring concern is that if the assessment about sector, industry or firm prospects are not robust or ultimately realised (in the first instance), further public support may be sought and committed.</w:t>
      </w:r>
    </w:p>
    <w:p w:rsidR="00AC2131" w:rsidRDefault="00AC2131" w:rsidP="00AC2131">
      <w:pPr>
        <w:pStyle w:val="Heading2"/>
      </w:pPr>
      <w:r>
        <w:lastRenderedPageBreak/>
        <w:t>2.</w:t>
      </w:r>
      <w:r>
        <w:rPr>
          <w:noProof/>
        </w:rPr>
        <w:t>4</w:t>
      </w:r>
      <w:r>
        <w:tab/>
        <w:t>Concluding comments</w:t>
      </w:r>
    </w:p>
    <w:p w:rsidR="00AC2131" w:rsidRDefault="00AC2131" w:rsidP="00AC2131">
      <w:pPr>
        <w:pStyle w:val="BodyText"/>
      </w:pPr>
      <w:r>
        <w:t xml:space="preserve">World production and trade have increasingly been structured around global value chains. In particular, manufacturing has been ‘sliced’ into more stages across countries. One consequence is that gross export statistics blur the industry and country origin of the value added in production, which increases with the evolution of global value chains. Gross export data attribute the full value to the last industry and country. The recent construction of value-added trade flow data has furthered the understanding of the inter-relatedness and dependency among industries and across countries, and provides a better picture of the resource allocation effects of trade. For instance, in value-added terms exports of services are relatively more important, and manufactured exports relatively less important, as a generator of national income, than implied by gross export values. This increases the priority for addressing impediments to services exports and to overcoming inefficient services used as inputs in domestic production. </w:t>
      </w:r>
    </w:p>
    <w:p w:rsidR="00AC2131" w:rsidRDefault="00AC2131" w:rsidP="00AC2131">
      <w:pPr>
        <w:pStyle w:val="BodyText"/>
      </w:pPr>
      <w:r>
        <w:t>Effective participation in GVCs can be facilitated in a number of ways — minimising barriers to cross border trade, allowing domestic labour and capital to flow to best use (in a global sense), and ensuring supporting services are efficiently provided. Past steps to open Australia’s borders and improve productivity in the domestic economy have been associated with increased trade openness and improved economic performance in absolute terms and relative to peers. Future improvements are likely to come from completing the agenda of tariff liberalisation, and policies that enable firms to adjust to changing circumstances. The evolution of GVCs reinforces the reality that imports are essential for exports and that barriers to imported inputs act as a tax on exports. And while transparent tariff barriers have been significantly reduced, unilaterally and multi-laterally, the increasingly global fragmentation of production of a final good further elevates the priority for eliminating remaining tariffs and addressing less transparent non-tariff barriers to trade.</w:t>
      </w:r>
    </w:p>
    <w:p w:rsidR="00AC2131" w:rsidRDefault="00AC2131" w:rsidP="00AC2131">
      <w:pPr>
        <w:pStyle w:val="BodyText"/>
      </w:pPr>
      <w:r>
        <w:t xml:space="preserve">Policies that are non-discriminatory, that are focused on removing impediments to business activity, and that are also focused on reducing business costs have the best chance of fostering economic growth and higher incomes. Policies that seek to direct resources and effort according to priority sectors unavoidably risk disadvantaging other firms or sectors that may be more competitive and have better prospects in global markets. </w:t>
      </w:r>
    </w:p>
    <w:p w:rsidR="00AC2131" w:rsidRDefault="00AC2131" w:rsidP="00AC2131">
      <w:pPr>
        <w:pStyle w:val="BodyText"/>
      </w:pPr>
      <w:r>
        <w:t>The diversity of export support programs in place in Australia, the quantum of support (over $900 million in 2013</w:t>
      </w:r>
      <w:r>
        <w:noBreakHyphen/>
        <w:t>14 alone) and the tendency towards targeting assistance to selected activities and firms brings into question whether this strategy is likely to be most effective in the context of the emerging global economic architecture. There would be merit in undertaking a comprehensive assessment of the cost-effectiveness of Australia’s export assistance and related industry support seeking to bolster selected industries, activities or firms.</w:t>
      </w:r>
    </w:p>
    <w:p w:rsidR="00AC2131" w:rsidRDefault="00AC2131" w:rsidP="00AC2131">
      <w:pPr>
        <w:sectPr w:rsidR="00AC2131" w:rsidSect="00AC2131">
          <w:headerReference w:type="even" r:id="rId31"/>
          <w:headerReference w:type="default" r:id="rId32"/>
          <w:footerReference w:type="even" r:id="rId33"/>
          <w:footerReference w:type="default" r:id="rId34"/>
          <w:type w:val="oddPage"/>
          <w:pgSz w:w="11907" w:h="16840" w:code="9"/>
          <w:pgMar w:top="1985" w:right="1304" w:bottom="1247" w:left="1814" w:header="1701" w:footer="397" w:gutter="0"/>
          <w:pgNumType w:chapSep="period"/>
          <w:cols w:space="720"/>
          <w:docGrid w:linePitch="326"/>
        </w:sectPr>
      </w:pPr>
    </w:p>
    <w:p w:rsidR="00AC2131" w:rsidRDefault="00AC2131" w:rsidP="00AC2131">
      <w:pPr>
        <w:pStyle w:val="Heading1"/>
        <w:spacing w:before="0"/>
      </w:pPr>
      <w:r>
        <w:lastRenderedPageBreak/>
        <w:t>3</w:t>
      </w:r>
      <w:r>
        <w:tab/>
        <w:t>Firm assistance – when government becomes an ‘investor’</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Pr="006D3876" w:rsidRDefault="00AC2131" w:rsidP="00AC2131">
            <w:pPr>
              <w:pStyle w:val="BoxTitle"/>
            </w:pPr>
            <w:r w:rsidRPr="006D3876">
              <w:t>Key points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ListBullet"/>
              <w:spacing w:before="60" w:line="280" w:lineRule="atLeast"/>
            </w:pPr>
            <w:r>
              <w:t>Governments play an important role influencing the general economic environment in which businesses operate.</w:t>
            </w:r>
          </w:p>
          <w:p w:rsidR="00AC2131" w:rsidRDefault="00AC2131" w:rsidP="00AC2131">
            <w:pPr>
              <w:pStyle w:val="BoxListBullet"/>
              <w:spacing w:before="60" w:line="280" w:lineRule="atLeast"/>
            </w:pPr>
            <w:r>
              <w:t>They also provide a range of budgetary assistance to industry, firms and projects through competitive and other grants, taxation concessions and concessional loans.</w:t>
            </w:r>
          </w:p>
          <w:p w:rsidR="00AC2131" w:rsidRDefault="00AC2131" w:rsidP="00AC2131">
            <w:pPr>
              <w:pStyle w:val="BoxListBullet"/>
              <w:spacing w:before="60" w:line="280" w:lineRule="atLeast"/>
            </w:pPr>
            <w:r>
              <w:t xml:space="preserve">At times, this has involved firm-specific ‘co-investment’ assistance with the government assuming the role of a de facto passive investor, albeit with no shareholder rights or capital claims but an expected ‘investor return’ in the form of the firm or project’s viability. </w:t>
            </w:r>
          </w:p>
          <w:p w:rsidR="00AC2131" w:rsidRDefault="00AC2131" w:rsidP="00AC2131">
            <w:pPr>
              <w:pStyle w:val="BoxListBullet2"/>
              <w:spacing w:before="60" w:line="280" w:lineRule="atLeast"/>
              <w:ind w:left="567" w:hanging="283"/>
            </w:pPr>
            <w:r>
              <w:t>As such, using the term ‘co-investment’ for these forms of assistance is arguably a commercial misnomer.</w:t>
            </w:r>
          </w:p>
          <w:p w:rsidR="00AC2131" w:rsidRDefault="00AC2131" w:rsidP="00AC2131">
            <w:pPr>
              <w:pStyle w:val="BoxListBullet"/>
              <w:spacing w:before="60" w:line="280" w:lineRule="atLeast"/>
            </w:pPr>
            <w:r>
              <w:t xml:space="preserve">Rigorous assessment of the case for any support program before commencement is needed. </w:t>
            </w:r>
          </w:p>
          <w:p w:rsidR="00AC2131" w:rsidRDefault="00AC2131" w:rsidP="00AC2131">
            <w:pPr>
              <w:pStyle w:val="BoxListBullet2"/>
              <w:spacing w:before="60" w:line="280" w:lineRule="atLeast"/>
              <w:ind w:left="567" w:hanging="283"/>
            </w:pPr>
            <w:r>
              <w:t>The minimum threshold level of governance should satisfy the condition that the support will deliver net beneficial outcomes or, at the very least, lower the risk of costly diversion of public funds.</w:t>
            </w:r>
          </w:p>
          <w:p w:rsidR="00AC2131" w:rsidRDefault="00AC2131" w:rsidP="00AC2131">
            <w:pPr>
              <w:pStyle w:val="BoxListBullet"/>
              <w:spacing w:before="60" w:line="280" w:lineRule="atLeast"/>
            </w:pPr>
            <w:r>
              <w:t>APRA guidance on investment governance for superannuation funds offers a comparator best-practice benchmark for improving governance of firm-specific assistance, especially for co-investment grants by government.</w:t>
            </w:r>
          </w:p>
          <w:p w:rsidR="00AC2131" w:rsidRDefault="00AC2131" w:rsidP="00AC2131">
            <w:pPr>
              <w:pStyle w:val="BoxListBullet"/>
              <w:spacing w:before="60" w:line="280" w:lineRule="atLeast"/>
            </w:pPr>
            <w:r>
              <w:t>The nature of existing program governance processes varies considerably and ‘co-investment’ governance to date falls short of contemporary and comparable best practice.</w:t>
            </w:r>
          </w:p>
          <w:p w:rsidR="00AC2131" w:rsidRDefault="00AC2131" w:rsidP="00AC2131">
            <w:pPr>
              <w:pStyle w:val="BoxListBullet"/>
              <w:spacing w:before="60" w:line="280" w:lineRule="atLeast"/>
            </w:pPr>
            <w:r>
              <w:t xml:space="preserve">Improved governance overall could be achieved through rigorous and structured pre-program due diligence. </w:t>
            </w:r>
          </w:p>
          <w:p w:rsidR="00AC2131" w:rsidRDefault="00AC2131" w:rsidP="00AC2131">
            <w:pPr>
              <w:pStyle w:val="BoxListBullet2"/>
              <w:spacing w:before="60" w:line="280" w:lineRule="atLeast"/>
              <w:ind w:left="567" w:hanging="283"/>
            </w:pPr>
            <w:r>
              <w:t>It would assess the net economic benefits from government support, economic viability of the firm or project (with and without support), and establish appropriate monitoring and reporting following the provision of assistance and ongoing independent evaluation of outcomes against objectives.</w:t>
            </w:r>
          </w:p>
          <w:p w:rsidR="00AC2131" w:rsidRDefault="00AC2131" w:rsidP="00AC2131">
            <w:pPr>
              <w:pStyle w:val="BoxListBullet"/>
              <w:spacing w:before="60" w:line="280" w:lineRule="atLeast"/>
            </w:pPr>
            <w:r>
              <w:t xml:space="preserve">There would be merit in reviewing current governance processes with the aim of adopting best-practice, achieving greater consistency and improving the arguably modest prospects for national benefits from government support to activities, firms and projects. </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The role of government in facilitating economic growth is widely accepted. This brings key responsibilities in areas that include establishing and maintaining stable and transparent institutional rules and settings, efficient provision of infrastructure and appropriate macroeconomic policies that foster price stability and fiscal sustainability.</w:t>
      </w:r>
    </w:p>
    <w:p w:rsidR="00AC2131" w:rsidRDefault="00AC2131" w:rsidP="00AC2131">
      <w:pPr>
        <w:pStyle w:val="BodyText"/>
      </w:pPr>
      <w:r>
        <w:lastRenderedPageBreak/>
        <w:t>Governments are also called upon to do more to support particular activities, firms or projects. Responding to those calls, public financial support has taken a variety of forms ranging from tax concessions, competitive and other discretionary (including ‘co-investment’) grants, interest rate subsidies, loans and</w:t>
      </w:r>
      <w:r w:rsidDel="0018319D">
        <w:t xml:space="preserve"> </w:t>
      </w:r>
      <w:r>
        <w:t>equity injections to measures delivering benefits indirectly via industry-focused funding of public sector research organisations.</w:t>
      </w:r>
      <w:r>
        <w:rPr>
          <w:rStyle w:val="FootnoteReference"/>
        </w:rPr>
        <w:footnoteReference w:id="12"/>
      </w:r>
      <w:r>
        <w:t xml:space="preserve"> </w:t>
      </w:r>
    </w:p>
    <w:p w:rsidR="00AC2131" w:rsidRDefault="00AC2131" w:rsidP="00AC2131">
      <w:pPr>
        <w:pStyle w:val="BodyText"/>
      </w:pPr>
      <w:r>
        <w:t xml:space="preserve">Arguably, these forms of assistance place governments in the role of investor (of sorts), residing somewhere along an investment continuum but without the usual commercial terms attached to private investment (figure 3.1). For example, certain firm-specific assistance such as ‘co-investment’ grants have been announced as a form of passive investment by government. </w:t>
      </w:r>
    </w:p>
    <w:p w:rsidR="00AC2131" w:rsidRDefault="00AC2131" w:rsidP="00AC2131">
      <w:pPr>
        <w:pStyle w:val="BodyText"/>
      </w:pPr>
      <w:r>
        <w:t xml:space="preserve">Unlike commercial investments, such public support does not constitute an equity stake or a debt instrument, has no associated cash or capital return requirement, bestows no voting or other shareholder rights on the government nor does the government rank as a creditor (secured or unsecured) in the event of business failure. Rather, the return objective typically articulated is to maintain or enhance activity and employment of the recipient firm and its suppliers, </w:t>
      </w:r>
      <w:r w:rsidRPr="009812C2">
        <w:t>and therefore requiring some level of operation of the firm</w:t>
      </w:r>
      <w:r>
        <w:t>. As such, coining the term ‘co-investment’ for these forms of assistance is arguably a commercial misnomer.</w:t>
      </w:r>
    </w:p>
    <w:p w:rsidR="00AC2131" w:rsidRDefault="00AC2131" w:rsidP="00AC2131">
      <w:pPr>
        <w:pStyle w:val="BodyText"/>
      </w:pPr>
      <w:r>
        <w:t xml:space="preserve">There has been welcome evidence of recent government resistance to calls for more public assistance to industry in the form of discretionary or “co-investment” grants. This reflects greater responsibility being shifted back to firms to make the necessary investments, restructuring and productivity improvements needed to ensure their commercial viability. The Commission however remains concerned about the efficacy and consistency of governance processes used across the spectrum of assistance measures. In particular, the robustness of pre-assistance due diligence to establish the relative merit for government involvement, along with post-assistance performance monitoring and evaluation processes to determine whether government objectives are being met, in many cases, fall short of a minimum acceptable standard. Moreover, a number of Commission, economic consultant and academic </w:t>
      </w:r>
      <w:r w:rsidRPr="00FC0102">
        <w:t xml:space="preserve">evaluations have found that </w:t>
      </w:r>
      <w:r>
        <w:t xml:space="preserve">many government assistance measures are unlikely to </w:t>
      </w:r>
      <w:r w:rsidRPr="00FC0102">
        <w:t>confer a net economic benefit to the Australian community.</w:t>
      </w:r>
      <w:r>
        <w:t xml:space="preserve">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rPr>
                <w:i/>
              </w:rPr>
            </w:pPr>
            <w:r>
              <w:rPr>
                <w:b w:val="0"/>
                <w:lang w:eastAsia="en-US"/>
              </w:rPr>
              <w:t>Figure 3.</w:t>
            </w:r>
            <w:r>
              <w:rPr>
                <w:b w:val="0"/>
                <w:noProof/>
                <w:lang w:eastAsia="en-US"/>
              </w:rPr>
              <w:t>1</w:t>
            </w:r>
            <w:r>
              <w:rPr>
                <w:lang w:eastAsia="en-US"/>
              </w:rPr>
              <w:tab/>
              <w:t>The ‘investment’ continuum: government support to commercial financing</w:t>
            </w:r>
          </w:p>
        </w:tc>
      </w:tr>
      <w:tr w:rsidR="00AC2131" w:rsidTr="00AC2131">
        <w:tc>
          <w:tcPr>
            <w:tcW w:w="8771" w:type="dxa"/>
            <w:tcBorders>
              <w:top w:val="nil"/>
              <w:left w:val="nil"/>
              <w:bottom w:val="nil"/>
              <w:right w:val="nil"/>
            </w:tcBorders>
            <w:shd w:val="clear" w:color="auto" w:fill="auto"/>
            <w:tcMar>
              <w:top w:w="28" w:type="dxa"/>
              <w:bottom w:w="28" w:type="dxa"/>
            </w:tcMar>
          </w:tcPr>
          <w:p w:rsidR="00AC2131" w:rsidRDefault="00AC2131" w:rsidP="00AC2131">
            <w:pPr>
              <w:pStyle w:val="Figure"/>
            </w:pPr>
            <w:r>
              <w:rPr>
                <w:noProof/>
              </w:rPr>
              <w:drawing>
                <wp:inline distT="0" distB="0" distL="0" distR="0" wp14:anchorId="6D64F90F" wp14:editId="55B3AC69">
                  <wp:extent cx="5381625" cy="3933825"/>
                  <wp:effectExtent l="0" t="0" r="9525" b="9525"/>
                  <wp:docPr id="15" name="Picture 15" descr="Figure 3.1 outlines the ‘investment’ continuum from government support to commercial financing.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81625" cy="3933825"/>
                          </a:xfrm>
                          <a:prstGeom prst="rect">
                            <a:avLst/>
                          </a:prstGeom>
                          <a:noFill/>
                          <a:ln>
                            <a:noFill/>
                          </a:ln>
                        </pic:spPr>
                      </pic:pic>
                    </a:graphicData>
                  </a:graphic>
                </wp:inline>
              </w:drawing>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rsidRPr="00277D73">
        <w:t xml:space="preserve">This chapter </w:t>
      </w:r>
      <w:r>
        <w:t>highlights lessons from some recent evaluations and from the ad hoc nature of proposals for co-investment grants to firms and projects. It also draws upon Australian Prudential Regulation Authority (APRA) guidance on investment governance for superannuation funds as a comparator best-practice benchmark for improving the governance of assistance programs generally, especially those of a discretionary and firm/project specific nature.</w:t>
      </w:r>
    </w:p>
    <w:p w:rsidR="00AC2131" w:rsidRDefault="00AC2131" w:rsidP="00AC2131">
      <w:pPr>
        <w:pStyle w:val="Heading2"/>
      </w:pPr>
      <w:r>
        <w:t>3.</w:t>
      </w:r>
      <w:r>
        <w:rPr>
          <w:noProof/>
        </w:rPr>
        <w:t>1</w:t>
      </w:r>
      <w:r>
        <w:tab/>
        <w:t>An appropriate governance framework</w:t>
      </w:r>
    </w:p>
    <w:p w:rsidR="00AC2131" w:rsidRDefault="00AC2131" w:rsidP="00AC2131">
      <w:pPr>
        <w:pStyle w:val="BodyText"/>
      </w:pPr>
      <w:r>
        <w:t>The stated rationales provided for the many different forms of budgetary assistance are wide ranging. They include addressing market failures, multiplier benefits, attracting investment capital (both domestically and from overseas), alleviating adverse market conditions or policy change, job creation, export expansion, regional economic development and adjustment, the delivery of environmental benefits, or simply assisting with capital and plant upgrades.</w:t>
      </w:r>
    </w:p>
    <w:p w:rsidR="00AC2131" w:rsidRDefault="00AC2131" w:rsidP="00AC2131">
      <w:pPr>
        <w:pStyle w:val="BodyText"/>
      </w:pPr>
      <w:r>
        <w:lastRenderedPageBreak/>
        <w:t>From a community-wide economic perspective, the basis for allocating public funding to assist firms should be a threshold market failure test accompanied by evidence that any support will lead to a net improvement in community-wide outcomes including that the business would not have undertaken the investment or activity in the absence of support and that there is a reasonable prospect of business viability post assistance</w:t>
      </w:r>
      <w:r w:rsidRPr="007A4D97">
        <w:t xml:space="preserve"> </w:t>
      </w:r>
      <w:r>
        <w:t>(figure 3.2). Where the decision to provide public support rests on the ongoing viability of the firm or project, the process for assessing such support is analogous to the financial due diligence conducted by private investors (including superannuation funds) before making commercial investment decisions.</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pPr>
            <w:r w:rsidRPr="00784A05">
              <w:rPr>
                <w:b w:val="0"/>
              </w:rPr>
              <w:t xml:space="preserve">Figure </w:t>
            </w:r>
            <w:r>
              <w:rPr>
                <w:b w:val="0"/>
              </w:rPr>
              <w:t>3.</w:t>
            </w:r>
            <w:r>
              <w:rPr>
                <w:b w:val="0"/>
                <w:noProof/>
              </w:rPr>
              <w:t>2</w:t>
            </w:r>
            <w:r>
              <w:tab/>
              <w:t>An appropriate assistance governance framework</w:t>
            </w:r>
          </w:p>
        </w:tc>
      </w:tr>
      <w:tr w:rsidR="00AC2131" w:rsidTr="00AC2131">
        <w:trPr>
          <w:trHeight w:val="2764"/>
        </w:trPr>
        <w:tc>
          <w:tcPr>
            <w:tcW w:w="8771" w:type="dxa"/>
            <w:tcBorders>
              <w:top w:val="nil"/>
              <w:left w:val="nil"/>
              <w:bottom w:val="nil"/>
              <w:right w:val="nil"/>
            </w:tcBorders>
            <w:shd w:val="clear" w:color="auto" w:fill="auto"/>
            <w:tcMar>
              <w:top w:w="28" w:type="dxa"/>
              <w:bottom w:w="28" w:type="dxa"/>
            </w:tcMar>
          </w:tcPr>
          <w:tbl>
            <w:tblPr>
              <w:tblW w:w="8453"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53"/>
            </w:tblGrid>
            <w:tr w:rsidR="00AC2131" w:rsidTr="00AC2131">
              <w:trPr>
                <w:trHeight w:val="340"/>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68EA0AA3" wp14:editId="75A70EE4">
                        <wp:extent cx="5365750" cy="2035810"/>
                        <wp:effectExtent l="0" t="0" r="0" b="2540"/>
                        <wp:docPr id="16" name="Picture 16" descr="Figure 3.2 outlines the core elements that need to be met to ensure good governance practice across assistance measures.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65750" cy="2035810"/>
                                </a:xfrm>
                                <a:prstGeom prst="rect">
                                  <a:avLst/>
                                </a:prstGeom>
                                <a:noFill/>
                                <a:ln>
                                  <a:noFill/>
                                </a:ln>
                              </pic:spPr>
                            </pic:pic>
                          </a:graphicData>
                        </a:graphic>
                      </wp:inline>
                    </w:drawing>
                  </w:r>
                </w:p>
              </w:tc>
            </w:tr>
          </w:tbl>
          <w:p w:rsidR="00AC2131" w:rsidRDefault="00AC2131" w:rsidP="00AC2131">
            <w:pPr>
              <w:pStyle w:val="Figure"/>
            </w:pP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rPr>
          <w:trHeight w:val="91"/>
        </w:trPr>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Careful due diligence preceding the commitment and ensuing commencement of public funding (or a new commitment to existing funding) should provide a minimum threshold level of governance practice and contribute to the achievement of beneficial outcomes or at the very least lower the risk of costly diversion of public funds. Such diversions represent an opportunity cost to the community equivalent to the foregone benefits available from the most effective alternative application of those funds.</w:t>
      </w:r>
    </w:p>
    <w:p w:rsidR="00AC2131" w:rsidRDefault="00AC2131" w:rsidP="00AC2131">
      <w:pPr>
        <w:pStyle w:val="BodyText"/>
      </w:pPr>
      <w:r>
        <w:t>Where proper analysis and evidence supports the threshold case for public funding, the next stage of good governance practice (the operational stage) involves effective setting of objectives, performance management and reporting to track program outcomes against objectives. An independent evaluation phase would then examine whether policy objectives are being met, assess whether those objectives are being cost-effectively delivered and whether continuation of the program is warranted. The latter goes beyond an audit.</w:t>
      </w:r>
    </w:p>
    <w:p w:rsidR="00AC2131" w:rsidRDefault="00AC2131" w:rsidP="00AC2131">
      <w:pPr>
        <w:pStyle w:val="BodyText"/>
      </w:pPr>
      <w:r>
        <w:t>Importantly, as genuine market failure leads to under-provision of an activity from a community-wide perspective, proposals likely to provide community-wide benefits would not proceed without government support. But as discussed below, while there have been attempts to quarantine public funding to genuinely additional proposals, the effectiveness of those attempts in many previous or ongoing public support initiatives is questionable.</w:t>
      </w:r>
    </w:p>
    <w:p w:rsidR="00AC2131" w:rsidRDefault="00AC2131" w:rsidP="00AC2131">
      <w:pPr>
        <w:pStyle w:val="Heading2"/>
      </w:pPr>
      <w:r>
        <w:lastRenderedPageBreak/>
        <w:t>3.</w:t>
      </w:r>
      <w:r>
        <w:rPr>
          <w:noProof/>
        </w:rPr>
        <w:t>2</w:t>
      </w:r>
      <w:r>
        <w:tab/>
        <w:t>Current assistance governance practices vary considerably</w:t>
      </w:r>
    </w:p>
    <w:p w:rsidR="00AC2131" w:rsidRDefault="00AC2131" w:rsidP="00AC2131">
      <w:pPr>
        <w:pStyle w:val="Heading3"/>
      </w:pPr>
      <w:r>
        <w:t>Some governance processes are better than others</w:t>
      </w:r>
    </w:p>
    <w:p w:rsidR="00AC2131" w:rsidRDefault="00AC2131" w:rsidP="00AC2131">
      <w:pPr>
        <w:pStyle w:val="BodyText"/>
        <w:rPr>
          <w:szCs w:val="26"/>
        </w:rPr>
      </w:pPr>
      <w:r>
        <w:t>At one end of the governance spectrum, processes employed by agencies such as the CSIRO and, to a lesser extent, CRCs and RRDCs for managing industry-focused research are relatively more thorough and have wider applicability to other public support programs (PC 2007</w:t>
      </w:r>
      <w:r>
        <w:rPr>
          <w:rFonts w:ascii="TimesNewRomanPSMT" w:hAnsi="TimesNewRomanPSMT" w:cs="TimesNewRomanPSMT"/>
        </w:rPr>
        <w:t>)</w:t>
      </w:r>
      <w:r>
        <w:t xml:space="preserve">. For example, </w:t>
      </w:r>
      <w:r>
        <w:rPr>
          <w:szCs w:val="26"/>
        </w:rPr>
        <w:t>CSIRO’s stated approach to project selection, performance management and assessment is risk-based, incorporates both ex-ante and ex-post appraisal processes, combines bottom-up and top-down input to planning, focuses on projects that would not crowd-out private sector activity (that is, those that would not be undertaken by private firms without public support) and actively manages projects against performance benchmarks which allows funding to be terminated mid-stream if those benchmarks are not met.</w:t>
      </w:r>
    </w:p>
    <w:p w:rsidR="00AC2131" w:rsidRDefault="00AC2131" w:rsidP="00AC2131">
      <w:pPr>
        <w:pStyle w:val="BodyText"/>
        <w:rPr>
          <w:szCs w:val="26"/>
        </w:rPr>
      </w:pPr>
      <w:r>
        <w:rPr>
          <w:szCs w:val="26"/>
        </w:rPr>
        <w:t>The CRC programme utilises a corporate model with Board oversight and detailed annual reporting requirements against which progress in meeting program objectives is measured. Performance reviews are conducted at regular intervals while the Australian Government commissions assessments of broader program impacts.</w:t>
      </w:r>
      <w:r>
        <w:rPr>
          <w:rStyle w:val="FootnoteReference"/>
          <w:szCs w:val="26"/>
        </w:rPr>
        <w:footnoteReference w:id="13"/>
      </w:r>
      <w:r>
        <w:rPr>
          <w:szCs w:val="26"/>
        </w:rPr>
        <w:t xml:space="preserve"> Although these features are representative of good governance, the Commission’s earlier review of the CRC model found that governance arrangements could be improved in a number of ways including through more focused funding objectives; better cost sharing arrangements with potential beneficiaries; and improved performance management and monitoring of compliance and administrative costs (PC 2007).</w:t>
      </w:r>
      <w:r>
        <w:rPr>
          <w:rStyle w:val="FootnoteReference"/>
          <w:szCs w:val="26"/>
        </w:rPr>
        <w:footnoteReference w:id="14"/>
      </w:r>
    </w:p>
    <w:p w:rsidR="00AC2131" w:rsidRDefault="00AC2131" w:rsidP="00AC2131">
      <w:pPr>
        <w:pStyle w:val="BodyText"/>
      </w:pPr>
      <w:r>
        <w:rPr>
          <w:szCs w:val="26"/>
        </w:rPr>
        <w:t xml:space="preserve">Similarly, both statutory and industry-owned RRDCs are governed by Boards and subject to various planning, consultation and ex-post reporting requirements on research outcomes and performance in return for the Government’s ‘co-investment’ funding. In response to an earlier review </w:t>
      </w:r>
      <w:r>
        <w:t>(PC 2011a)</w:t>
      </w:r>
      <w:r>
        <w:rPr>
          <w:szCs w:val="26"/>
        </w:rPr>
        <w:t>, amendments to increase the transparency and accountability of the RRDC model have been effected to enhance governance arrangements, including a requirement that RRDCs publish outcomes of project selection processes, evaluate the efficiency, effectiveness and impact of RRDC research and commission regular independent performance reviews (see footnote 2).</w:t>
      </w:r>
    </w:p>
    <w:p w:rsidR="00AC2131" w:rsidRDefault="00AC2131" w:rsidP="00AC2131">
      <w:pPr>
        <w:pStyle w:val="BodyText"/>
        <w:rPr>
          <w:szCs w:val="26"/>
        </w:rPr>
      </w:pPr>
      <w:r>
        <w:lastRenderedPageBreak/>
        <w:t>However, a review recommendation to introduce a public benefit test for public funding of RRDCs was rejected by the Australian Government</w:t>
      </w:r>
      <w:r>
        <w:rPr>
          <w:szCs w:val="26"/>
        </w:rPr>
        <w:t xml:space="preserve"> (Australian Government 2012b). RRDC governance would be further improved with the adoption and rigorous application of a public-interest objective.</w:t>
      </w:r>
    </w:p>
    <w:p w:rsidR="00AC2131" w:rsidRPr="003F47AF" w:rsidRDefault="00AC2131" w:rsidP="00AC2131">
      <w:pPr>
        <w:pStyle w:val="Heading3"/>
      </w:pPr>
      <w:r>
        <w:t>Some practices reveal weaker governance processes</w:t>
      </w:r>
    </w:p>
    <w:p w:rsidR="00AC2131" w:rsidRDefault="00AC2131" w:rsidP="00AC2131">
      <w:pPr>
        <w:pStyle w:val="BodyText"/>
      </w:pPr>
      <w:r>
        <w:t>What constitutes weaker governance can take many forms including: where pre-assistance due diligence tests have not been robustly undertaken or not satisfied; how operational processes measure up against some of the stronger processes outlined above; performance or other audit qualification by the Australian National Audit Office; lack of transparency in respect of which activities, industries and firms are receiving support and what quantum; absence of periodic evaluation; and persistence with programs for which there is a lack of evidence supporting program effectiveness. Such weaknesses can lead to a potential performance gap between the intentions of a program and what it delivers.</w:t>
      </w:r>
    </w:p>
    <w:p w:rsidR="00AC2131" w:rsidRDefault="00AC2131" w:rsidP="00AC2131">
      <w:pPr>
        <w:pStyle w:val="BodyText"/>
      </w:pPr>
      <w:r>
        <w:t xml:space="preserve">Focusing on performance gaps, a number of cases can be identified where intentions and outcomes are not likely to be well aligned. For example, an independent evaluation of the </w:t>
      </w:r>
      <w:r w:rsidRPr="000A4EE8">
        <w:rPr>
          <w:i/>
        </w:rPr>
        <w:t>R&amp;D START</w:t>
      </w:r>
      <w:r>
        <w:t xml:space="preserve"> program found that much of the grant funding simply involved a transfer to firms for projects that would have proceeded without any public support (</w:t>
      </w:r>
      <w:r w:rsidRPr="00047779">
        <w:t>CIE 2003</w:t>
      </w:r>
      <w:r>
        <w:t xml:space="preserve">). This was despite selection criteria which notionally attempted to stop firms seeking funding for proposals they would undertake in any case. Without regard to concerns about the effectiveness of </w:t>
      </w:r>
      <w:r w:rsidRPr="00047779">
        <w:rPr>
          <w:i/>
        </w:rPr>
        <w:t>R&amp;D START</w:t>
      </w:r>
      <w:r>
        <w:t xml:space="preserve">, its key design features were rolled into the program which replaced it in 2004 – </w:t>
      </w:r>
      <w:r w:rsidRPr="00047779">
        <w:rPr>
          <w:i/>
        </w:rPr>
        <w:t>Commercial Ready</w:t>
      </w:r>
      <w:r>
        <w:t xml:space="preserve"> – and which committed $200 million annually in grant funding over seven years (PC 2007).</w:t>
      </w:r>
    </w:p>
    <w:p w:rsidR="00AC2131" w:rsidRDefault="00AC2131" w:rsidP="00AC2131">
      <w:pPr>
        <w:pStyle w:val="BodyText"/>
      </w:pPr>
      <w:r>
        <w:t xml:space="preserve">While </w:t>
      </w:r>
      <w:r w:rsidRPr="00047779">
        <w:rPr>
          <w:i/>
        </w:rPr>
        <w:t>Commercial Ready</w:t>
      </w:r>
      <w:r>
        <w:t xml:space="preserve"> was subsequently terminated in 2010, the effectiveness of any future initiative would be compromised by these design flaws.</w:t>
      </w:r>
      <w:r>
        <w:rPr>
          <w:rStyle w:val="FootnoteReference"/>
        </w:rPr>
        <w:footnoteReference w:id="15"/>
      </w:r>
      <w:r>
        <w:t xml:space="preserve"> In this context, the </w:t>
      </w:r>
      <w:r w:rsidRPr="009943B1">
        <w:rPr>
          <w:i/>
        </w:rPr>
        <w:t>R&amp;</w:t>
      </w:r>
      <w:r w:rsidRPr="00976FE7">
        <w:rPr>
          <w:i/>
        </w:rPr>
        <w:t>D</w:t>
      </w:r>
      <w:r w:rsidRPr="00047779">
        <w:rPr>
          <w:i/>
        </w:rPr>
        <w:t xml:space="preserve"> Tax Incentive</w:t>
      </w:r>
      <w:r>
        <w:t xml:space="preserve"> (which has operated in various forms since 1985 and delivered over $2 billion in funding during 2013</w:t>
      </w:r>
      <w:r>
        <w:noBreakHyphen/>
        <w:t xml:space="preserve">14) continues to be provided despite lack of evidence that the funding supports a substantial body of private research and development that would not have proceeded without public funding. In recognition that the Tax Incentive is likely to be less effective in stimulating additional R&amp;D in large firms, the Government has recently limited eligibility for the Tax Incentive to firms with aggregate Australian turnover of less than $20 billion (chapter 5). </w:t>
      </w:r>
    </w:p>
    <w:p w:rsidR="00AC2131" w:rsidRDefault="00AC2131" w:rsidP="00AC2131">
      <w:pPr>
        <w:pStyle w:val="BodyText"/>
      </w:pPr>
      <w:r>
        <w:t>Similarly, financial support historically provided by the Export Finance and Insurance Corporation (EFIC) in the form of loans, guarantees and insurance has been found to accrue in value terms primarily to large corporate clients and resource related projects. This is despite there being no convincing evidence of systemic failures that impede commercial access to finance by large firms</w:t>
      </w:r>
      <w:r>
        <w:rPr>
          <w:rFonts w:ascii="TimesNewRomanPSMT" w:hAnsi="TimesNewRomanPSMT" w:cs="TimesNewRomanPSMT"/>
          <w:szCs w:val="26"/>
        </w:rPr>
        <w:t xml:space="preserve"> (PC 2012a</w:t>
      </w:r>
      <w:r>
        <w:t xml:space="preserve">). Moreover, the commercial status </w:t>
      </w:r>
      <w:r>
        <w:lastRenderedPageBreak/>
        <w:t>of the large and well established firm recipients suggests that the additionality test is unlikely to be satisfied. In 2013</w:t>
      </w:r>
      <w:r>
        <w:noBreakHyphen/>
        <w:t>14, just under 80 per cent of EFIC transactions by value assisted three large corporations comprising an export finance guarantee to a Belgian metals processing company for a lead smelting plant upgrade at Port Pirie South Australia ($291.25 million); a loan to a Chilean mining venture majority owned by BHP and Rio Tinto ($111.2 million); and bond transactions (valued at $45.5 million) for a South African owned engineering group McConnell-Dowell (EFIC 2014a).</w:t>
      </w:r>
    </w:p>
    <w:p w:rsidR="00AC2131" w:rsidRDefault="00AC2131" w:rsidP="00AC2131">
      <w:pPr>
        <w:pStyle w:val="BodyText"/>
      </w:pPr>
      <w:r>
        <w:t xml:space="preserve">While eligibility criteria articulated in the Government’s </w:t>
      </w:r>
      <w:r w:rsidRPr="00BD5FB0">
        <w:rPr>
          <w:i/>
        </w:rPr>
        <w:t>Statement of Expectation</w:t>
      </w:r>
      <w:r>
        <w:t>s have been subsequently revised to focus more directly on small and medium-sized enterprises, support to larger more resourceful firms is not precluded (Robb 2014a).</w:t>
      </w:r>
      <w:r>
        <w:rPr>
          <w:rStyle w:val="FootnoteReference"/>
        </w:rPr>
        <w:footnoteReference w:id="16"/>
      </w:r>
      <w:r>
        <w:t xml:space="preserve"> Moreover, information on the industry and size of firms in receipt of public funds that may be used to assess the direction of funding is not currently published nor is such transparency required under the revised </w:t>
      </w:r>
      <w:r w:rsidRPr="00047779">
        <w:rPr>
          <w:i/>
        </w:rPr>
        <w:t>Statement of Expectations</w:t>
      </w:r>
      <w:r>
        <w:t>. Similarly, in the case of export assistance provided by Austrade (which amounted to $112 million in 2013</w:t>
      </w:r>
      <w:r>
        <w:noBreakHyphen/>
        <w:t xml:space="preserve">14), while examples of export success are provided, comprehensive information on the activities and industries supported is not. </w:t>
      </w:r>
    </w:p>
    <w:p w:rsidR="00AC2131" w:rsidRPr="002F1B51" w:rsidRDefault="00AC2131" w:rsidP="00AC2131">
      <w:pPr>
        <w:pStyle w:val="BodyText"/>
      </w:pPr>
      <w:r>
        <w:rPr>
          <w:szCs w:val="26"/>
        </w:rPr>
        <w:t xml:space="preserve">In another context, the suite of support measures currently available to businesses and primary producers for natural disaster relief (including interest rate subsidies, grants, concessional loans and freight subsidies) have been found to be poorly designed and lacking in justification </w:t>
      </w:r>
      <w:r>
        <w:rPr>
          <w:rFonts w:ascii="TimesNewRomanPSMT" w:hAnsi="TimesNewRomanPSMT" w:cs="TimesNewRomanPSMT"/>
          <w:szCs w:val="26"/>
        </w:rPr>
        <w:t>(PC 2014c)</w:t>
      </w:r>
      <w:r>
        <w:rPr>
          <w:szCs w:val="26"/>
        </w:rPr>
        <w:t>. Moreover</w:t>
      </w:r>
      <w:r>
        <w:t xml:space="preserve">, research into the effects of financial assistance to disaster-affected businesses suggests that such assistance has relatively little effect on business survival, post-disaster profitability and employment. Overall, </w:t>
      </w:r>
      <w:r>
        <w:rPr>
          <w:rFonts w:ascii="TimesNewRomanPSMT" w:hAnsi="TimesNewRomanPSMT" w:cs="TimesNewRomanPSMT"/>
          <w:szCs w:val="26"/>
        </w:rPr>
        <w:t>the case for ongoing government assistance to businesses and primary producers after a natural disaster appears weak. If governments choose to continue to provide such assistance, up front and modest untied grants are a more efficient, effective and equitable instrument than the current ongoing approach of using loans and subsidies (PC 2014c).</w:t>
      </w:r>
    </w:p>
    <w:p w:rsidR="00AC2131" w:rsidRDefault="00AC2131" w:rsidP="00AC2131">
      <w:pPr>
        <w:pStyle w:val="BodyText"/>
        <w:rPr>
          <w:rFonts w:ascii="TimesNewRomanPSMT" w:hAnsi="TimesNewRomanPSMT" w:cs="TimesNewRomanPSMT"/>
          <w:szCs w:val="26"/>
        </w:rPr>
      </w:pPr>
      <w:r>
        <w:rPr>
          <w:rFonts w:ascii="TimesNewRomanPSMT" w:hAnsi="TimesNewRomanPSMT" w:cs="TimesNewRomanPSMT"/>
          <w:szCs w:val="26"/>
        </w:rPr>
        <w:t>In an earlier review of drought assistance, it was similarly found that interest rate subsidies (although of financial advantage to recipients) were an ineffective means of improving the viability of the agricultural sector (PC 2009a). Subsequent to this review, the then Government discontinued interest rate subsidies to farmers in drought declared regions, opting rather for a suite of policies that included the introduction of a farm household support payment and certain taxation support measures. In 2014, however, the Australian Government announced the re-introduction of interest rate subsidies to farms in drought affected areas (Joyce 2014b).</w:t>
      </w:r>
    </w:p>
    <w:p w:rsidR="00AC2131" w:rsidRDefault="00AC2131" w:rsidP="00AC2131">
      <w:pPr>
        <w:pStyle w:val="BodyText"/>
        <w:rPr>
          <w:rFonts w:ascii="TimesNewRomanPSMT" w:hAnsi="TimesNewRomanPSMT" w:cs="TimesNewRomanPSMT"/>
          <w:szCs w:val="26"/>
        </w:rPr>
      </w:pPr>
      <w:r>
        <w:rPr>
          <w:rFonts w:ascii="TimesNewRomanPSMT" w:hAnsi="TimesNewRomanPSMT" w:cs="TimesNewRomanPSMT"/>
          <w:szCs w:val="26"/>
        </w:rPr>
        <w:t xml:space="preserve">Regional structural adjustment initiatives (including Innovation and Investment Funds) aimed at diversifying local economies following the closure or downsizing of large local employers have been another feature of the industry policy landscape. These measures have included providing targeted assistance to firms and regions to support structural </w:t>
      </w:r>
      <w:r>
        <w:rPr>
          <w:rFonts w:ascii="TimesNewRomanPSMT" w:hAnsi="TimesNewRomanPSMT" w:cs="TimesNewRomanPSMT"/>
          <w:szCs w:val="26"/>
        </w:rPr>
        <w:lastRenderedPageBreak/>
        <w:t>change and assist affected employees (through retraining and job placement services) where large firm closures have occurred.</w:t>
      </w:r>
    </w:p>
    <w:p w:rsidR="00AC2131" w:rsidRDefault="00AC2131" w:rsidP="00AC2131">
      <w:pPr>
        <w:pStyle w:val="BodyText"/>
        <w:rPr>
          <w:rFonts w:ascii="TimesNewRomanPSMT" w:hAnsi="TimesNewRomanPSMT" w:cs="TimesNewRomanPSMT"/>
          <w:szCs w:val="26"/>
        </w:rPr>
      </w:pPr>
      <w:r>
        <w:rPr>
          <w:rFonts w:ascii="TimesNewRomanPSMT" w:hAnsi="TimesNewRomanPSMT" w:cs="TimesNewRomanPSMT"/>
          <w:szCs w:val="26"/>
        </w:rPr>
        <w:t>Total announced funding for the 11 funds established since 2008</w:t>
      </w:r>
      <w:r>
        <w:rPr>
          <w:rFonts w:ascii="TimesNewRomanPSMT" w:hAnsi="TimesNewRomanPSMT" w:cs="TimesNewRomanPSMT"/>
          <w:szCs w:val="26"/>
        </w:rPr>
        <w:noBreakHyphen/>
        <w:t xml:space="preserve">09 was almost $107 million with assistance taking the form of competitive grants for investment in plant or equipment up to 50 per cent of project costs. While each fund has a similar general focus, differences in eligibility criteria (which may reflect regional characteristics or specific policy objectives); attempts to quarantine funding to projects that would not proceed without support; targeting; and emphasis on innovation highlight a lack of uniformity in program design (PC 2012b). One relatively recent evaluation of selected IIFs found </w:t>
      </w:r>
      <w:r w:rsidR="00DF5D4B">
        <w:rPr>
          <w:rFonts w:ascii="TimesNewRomanPSMT" w:hAnsi="TimesNewRomanPSMT" w:cs="TimesNewRomanPSMT"/>
          <w:szCs w:val="26"/>
        </w:rPr>
        <w:t xml:space="preserve">that </w:t>
      </w:r>
      <w:r>
        <w:rPr>
          <w:rFonts w:ascii="TimesNewRomanPSMT" w:hAnsi="TimesNewRomanPSMT" w:cs="TimesNewRomanPSMT"/>
          <w:szCs w:val="26"/>
        </w:rPr>
        <w:t>assisted regions did not perform better than regions that lost a major employer but did not receive any government support (Grattan Institute 2011).</w:t>
      </w:r>
      <w:r>
        <w:rPr>
          <w:rStyle w:val="FootnoteReference"/>
          <w:rFonts w:cs="TimesNewRomanPSMT"/>
          <w:szCs w:val="26"/>
        </w:rPr>
        <w:footnoteReference w:id="17"/>
      </w:r>
      <w:r>
        <w:rPr>
          <w:rFonts w:ascii="TimesNewRomanPSMT" w:hAnsi="TimesNewRomanPSMT" w:cs="TimesNewRomanPSMT"/>
          <w:szCs w:val="26"/>
        </w:rPr>
        <w:t xml:space="preserve"> In each of the cases described above, programs have been sustained over extended periods or have been renewed when there is genuine concern about the community-wide benefits that may accrue to justify the outlay of public funds.</w:t>
      </w:r>
    </w:p>
    <w:p w:rsidR="00AC2131" w:rsidRDefault="00AC2131" w:rsidP="00AC2131">
      <w:pPr>
        <w:pStyle w:val="Heading3"/>
      </w:pPr>
      <w:r>
        <w:t>Particular concerns with ‘co-investment’ support</w:t>
      </w:r>
    </w:p>
    <w:p w:rsidR="00AC2131" w:rsidRDefault="00AC2131" w:rsidP="00AC2131">
      <w:pPr>
        <w:pStyle w:val="BodyText"/>
      </w:pPr>
      <w:r>
        <w:t>A more concerning form of governance process has been associated with assistance provided to firms through what governments have termed ‘co-investment’ initiatives with a number of calls for such firm-specific assistance emerging in recent years (figure 3.3).</w:t>
      </w:r>
      <w:r>
        <w:rPr>
          <w:rStyle w:val="FootnoteReference"/>
        </w:rPr>
        <w:footnoteReference w:id="18"/>
      </w:r>
      <w:r>
        <w:t xml:space="preserve"> Appendix C provides a brief description of each of the proposals.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pPr>
            <w:r w:rsidRPr="00784A05">
              <w:rPr>
                <w:b w:val="0"/>
              </w:rPr>
              <w:t xml:space="preserve">Figure </w:t>
            </w:r>
            <w:r>
              <w:rPr>
                <w:b w:val="0"/>
              </w:rPr>
              <w:t>3.</w:t>
            </w:r>
            <w:r>
              <w:rPr>
                <w:b w:val="0"/>
                <w:noProof/>
              </w:rPr>
              <w:t>3</w:t>
            </w:r>
            <w:r>
              <w:tab/>
              <w:t xml:space="preserve">Recent calls for firm-specific co-investment grants </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24F32E73" wp14:editId="2049C1BA">
                        <wp:extent cx="5401310" cy="1371600"/>
                        <wp:effectExtent l="0" t="0" r="8890" b="0"/>
                        <wp:docPr id="17" name="Picture 17" descr="Figure 3.3 outlines recent calls for firm-specific co-investment grants.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01310" cy="137160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Note"/>
            </w:pP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6D3876" w:rsidRDefault="00AC2131" w:rsidP="00AC2131">
      <w:pPr>
        <w:pStyle w:val="BodyText"/>
        <w:rPr>
          <w:spacing w:val="-2"/>
        </w:rPr>
      </w:pPr>
      <w:r w:rsidRPr="00F43150">
        <w:rPr>
          <w:spacing w:val="-4"/>
        </w:rPr>
        <w:lastRenderedPageBreak/>
        <w:t>Over the four years to 2013</w:t>
      </w:r>
      <w:r w:rsidRPr="00F43150">
        <w:rPr>
          <w:spacing w:val="-4"/>
        </w:rPr>
        <w:noBreakHyphen/>
        <w:t>14, nearly $160 million in co-investment grants has been paid to selected firms by the Australian Government and there has also been an unanswered call for a further $256 million (table 3.1). And while only a small portion of total government assistance, such payments can confer high levels of assistance at the individual firm or project level.</w:t>
      </w:r>
      <w:r w:rsidRPr="006D3876">
        <w:rPr>
          <w:rStyle w:val="FootnoteReference"/>
          <w:spacing w:val="-2"/>
        </w:rPr>
        <w:footnoteReference w:id="19"/>
      </w:r>
      <w:r w:rsidRPr="006D3876">
        <w:rPr>
          <w:spacing w:val="-2"/>
        </w:rPr>
        <w:t xml:space="preserve"> </w:t>
      </w:r>
    </w:p>
    <w:p w:rsidR="00AC2131" w:rsidRDefault="00AC2131" w:rsidP="00AC2131">
      <w:pPr>
        <w:pStyle w:val="BodyText"/>
      </w:pPr>
      <w:r>
        <w:t>Co-investment assistance differs from general forms of industry assistance in a number of respects. First, support is directed to a specific operating firm rather than being broadly available to qualifying firms across an industry or activity. Second, the financial contribution from government is typically dependent on a contribution by the shareholders of the assisted firm (although not necessarily equivalent in value). Third, assistance is ad hoc and ‘needs-based’ for the contemporary circumstances of the recipient firm. And as noted earlier, while promoted as a co-investment, the government typically assumes the role of de facto passive investor, with no shareholder rights or capital claims but an expected ‘investor return’ in the form of the firm’s ongoing viability. As such, government contributions have not included any financial consideration to recognise the opportunity cost of funds (such as an equity-shareholding arrangement, royalty or loan repayment mechanism) that would encourage firms to weigh up the benefits of government involvement against alternative funding options.</w:t>
      </w:r>
    </w:p>
    <w:p w:rsidR="00AC2131" w:rsidRPr="00847ECF" w:rsidRDefault="00AC2131" w:rsidP="00AC2131">
      <w:pPr>
        <w:pStyle w:val="Heading4"/>
        <w:spacing w:before="360"/>
      </w:pPr>
      <w:r w:rsidRPr="00847ECF">
        <w:t>The case for support appears weak</w:t>
      </w:r>
    </w:p>
    <w:p w:rsidR="00AC2131" w:rsidRDefault="00AC2131" w:rsidP="00AC2131">
      <w:pPr>
        <w:pStyle w:val="BodyText"/>
      </w:pPr>
      <w:r>
        <w:t>The stated rationales by government for co-investment funding support have included securing footloose capital, alleviating adverse market conditions, achieving regional development and environmental benefits and capital upgrades. Funded proposals have typically been associated with high profile companies or larger regional employers and couched in terms of the continued or expanded operation of those businesses, in situ. But as detailed in table 3.2, there has been a lack of consistency in the governance processes applied across individual co-investment proposals, both in relation to pre-commitment due diligence and in throughout the life of proposals.</w:t>
      </w:r>
      <w:r w:rsidRPr="00951DAC">
        <w:t xml:space="preserve"> </w:t>
      </w:r>
    </w:p>
    <w:p w:rsidR="00AC2131" w:rsidRPr="00EF46EA" w:rsidRDefault="00AC2131" w:rsidP="00AC2131">
      <w:pPr>
        <w:pStyle w:val="BodyText"/>
      </w:pPr>
      <w:r w:rsidRPr="00EF46EA">
        <w:t xml:space="preserve">The Commission sought to undertake a gap analysis between the governance of co-investment proposals and grants with a comparable and contemporary governance benchmark such as those provided for APRA supervised entities in making investment decisions (see box 3.2, below). However, information to support such an analysis was not publically available and the Commission was unable to secure it separately. The residual information gap is especially critical for the </w:t>
      </w:r>
      <w:r w:rsidRPr="00EF46EA">
        <w:rPr>
          <w:i/>
        </w:rPr>
        <w:t>financial modelling</w:t>
      </w:r>
      <w:r w:rsidRPr="00EF46EA">
        <w:t xml:space="preserve"> and </w:t>
      </w:r>
      <w:r w:rsidRPr="00EF46EA">
        <w:rPr>
          <w:i/>
        </w:rPr>
        <w:t>performance monitoring</w:t>
      </w:r>
      <w:r w:rsidRPr="00EF46EA">
        <w:t xml:space="preserve"> aspects of governance. These governance processes should be assessed independently of the proponent and program administrator and include a robust financial analysis of the investment including the identification of risk factors and sensitivity analysis. The outcome of the analysis should be transparent to the public. The provision of a ‘business case’ for government support and ‘operating milestones’ to Government by a </w:t>
      </w:r>
      <w:r w:rsidRPr="00EF46EA">
        <w:lastRenderedPageBreak/>
        <w:t xml:space="preserve">proponent would not meet the benchmark governance standards such as those for APRA supervised entities.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rPr>
                <w:i/>
              </w:rPr>
            </w:pPr>
            <w:r>
              <w:rPr>
                <w:b w:val="0"/>
              </w:rPr>
              <w:t>Table 3.</w:t>
            </w:r>
            <w:r>
              <w:rPr>
                <w:b w:val="0"/>
                <w:noProof/>
              </w:rPr>
              <w:t>1</w:t>
            </w:r>
            <w:r>
              <w:tab/>
              <w:t>Recent co-investment funding support</w:t>
            </w:r>
          </w:p>
        </w:tc>
      </w:tr>
      <w:tr w:rsidR="00AC2131" w:rsidTr="00AC2131">
        <w:trPr>
          <w:cantSplit/>
        </w:trPr>
        <w:tc>
          <w:tcPr>
            <w:tcW w:w="8771" w:type="dxa"/>
            <w:tcBorders>
              <w:top w:val="nil"/>
              <w:left w:val="nil"/>
              <w:bottom w:val="nil"/>
              <w:right w:val="nil"/>
            </w:tcBorders>
            <w:shd w:val="clear" w:color="auto" w:fill="auto"/>
          </w:tcPr>
          <w:tbl>
            <w:tblPr>
              <w:tblW w:w="8502" w:type="dxa"/>
              <w:tblLayout w:type="fixed"/>
              <w:tblCellMar>
                <w:top w:w="28" w:type="dxa"/>
                <w:left w:w="0" w:type="dxa"/>
                <w:right w:w="0" w:type="dxa"/>
              </w:tblCellMar>
              <w:tblLook w:val="0000" w:firstRow="0" w:lastRow="0" w:firstColumn="0" w:lastColumn="0" w:noHBand="0" w:noVBand="0"/>
            </w:tblPr>
            <w:tblGrid>
              <w:gridCol w:w="1587"/>
              <w:gridCol w:w="1248"/>
              <w:gridCol w:w="1248"/>
              <w:gridCol w:w="1246"/>
              <w:gridCol w:w="1245"/>
              <w:gridCol w:w="1928"/>
            </w:tblGrid>
            <w:tr w:rsidR="00AC2131" w:rsidTr="00AC2131">
              <w:tc>
                <w:tcPr>
                  <w:tcW w:w="933"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jc w:val="left"/>
                    <w:rPr>
                      <w:szCs w:val="24"/>
                    </w:rPr>
                  </w:pPr>
                  <w:r>
                    <w:t>Recipient</w:t>
                  </w:r>
                </w:p>
              </w:tc>
              <w:tc>
                <w:tcPr>
                  <w:tcW w:w="734" w:type="pct"/>
                  <w:tcBorders>
                    <w:top w:val="single" w:sz="6" w:space="0" w:color="BFBFBF"/>
                    <w:bottom w:val="single" w:sz="6" w:space="0" w:color="BFBFBF"/>
                  </w:tcBorders>
                  <w:vAlign w:val="bottom"/>
                </w:tcPr>
                <w:p w:rsidR="00AC2131" w:rsidRDefault="00AC2131" w:rsidP="00AC2131">
                  <w:pPr>
                    <w:pStyle w:val="TableColumnHeading"/>
                    <w:ind w:right="57"/>
                  </w:pPr>
                  <w:r>
                    <w:t xml:space="preserve">Total </w:t>
                  </w:r>
                  <w:r>
                    <w:br/>
                    <w:t xml:space="preserve">project cost </w:t>
                  </w:r>
                </w:p>
              </w:tc>
              <w:tc>
                <w:tcPr>
                  <w:tcW w:w="734"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57"/>
                  </w:pPr>
                  <w:r>
                    <w:t>Announced Australian Government contribution</w:t>
                  </w:r>
                </w:p>
              </w:tc>
              <w:tc>
                <w:tcPr>
                  <w:tcW w:w="733" w:type="pct"/>
                  <w:tcBorders>
                    <w:top w:val="single" w:sz="6" w:space="0" w:color="BFBFBF"/>
                    <w:bottom w:val="single" w:sz="6" w:space="0" w:color="BFBFBF"/>
                  </w:tcBorders>
                  <w:vAlign w:val="bottom"/>
                </w:tcPr>
                <w:p w:rsidR="00AC2131" w:rsidRDefault="00AC2131" w:rsidP="00AC2131">
                  <w:pPr>
                    <w:pStyle w:val="TableColumnHeading"/>
                    <w:ind w:right="57"/>
                  </w:pPr>
                  <w:r>
                    <w:t>Actual Australian Government contribution</w:t>
                  </w:r>
                </w:p>
              </w:tc>
              <w:tc>
                <w:tcPr>
                  <w:tcW w:w="732" w:type="pct"/>
                  <w:tcBorders>
                    <w:top w:val="single" w:sz="6" w:space="0" w:color="BFBFBF"/>
                    <w:bottom w:val="single" w:sz="6" w:space="0" w:color="BFBFBF"/>
                  </w:tcBorders>
                  <w:vAlign w:val="bottom"/>
                </w:tcPr>
                <w:p w:rsidR="00AC2131" w:rsidRDefault="00AC2131" w:rsidP="00AC2131">
                  <w:pPr>
                    <w:pStyle w:val="TableColumnHeading"/>
                    <w:ind w:right="57"/>
                  </w:pPr>
                  <w:r>
                    <w:t>Announced State Government contribution</w:t>
                  </w:r>
                </w:p>
              </w:tc>
              <w:tc>
                <w:tcPr>
                  <w:tcW w:w="1134" w:type="pct"/>
                  <w:tcBorders>
                    <w:top w:val="single" w:sz="6" w:space="0" w:color="BFBFBF"/>
                    <w:bottom w:val="single" w:sz="6" w:space="0" w:color="BFBFBF"/>
                  </w:tcBorders>
                  <w:vAlign w:val="bottom"/>
                </w:tcPr>
                <w:p w:rsidR="00AC2131" w:rsidRDefault="00AC2131" w:rsidP="00AC2131">
                  <w:pPr>
                    <w:pStyle w:val="TableColumnHeading"/>
                    <w:ind w:right="28"/>
                  </w:pPr>
                  <w:r>
                    <w:t xml:space="preserve">Funding and </w:t>
                  </w:r>
                  <w:r>
                    <w:br/>
                    <w:t>project status</w:t>
                  </w:r>
                </w:p>
              </w:tc>
            </w:tr>
            <w:tr w:rsidR="00AC2131" w:rsidTr="00AC2131">
              <w:tc>
                <w:tcPr>
                  <w:tcW w:w="933" w:type="pct"/>
                  <w:tcBorders>
                    <w:top w:val="single" w:sz="6" w:space="0" w:color="BFBFBF"/>
                  </w:tcBorders>
                </w:tcPr>
                <w:p w:rsidR="00AC2131" w:rsidRDefault="00AC2131" w:rsidP="00AC2131">
                  <w:pPr>
                    <w:pStyle w:val="TableUnitsRow"/>
                    <w:jc w:val="left"/>
                  </w:pPr>
                  <w:r>
                    <w:t xml:space="preserve">CSL </w:t>
                  </w:r>
                </w:p>
              </w:tc>
              <w:tc>
                <w:tcPr>
                  <w:tcW w:w="734" w:type="pct"/>
                  <w:tcBorders>
                    <w:top w:val="single" w:sz="6" w:space="0" w:color="BFBFBF"/>
                  </w:tcBorders>
                </w:tcPr>
                <w:p w:rsidR="00AC2131" w:rsidRDefault="00AC2131" w:rsidP="00AC2131">
                  <w:pPr>
                    <w:pStyle w:val="TableBodyText"/>
                    <w:spacing w:before="40"/>
                    <w:ind w:right="57"/>
                  </w:pPr>
                  <w:r>
                    <w:t>$235 million</w:t>
                  </w:r>
                </w:p>
              </w:tc>
              <w:tc>
                <w:tcPr>
                  <w:tcW w:w="734" w:type="pct"/>
                  <w:tcBorders>
                    <w:top w:val="single" w:sz="6" w:space="0" w:color="BFBFBF"/>
                  </w:tcBorders>
                </w:tcPr>
                <w:p w:rsidR="00AC2131" w:rsidRDefault="00AC2131" w:rsidP="00AC2131">
                  <w:pPr>
                    <w:pStyle w:val="TableBodyText"/>
                    <w:spacing w:before="40"/>
                    <w:ind w:right="57"/>
                  </w:pPr>
                  <w:r>
                    <w:t>$30 million</w:t>
                  </w:r>
                </w:p>
              </w:tc>
              <w:tc>
                <w:tcPr>
                  <w:tcW w:w="733" w:type="pct"/>
                  <w:tcBorders>
                    <w:top w:val="single" w:sz="6" w:space="0" w:color="BFBFBF"/>
                  </w:tcBorders>
                </w:tcPr>
                <w:p w:rsidR="00AC2131" w:rsidRDefault="00AC2131" w:rsidP="00AC2131">
                  <w:pPr>
                    <w:pStyle w:val="TableBodyText"/>
                    <w:spacing w:before="40"/>
                    <w:ind w:right="57"/>
                    <w:rPr>
                      <w:i/>
                    </w:rPr>
                  </w:pPr>
                  <w:r>
                    <w:t>$30 million</w:t>
                  </w:r>
                </w:p>
              </w:tc>
              <w:tc>
                <w:tcPr>
                  <w:tcW w:w="732" w:type="pct"/>
                  <w:tcBorders>
                    <w:top w:val="single" w:sz="6" w:space="0" w:color="BFBFBF"/>
                  </w:tcBorders>
                </w:tcPr>
                <w:p w:rsidR="00AC2131" w:rsidRDefault="00AC2131" w:rsidP="00AC2131">
                  <w:pPr>
                    <w:pStyle w:val="TableBodyText"/>
                    <w:spacing w:before="40"/>
                    <w:ind w:right="57"/>
                    <w:rPr>
                      <w:i/>
                    </w:rPr>
                  </w:pPr>
                  <w:r>
                    <w:t>Not disclosed</w:t>
                  </w:r>
                </w:p>
              </w:tc>
              <w:tc>
                <w:tcPr>
                  <w:tcW w:w="1134" w:type="pct"/>
                  <w:tcBorders>
                    <w:top w:val="single" w:sz="6" w:space="0" w:color="BFBFBF"/>
                  </w:tcBorders>
                </w:tcPr>
                <w:p w:rsidR="00AC2131" w:rsidRDefault="00AC2131" w:rsidP="00AC2131">
                  <w:pPr>
                    <w:pStyle w:val="TableBodyText"/>
                    <w:spacing w:before="40"/>
                    <w:ind w:right="28"/>
                    <w:rPr>
                      <w:i/>
                    </w:rPr>
                  </w:pPr>
                  <w:r>
                    <w:t>Funding provided. Operation ongoing.</w:t>
                  </w:r>
                </w:p>
              </w:tc>
            </w:tr>
            <w:tr w:rsidR="00AC2131" w:rsidTr="00AC2131">
              <w:tc>
                <w:tcPr>
                  <w:tcW w:w="933" w:type="pct"/>
                </w:tcPr>
                <w:p w:rsidR="00AC2131" w:rsidRDefault="00AC2131" w:rsidP="00AC2131">
                  <w:pPr>
                    <w:pStyle w:val="TableUnitsRow"/>
                    <w:jc w:val="left"/>
                  </w:pPr>
                  <w:r>
                    <w:t xml:space="preserve">Simplot </w:t>
                  </w:r>
                </w:p>
              </w:tc>
              <w:tc>
                <w:tcPr>
                  <w:tcW w:w="734" w:type="pct"/>
                </w:tcPr>
                <w:p w:rsidR="00AC2131" w:rsidRDefault="00AC2131" w:rsidP="00AC2131">
                  <w:pPr>
                    <w:pStyle w:val="TableBodyText"/>
                    <w:ind w:right="57"/>
                  </w:pPr>
                  <w:r>
                    <w:t>$15.6 million</w:t>
                  </w:r>
                </w:p>
              </w:tc>
              <w:tc>
                <w:tcPr>
                  <w:tcW w:w="734" w:type="pct"/>
                </w:tcPr>
                <w:p w:rsidR="00AC2131" w:rsidRDefault="00AC2131" w:rsidP="00AC2131">
                  <w:pPr>
                    <w:pStyle w:val="TableBodyText"/>
                    <w:ind w:right="57"/>
                  </w:pPr>
                  <w:r>
                    <w:t>$3 million</w:t>
                  </w:r>
                </w:p>
              </w:tc>
              <w:tc>
                <w:tcPr>
                  <w:tcW w:w="733" w:type="pct"/>
                </w:tcPr>
                <w:p w:rsidR="00AC2131" w:rsidRDefault="00AC2131" w:rsidP="00AC2131">
                  <w:pPr>
                    <w:pStyle w:val="TableBodyText"/>
                    <w:ind w:right="57"/>
                    <w:rPr>
                      <w:i/>
                    </w:rPr>
                  </w:pPr>
                  <w:r>
                    <w:t>$3 million</w:t>
                  </w:r>
                </w:p>
              </w:tc>
              <w:tc>
                <w:tcPr>
                  <w:tcW w:w="732" w:type="pct"/>
                </w:tcPr>
                <w:p w:rsidR="00AC2131" w:rsidRDefault="00AC2131" w:rsidP="00AC2131">
                  <w:pPr>
                    <w:pStyle w:val="TableBodyText"/>
                    <w:ind w:right="57"/>
                    <w:rPr>
                      <w:i/>
                    </w:rPr>
                  </w:pPr>
                  <w:r>
                    <w:t>$1 million</w:t>
                  </w:r>
                </w:p>
              </w:tc>
              <w:tc>
                <w:tcPr>
                  <w:tcW w:w="1134" w:type="pct"/>
                </w:tcPr>
                <w:p w:rsidR="00AC2131" w:rsidRDefault="00AC2131" w:rsidP="00AC2131">
                  <w:pPr>
                    <w:pStyle w:val="TableBodyText"/>
                    <w:ind w:right="28"/>
                    <w:rPr>
                      <w:i/>
                    </w:rPr>
                  </w:pPr>
                  <w:r>
                    <w:t>Funding provided. Operation ongoing</w:t>
                  </w:r>
                </w:p>
              </w:tc>
            </w:tr>
            <w:tr w:rsidR="00AC2131" w:rsidTr="00AC2131">
              <w:tc>
                <w:tcPr>
                  <w:tcW w:w="933" w:type="pct"/>
                </w:tcPr>
                <w:p w:rsidR="00AC2131" w:rsidRDefault="00AC2131" w:rsidP="00AC2131">
                  <w:pPr>
                    <w:pStyle w:val="TableUnitsRow"/>
                    <w:jc w:val="left"/>
                  </w:pPr>
                  <w:r>
                    <w:t>Norske Skog</w:t>
                  </w:r>
                </w:p>
              </w:tc>
              <w:tc>
                <w:tcPr>
                  <w:tcW w:w="734" w:type="pct"/>
                </w:tcPr>
                <w:p w:rsidR="00AC2131" w:rsidRDefault="00AC2131" w:rsidP="00AC2131">
                  <w:pPr>
                    <w:pStyle w:val="TableBodyText"/>
                    <w:ind w:right="57"/>
                  </w:pPr>
                  <w:r>
                    <w:t>$84 million</w:t>
                  </w:r>
                </w:p>
              </w:tc>
              <w:tc>
                <w:tcPr>
                  <w:tcW w:w="734" w:type="pct"/>
                </w:tcPr>
                <w:p w:rsidR="00AC2131" w:rsidRDefault="00AC2131" w:rsidP="00AC2131">
                  <w:pPr>
                    <w:pStyle w:val="TableBodyText"/>
                    <w:ind w:right="57"/>
                  </w:pPr>
                  <w:r>
                    <w:t>$28 million</w:t>
                  </w:r>
                </w:p>
              </w:tc>
              <w:tc>
                <w:tcPr>
                  <w:tcW w:w="733" w:type="pct"/>
                </w:tcPr>
                <w:p w:rsidR="00AC2131" w:rsidRDefault="00AC2131" w:rsidP="00AC2131">
                  <w:pPr>
                    <w:pStyle w:val="TableBodyText"/>
                    <w:ind w:right="57"/>
                  </w:pPr>
                  <w:r>
                    <w:t>$28 million</w:t>
                  </w:r>
                </w:p>
              </w:tc>
              <w:tc>
                <w:tcPr>
                  <w:tcW w:w="732" w:type="pct"/>
                </w:tcPr>
                <w:p w:rsidR="00AC2131" w:rsidRDefault="00AC2131" w:rsidP="00AC2131">
                  <w:pPr>
                    <w:pStyle w:val="TableBodyText"/>
                    <w:ind w:right="57"/>
                  </w:pPr>
                  <w:r>
                    <w:t>$13 million</w:t>
                  </w:r>
                </w:p>
              </w:tc>
              <w:tc>
                <w:tcPr>
                  <w:tcW w:w="1134" w:type="pct"/>
                </w:tcPr>
                <w:p w:rsidR="00AC2131" w:rsidRDefault="00AC2131" w:rsidP="00AC2131">
                  <w:pPr>
                    <w:pStyle w:val="TableBodyText"/>
                    <w:ind w:right="28"/>
                  </w:pPr>
                  <w:r>
                    <w:t>Funding provided. Operation ongoing</w:t>
                  </w:r>
                </w:p>
              </w:tc>
            </w:tr>
            <w:tr w:rsidR="00AC2131" w:rsidTr="00AC2131">
              <w:tc>
                <w:tcPr>
                  <w:tcW w:w="933" w:type="pct"/>
                </w:tcPr>
                <w:p w:rsidR="00AC2131" w:rsidRDefault="00AC2131" w:rsidP="00AC2131">
                  <w:pPr>
                    <w:pStyle w:val="TableUnitsRow"/>
                    <w:jc w:val="left"/>
                  </w:pPr>
                  <w:r>
                    <w:t>Ford Australia</w:t>
                  </w:r>
                </w:p>
              </w:tc>
              <w:tc>
                <w:tcPr>
                  <w:tcW w:w="734" w:type="pct"/>
                </w:tcPr>
                <w:p w:rsidR="00AC2131" w:rsidRDefault="00AC2131" w:rsidP="00AC2131">
                  <w:pPr>
                    <w:pStyle w:val="TableBodyText"/>
                    <w:ind w:right="57"/>
                  </w:pPr>
                  <w:r>
                    <w:t>$103 million</w:t>
                  </w:r>
                </w:p>
              </w:tc>
              <w:tc>
                <w:tcPr>
                  <w:tcW w:w="734" w:type="pct"/>
                </w:tcPr>
                <w:p w:rsidR="00AC2131" w:rsidRDefault="00AC2131" w:rsidP="00AC2131">
                  <w:pPr>
                    <w:pStyle w:val="TableBodyText"/>
                    <w:ind w:right="57"/>
                  </w:pPr>
                  <w:r>
                    <w:t>$34 million</w:t>
                  </w:r>
                </w:p>
              </w:tc>
              <w:tc>
                <w:tcPr>
                  <w:tcW w:w="733" w:type="pct"/>
                </w:tcPr>
                <w:p w:rsidR="00AC2131" w:rsidRDefault="00AC2131" w:rsidP="00AC2131">
                  <w:pPr>
                    <w:pStyle w:val="TableBodyText"/>
                    <w:ind w:right="57"/>
                    <w:rPr>
                      <w:i/>
                    </w:rPr>
                  </w:pPr>
                  <w:r>
                    <w:t>$34 million</w:t>
                  </w:r>
                </w:p>
              </w:tc>
              <w:tc>
                <w:tcPr>
                  <w:tcW w:w="732" w:type="pct"/>
                </w:tcPr>
                <w:p w:rsidR="00AC2131" w:rsidRDefault="00AC2131" w:rsidP="00AC2131">
                  <w:pPr>
                    <w:pStyle w:val="TableBodyText"/>
                    <w:ind w:right="57"/>
                    <w:rPr>
                      <w:i/>
                    </w:rPr>
                  </w:pPr>
                  <w:r>
                    <w:t>Not disclosed</w:t>
                  </w:r>
                </w:p>
              </w:tc>
              <w:tc>
                <w:tcPr>
                  <w:tcW w:w="1134" w:type="pct"/>
                </w:tcPr>
                <w:p w:rsidR="00AC2131" w:rsidRDefault="00AC2131" w:rsidP="00AC2131">
                  <w:pPr>
                    <w:pStyle w:val="TableBodyText"/>
                    <w:ind w:right="28"/>
                    <w:rPr>
                      <w:i/>
                    </w:rPr>
                  </w:pPr>
                  <w:r>
                    <w:t>Funding provided. Production to cease 2016</w:t>
                  </w:r>
                </w:p>
              </w:tc>
            </w:tr>
            <w:tr w:rsidR="00AC2131" w:rsidTr="00AC2131">
              <w:tc>
                <w:tcPr>
                  <w:tcW w:w="933" w:type="pct"/>
                </w:tcPr>
                <w:p w:rsidR="00AC2131" w:rsidRDefault="00AC2131" w:rsidP="00AC2131">
                  <w:pPr>
                    <w:pStyle w:val="TableUnitsRow"/>
                    <w:jc w:val="left"/>
                    <w:rPr>
                      <w:szCs w:val="24"/>
                    </w:rPr>
                  </w:pPr>
                  <w:r>
                    <w:t>GM Holden</w:t>
                  </w:r>
                </w:p>
              </w:tc>
              <w:tc>
                <w:tcPr>
                  <w:tcW w:w="734" w:type="pct"/>
                </w:tcPr>
                <w:p w:rsidR="00AC2131" w:rsidRDefault="00AC2131" w:rsidP="00AC2131">
                  <w:pPr>
                    <w:pStyle w:val="TableBodyText"/>
                    <w:ind w:right="57"/>
                  </w:pPr>
                  <w:r>
                    <w:t>$1 billion+</w:t>
                  </w:r>
                </w:p>
              </w:tc>
              <w:tc>
                <w:tcPr>
                  <w:tcW w:w="734" w:type="pct"/>
                </w:tcPr>
                <w:p w:rsidR="00AC2131" w:rsidRDefault="00AC2131" w:rsidP="00AC2131">
                  <w:pPr>
                    <w:pStyle w:val="TableBodyText"/>
                    <w:ind w:right="57"/>
                  </w:pPr>
                  <w:r>
                    <w:t>$215 million</w:t>
                  </w:r>
                </w:p>
              </w:tc>
              <w:tc>
                <w:tcPr>
                  <w:tcW w:w="733" w:type="pct"/>
                </w:tcPr>
                <w:p w:rsidR="00AC2131" w:rsidRDefault="00AC2131" w:rsidP="00AC2131">
                  <w:pPr>
                    <w:pStyle w:val="TableBodyText"/>
                    <w:ind w:right="57"/>
                    <w:rPr>
                      <w:i/>
                    </w:rPr>
                  </w:pPr>
                  <w:r>
                    <w:t>nil</w:t>
                  </w:r>
                </w:p>
              </w:tc>
              <w:tc>
                <w:tcPr>
                  <w:tcW w:w="732" w:type="pct"/>
                </w:tcPr>
                <w:p w:rsidR="00AC2131" w:rsidRDefault="00AC2131" w:rsidP="00AC2131">
                  <w:pPr>
                    <w:pStyle w:val="TableBodyText"/>
                    <w:ind w:right="57"/>
                    <w:rPr>
                      <w:i/>
                    </w:rPr>
                  </w:pPr>
                  <w:r>
                    <w:t>$60 million</w:t>
                  </w:r>
                </w:p>
              </w:tc>
              <w:tc>
                <w:tcPr>
                  <w:tcW w:w="1134" w:type="pct"/>
                </w:tcPr>
                <w:p w:rsidR="00AC2131" w:rsidRDefault="00AC2131" w:rsidP="00AC2131">
                  <w:pPr>
                    <w:pStyle w:val="TableBodyText"/>
                    <w:ind w:right="28"/>
                    <w:rPr>
                      <w:i/>
                    </w:rPr>
                  </w:pPr>
                  <w:r>
                    <w:t>Funding withdrawn. Production to cease in 2017</w:t>
                  </w:r>
                </w:p>
              </w:tc>
            </w:tr>
            <w:tr w:rsidR="00AC2131" w:rsidTr="00AC2131">
              <w:tc>
                <w:tcPr>
                  <w:tcW w:w="933" w:type="pct"/>
                </w:tcPr>
                <w:p w:rsidR="00AC2131" w:rsidRDefault="00AC2131" w:rsidP="00AC2131">
                  <w:pPr>
                    <w:pStyle w:val="TableUnitsRow"/>
                    <w:jc w:val="left"/>
                    <w:rPr>
                      <w:i/>
                    </w:rPr>
                  </w:pPr>
                  <w:r>
                    <w:t>Lion Dairy</w:t>
                  </w:r>
                </w:p>
              </w:tc>
              <w:tc>
                <w:tcPr>
                  <w:tcW w:w="734" w:type="pct"/>
                </w:tcPr>
                <w:p w:rsidR="00AC2131" w:rsidRDefault="00AC2131" w:rsidP="00AC2131">
                  <w:pPr>
                    <w:pStyle w:val="TableBodyText"/>
                    <w:ind w:right="57"/>
                    <w:rPr>
                      <w:i/>
                    </w:rPr>
                  </w:pPr>
                  <w:r>
                    <w:t>$140 million</w:t>
                  </w:r>
                </w:p>
              </w:tc>
              <w:tc>
                <w:tcPr>
                  <w:tcW w:w="734" w:type="pct"/>
                </w:tcPr>
                <w:p w:rsidR="00AC2131" w:rsidRDefault="00AC2131" w:rsidP="00AC2131">
                  <w:pPr>
                    <w:pStyle w:val="TableBodyText"/>
                    <w:ind w:right="57"/>
                    <w:rPr>
                      <w:i/>
                    </w:rPr>
                  </w:pPr>
                  <w:r>
                    <w:t>$4.25 million</w:t>
                  </w:r>
                </w:p>
              </w:tc>
              <w:tc>
                <w:tcPr>
                  <w:tcW w:w="733" w:type="pct"/>
                </w:tcPr>
                <w:p w:rsidR="00AC2131" w:rsidRDefault="00AC2131" w:rsidP="00AC2131">
                  <w:pPr>
                    <w:pStyle w:val="TableBodyText"/>
                    <w:ind w:right="57"/>
                    <w:rPr>
                      <w:i/>
                    </w:rPr>
                  </w:pPr>
                  <w:r>
                    <w:t>$4.25 million</w:t>
                  </w:r>
                </w:p>
              </w:tc>
              <w:tc>
                <w:tcPr>
                  <w:tcW w:w="732" w:type="pct"/>
                </w:tcPr>
                <w:p w:rsidR="00AC2131" w:rsidRDefault="00AC2131" w:rsidP="00AC2131">
                  <w:pPr>
                    <w:pStyle w:val="TableBodyText"/>
                    <w:ind w:right="57"/>
                    <w:rPr>
                      <w:i/>
                    </w:rPr>
                  </w:pPr>
                  <w:r>
                    <w:t>$1.5 million</w:t>
                  </w:r>
                </w:p>
              </w:tc>
              <w:tc>
                <w:tcPr>
                  <w:tcW w:w="1134" w:type="pct"/>
                </w:tcPr>
                <w:p w:rsidR="00AC2131" w:rsidRDefault="00AC2131" w:rsidP="00AC2131">
                  <w:pPr>
                    <w:pStyle w:val="TableBodyText"/>
                    <w:ind w:right="28"/>
                    <w:rPr>
                      <w:i/>
                    </w:rPr>
                  </w:pPr>
                  <w:r>
                    <w:t>Funding provided. Operation ongoing</w:t>
                  </w:r>
                </w:p>
              </w:tc>
            </w:tr>
            <w:tr w:rsidR="00AC2131" w:rsidTr="00AC2131">
              <w:tc>
                <w:tcPr>
                  <w:tcW w:w="933" w:type="pct"/>
                </w:tcPr>
                <w:p w:rsidR="00AC2131" w:rsidRDefault="00AC2131" w:rsidP="00AC2131">
                  <w:pPr>
                    <w:pStyle w:val="TableUnitsRow"/>
                    <w:jc w:val="left"/>
                    <w:rPr>
                      <w:i/>
                    </w:rPr>
                  </w:pPr>
                  <w:r>
                    <w:t>Australian Paper</w:t>
                  </w:r>
                </w:p>
              </w:tc>
              <w:tc>
                <w:tcPr>
                  <w:tcW w:w="734" w:type="pct"/>
                </w:tcPr>
                <w:p w:rsidR="00AC2131" w:rsidRDefault="00AC2131" w:rsidP="00AC2131">
                  <w:pPr>
                    <w:pStyle w:val="TableBodyText"/>
                    <w:ind w:right="57"/>
                    <w:rPr>
                      <w:i/>
                    </w:rPr>
                  </w:pPr>
                  <w:r>
                    <w:t>$90 million</w:t>
                  </w:r>
                </w:p>
              </w:tc>
              <w:tc>
                <w:tcPr>
                  <w:tcW w:w="734" w:type="pct"/>
                </w:tcPr>
                <w:p w:rsidR="00AC2131" w:rsidRDefault="00AC2131" w:rsidP="00AC2131">
                  <w:pPr>
                    <w:pStyle w:val="TableBodyText"/>
                    <w:ind w:right="57"/>
                    <w:rPr>
                      <w:i/>
                    </w:rPr>
                  </w:pPr>
                  <w:r>
                    <w:t>$9.5 million</w:t>
                  </w:r>
                </w:p>
              </w:tc>
              <w:tc>
                <w:tcPr>
                  <w:tcW w:w="733" w:type="pct"/>
                </w:tcPr>
                <w:p w:rsidR="00AC2131" w:rsidRDefault="00AC2131" w:rsidP="00AC2131">
                  <w:pPr>
                    <w:pStyle w:val="TableBodyText"/>
                    <w:ind w:right="57"/>
                    <w:rPr>
                      <w:i/>
                    </w:rPr>
                  </w:pPr>
                  <w:r>
                    <w:t>$9.5 million</w:t>
                  </w:r>
                </w:p>
              </w:tc>
              <w:tc>
                <w:tcPr>
                  <w:tcW w:w="732" w:type="pct"/>
                </w:tcPr>
                <w:p w:rsidR="00AC2131" w:rsidRDefault="00AC2131" w:rsidP="00AC2131">
                  <w:pPr>
                    <w:pStyle w:val="TableBodyText"/>
                    <w:ind w:right="57"/>
                    <w:rPr>
                      <w:i/>
                    </w:rPr>
                  </w:pPr>
                  <w:r>
                    <w:t>Not disclosed</w:t>
                  </w:r>
                </w:p>
              </w:tc>
              <w:tc>
                <w:tcPr>
                  <w:tcW w:w="1134" w:type="pct"/>
                </w:tcPr>
                <w:p w:rsidR="00AC2131" w:rsidRDefault="00AC2131" w:rsidP="00AC2131">
                  <w:pPr>
                    <w:pStyle w:val="TableBodyText"/>
                    <w:ind w:right="28"/>
                    <w:rPr>
                      <w:i/>
                    </w:rPr>
                  </w:pPr>
                  <w:r>
                    <w:t>Funding provided. Operation ongoing</w:t>
                  </w:r>
                </w:p>
              </w:tc>
            </w:tr>
            <w:tr w:rsidR="00AC2131" w:rsidTr="00AC2131">
              <w:tc>
                <w:tcPr>
                  <w:tcW w:w="933" w:type="pct"/>
                </w:tcPr>
                <w:p w:rsidR="00AC2131" w:rsidRDefault="00AC2131" w:rsidP="00AC2131">
                  <w:pPr>
                    <w:pStyle w:val="TableUnitsRow"/>
                    <w:jc w:val="left"/>
                    <w:rPr>
                      <w:i/>
                    </w:rPr>
                  </w:pPr>
                  <w:r>
                    <w:t>Alcoa</w:t>
                  </w:r>
                </w:p>
              </w:tc>
              <w:tc>
                <w:tcPr>
                  <w:tcW w:w="734" w:type="pct"/>
                </w:tcPr>
                <w:p w:rsidR="00AC2131" w:rsidRDefault="00AC2131" w:rsidP="00AC2131">
                  <w:pPr>
                    <w:pStyle w:val="TableBodyText"/>
                    <w:ind w:right="57"/>
                    <w:rPr>
                      <w:i/>
                    </w:rPr>
                  </w:pPr>
                  <w:r>
                    <w:t>Not available</w:t>
                  </w:r>
                </w:p>
              </w:tc>
              <w:tc>
                <w:tcPr>
                  <w:tcW w:w="734" w:type="pct"/>
                </w:tcPr>
                <w:p w:rsidR="00AC2131" w:rsidRDefault="00AC2131" w:rsidP="00AC2131">
                  <w:pPr>
                    <w:pStyle w:val="TableBodyText"/>
                    <w:ind w:right="57"/>
                    <w:rPr>
                      <w:i/>
                    </w:rPr>
                  </w:pPr>
                  <w:r>
                    <w:t>$40 million</w:t>
                  </w:r>
                </w:p>
              </w:tc>
              <w:tc>
                <w:tcPr>
                  <w:tcW w:w="733" w:type="pct"/>
                </w:tcPr>
                <w:p w:rsidR="00AC2131" w:rsidRDefault="00AC2131" w:rsidP="00AC2131">
                  <w:pPr>
                    <w:pStyle w:val="TableBodyText"/>
                    <w:ind w:right="57"/>
                    <w:rPr>
                      <w:i/>
                    </w:rPr>
                  </w:pPr>
                  <w:r>
                    <w:t>$40 million</w:t>
                  </w:r>
                </w:p>
              </w:tc>
              <w:tc>
                <w:tcPr>
                  <w:tcW w:w="732" w:type="pct"/>
                </w:tcPr>
                <w:p w:rsidR="00AC2131" w:rsidRDefault="00AC2131" w:rsidP="00AC2131">
                  <w:pPr>
                    <w:pStyle w:val="TableBodyText"/>
                    <w:ind w:right="57"/>
                    <w:rPr>
                      <w:i/>
                    </w:rPr>
                  </w:pPr>
                  <w:r>
                    <w:t>Not disclosed</w:t>
                  </w:r>
                </w:p>
              </w:tc>
              <w:tc>
                <w:tcPr>
                  <w:tcW w:w="1134" w:type="pct"/>
                </w:tcPr>
                <w:p w:rsidR="00AC2131" w:rsidRDefault="00AC2131" w:rsidP="00AC2131">
                  <w:pPr>
                    <w:pStyle w:val="TableBodyText"/>
                    <w:ind w:right="28"/>
                    <w:rPr>
                      <w:i/>
                    </w:rPr>
                  </w:pPr>
                  <w:r>
                    <w:t>Funding provided. Production ceased 2014</w:t>
                  </w:r>
                </w:p>
              </w:tc>
            </w:tr>
            <w:tr w:rsidR="00AC2131" w:rsidTr="00AC2131">
              <w:tc>
                <w:tcPr>
                  <w:tcW w:w="933" w:type="pct"/>
                </w:tcPr>
                <w:p w:rsidR="00AC2131" w:rsidRDefault="00AC2131" w:rsidP="00AC2131">
                  <w:pPr>
                    <w:pStyle w:val="TableUnitsRow"/>
                    <w:jc w:val="left"/>
                    <w:rPr>
                      <w:i/>
                    </w:rPr>
                  </w:pPr>
                  <w:r>
                    <w:t>Toyota Australia</w:t>
                  </w:r>
                </w:p>
              </w:tc>
              <w:tc>
                <w:tcPr>
                  <w:tcW w:w="734" w:type="pct"/>
                </w:tcPr>
                <w:p w:rsidR="00AC2131" w:rsidRDefault="00AC2131" w:rsidP="00AC2131">
                  <w:pPr>
                    <w:pStyle w:val="TableBodyText"/>
                    <w:ind w:right="57"/>
                    <w:rPr>
                      <w:i/>
                    </w:rPr>
                  </w:pPr>
                  <w:r>
                    <w:t>$123 million</w:t>
                  </w:r>
                </w:p>
              </w:tc>
              <w:tc>
                <w:tcPr>
                  <w:tcW w:w="734" w:type="pct"/>
                </w:tcPr>
                <w:p w:rsidR="00AC2131" w:rsidRDefault="00AC2131" w:rsidP="00AC2131">
                  <w:pPr>
                    <w:pStyle w:val="TableBodyText"/>
                    <w:ind w:right="57"/>
                    <w:rPr>
                      <w:i/>
                    </w:rPr>
                  </w:pPr>
                  <w:r>
                    <w:t>$28.6 million</w:t>
                  </w:r>
                </w:p>
              </w:tc>
              <w:tc>
                <w:tcPr>
                  <w:tcW w:w="733" w:type="pct"/>
                </w:tcPr>
                <w:p w:rsidR="00AC2131" w:rsidRDefault="00AC2131" w:rsidP="00AC2131">
                  <w:pPr>
                    <w:pStyle w:val="TableBodyText"/>
                    <w:ind w:right="57"/>
                    <w:rPr>
                      <w:i/>
                    </w:rPr>
                  </w:pPr>
                  <w:r>
                    <w:t>$5.75 million</w:t>
                  </w:r>
                </w:p>
              </w:tc>
              <w:tc>
                <w:tcPr>
                  <w:tcW w:w="732" w:type="pct"/>
                </w:tcPr>
                <w:p w:rsidR="00AC2131" w:rsidRDefault="00AC2131" w:rsidP="00AC2131">
                  <w:pPr>
                    <w:pStyle w:val="TableBodyText"/>
                    <w:ind w:right="57"/>
                    <w:rPr>
                      <w:i/>
                    </w:rPr>
                  </w:pPr>
                  <w:r>
                    <w:t>Not disclosed</w:t>
                  </w:r>
                </w:p>
              </w:tc>
              <w:tc>
                <w:tcPr>
                  <w:tcW w:w="1134" w:type="pct"/>
                </w:tcPr>
                <w:p w:rsidR="00AC2131" w:rsidRDefault="00AC2131" w:rsidP="00AC2131">
                  <w:pPr>
                    <w:pStyle w:val="TableBodyText"/>
                    <w:ind w:right="28"/>
                    <w:rPr>
                      <w:i/>
                    </w:rPr>
                  </w:pPr>
                  <w:r>
                    <w:t>Part funding provided. Production to cease 2017</w:t>
                  </w:r>
                </w:p>
              </w:tc>
            </w:tr>
            <w:tr w:rsidR="00AC2131" w:rsidTr="00AC2131">
              <w:tc>
                <w:tcPr>
                  <w:tcW w:w="933" w:type="pct"/>
                </w:tcPr>
                <w:p w:rsidR="00AC2131" w:rsidRDefault="00AC2131" w:rsidP="00AC2131">
                  <w:pPr>
                    <w:pStyle w:val="TableUnitsRow"/>
                    <w:jc w:val="left"/>
                    <w:rPr>
                      <w:i/>
                    </w:rPr>
                  </w:pPr>
                  <w:r>
                    <w:t>Cadbury Australia</w:t>
                  </w:r>
                </w:p>
              </w:tc>
              <w:tc>
                <w:tcPr>
                  <w:tcW w:w="734" w:type="pct"/>
                </w:tcPr>
                <w:p w:rsidR="00AC2131" w:rsidRDefault="00AC2131" w:rsidP="00AC2131">
                  <w:pPr>
                    <w:pStyle w:val="TableBodyText"/>
                    <w:ind w:right="57"/>
                    <w:rPr>
                      <w:i/>
                    </w:rPr>
                  </w:pPr>
                  <w:r>
                    <w:t>$66 million</w:t>
                  </w:r>
                </w:p>
              </w:tc>
              <w:tc>
                <w:tcPr>
                  <w:tcW w:w="734" w:type="pct"/>
                </w:tcPr>
                <w:p w:rsidR="00AC2131" w:rsidRDefault="00AC2131" w:rsidP="00AC2131">
                  <w:pPr>
                    <w:pStyle w:val="TableBodyText"/>
                    <w:ind w:right="57"/>
                    <w:rPr>
                      <w:i/>
                    </w:rPr>
                  </w:pPr>
                  <w:r>
                    <w:t>$16 million</w:t>
                  </w:r>
                </w:p>
              </w:tc>
              <w:tc>
                <w:tcPr>
                  <w:tcW w:w="733" w:type="pct"/>
                </w:tcPr>
                <w:p w:rsidR="00AC2131" w:rsidRDefault="00AC2131" w:rsidP="00AC2131">
                  <w:pPr>
                    <w:pStyle w:val="TableBodyText"/>
                    <w:ind w:right="57"/>
                    <w:rPr>
                      <w:i/>
                    </w:rPr>
                  </w:pPr>
                  <w:r>
                    <w:t>nil</w:t>
                  </w:r>
                </w:p>
              </w:tc>
              <w:tc>
                <w:tcPr>
                  <w:tcW w:w="732" w:type="pct"/>
                </w:tcPr>
                <w:p w:rsidR="00AC2131" w:rsidRDefault="00AC2131" w:rsidP="00AC2131">
                  <w:pPr>
                    <w:pStyle w:val="TableBodyText"/>
                    <w:ind w:right="57"/>
                    <w:rPr>
                      <w:i/>
                    </w:rPr>
                  </w:pPr>
                  <w:r>
                    <w:t>-</w:t>
                  </w:r>
                </w:p>
              </w:tc>
              <w:tc>
                <w:tcPr>
                  <w:tcW w:w="1134" w:type="pct"/>
                </w:tcPr>
                <w:p w:rsidR="00AC2131" w:rsidRDefault="00AC2131" w:rsidP="00AC2131">
                  <w:pPr>
                    <w:pStyle w:val="TableBodyText"/>
                    <w:ind w:right="28"/>
                    <w:rPr>
                      <w:i/>
                    </w:rPr>
                  </w:pPr>
                  <w:r>
                    <w:t>Application withdrawn</w:t>
                  </w:r>
                </w:p>
              </w:tc>
            </w:tr>
            <w:tr w:rsidR="00AC2131" w:rsidTr="00AC2131">
              <w:tc>
                <w:tcPr>
                  <w:tcW w:w="933" w:type="pct"/>
                </w:tcPr>
                <w:p w:rsidR="00AC2131" w:rsidRDefault="00AC2131" w:rsidP="00AC2131">
                  <w:pPr>
                    <w:pStyle w:val="TableUnitsRow"/>
                    <w:jc w:val="left"/>
                    <w:rPr>
                      <w:i/>
                    </w:rPr>
                  </w:pPr>
                  <w:r>
                    <w:t xml:space="preserve">Hobart Airport </w:t>
                  </w:r>
                </w:p>
              </w:tc>
              <w:tc>
                <w:tcPr>
                  <w:tcW w:w="734" w:type="pct"/>
                </w:tcPr>
                <w:p w:rsidR="00AC2131" w:rsidRDefault="00AC2131" w:rsidP="00AC2131">
                  <w:pPr>
                    <w:pStyle w:val="TableBodyText"/>
                    <w:ind w:right="57"/>
                    <w:rPr>
                      <w:i/>
                    </w:rPr>
                  </w:pPr>
                  <w:r>
                    <w:t>$40 million</w:t>
                  </w:r>
                </w:p>
              </w:tc>
              <w:tc>
                <w:tcPr>
                  <w:tcW w:w="734" w:type="pct"/>
                </w:tcPr>
                <w:p w:rsidR="00AC2131" w:rsidRDefault="00AC2131" w:rsidP="00AC2131">
                  <w:pPr>
                    <w:pStyle w:val="TableBodyText"/>
                    <w:ind w:right="57"/>
                    <w:rPr>
                      <w:i/>
                    </w:rPr>
                  </w:pPr>
                  <w:r>
                    <w:t>$38 million</w:t>
                  </w:r>
                </w:p>
              </w:tc>
              <w:tc>
                <w:tcPr>
                  <w:tcW w:w="733" w:type="pct"/>
                </w:tcPr>
                <w:p w:rsidR="00AC2131" w:rsidRDefault="00AC2131" w:rsidP="00AC2131">
                  <w:pPr>
                    <w:pStyle w:val="TableBodyText"/>
                    <w:ind w:right="57"/>
                    <w:rPr>
                      <w:i/>
                    </w:rPr>
                  </w:pPr>
                  <w:r>
                    <w:t>$3.035 million</w:t>
                  </w:r>
                </w:p>
              </w:tc>
              <w:tc>
                <w:tcPr>
                  <w:tcW w:w="732" w:type="pct"/>
                </w:tcPr>
                <w:p w:rsidR="00AC2131" w:rsidRDefault="00AC2131" w:rsidP="00AC2131">
                  <w:pPr>
                    <w:pStyle w:val="TableBodyText"/>
                    <w:ind w:right="57"/>
                    <w:rPr>
                      <w:i/>
                    </w:rPr>
                  </w:pPr>
                  <w:r>
                    <w:t>-</w:t>
                  </w:r>
                </w:p>
              </w:tc>
              <w:tc>
                <w:tcPr>
                  <w:tcW w:w="1134" w:type="pct"/>
                </w:tcPr>
                <w:p w:rsidR="00AC2131" w:rsidRDefault="00AC2131" w:rsidP="00AC2131">
                  <w:pPr>
                    <w:pStyle w:val="TableBodyText"/>
                    <w:ind w:right="28"/>
                    <w:rPr>
                      <w:i/>
                    </w:rPr>
                  </w:pPr>
                  <w:r>
                    <w:t xml:space="preserve">Part funding provided </w:t>
                  </w:r>
                </w:p>
              </w:tc>
            </w:tr>
            <w:tr w:rsidR="00AC2131" w:rsidTr="00AC2131">
              <w:tc>
                <w:tcPr>
                  <w:tcW w:w="933" w:type="pct"/>
                  <w:tcBorders>
                    <w:bottom w:val="single" w:sz="6" w:space="0" w:color="BFBFBF"/>
                  </w:tcBorders>
                </w:tcPr>
                <w:p w:rsidR="00AC2131" w:rsidRDefault="00AC2131" w:rsidP="00AC2131">
                  <w:pPr>
                    <w:pStyle w:val="TableUnitsRow"/>
                    <w:jc w:val="left"/>
                    <w:rPr>
                      <w:i/>
                    </w:rPr>
                  </w:pPr>
                  <w:r>
                    <w:t>SPC Ardmona</w:t>
                  </w:r>
                  <w:r w:rsidRPr="00F12FBC">
                    <w:rPr>
                      <w:rStyle w:val="NoteLabel"/>
                    </w:rPr>
                    <w:t>a</w:t>
                  </w:r>
                </w:p>
              </w:tc>
              <w:tc>
                <w:tcPr>
                  <w:tcW w:w="734" w:type="pct"/>
                  <w:tcBorders>
                    <w:bottom w:val="single" w:sz="6" w:space="0" w:color="BFBFBF"/>
                  </w:tcBorders>
                </w:tcPr>
                <w:p w:rsidR="00AC2131" w:rsidRDefault="00AC2131" w:rsidP="00AC2131">
                  <w:pPr>
                    <w:pStyle w:val="TableBodyText"/>
                    <w:ind w:right="57"/>
                    <w:rPr>
                      <w:i/>
                    </w:rPr>
                  </w:pPr>
                  <w:r>
                    <w:t>$100 million</w:t>
                  </w:r>
                </w:p>
              </w:tc>
              <w:tc>
                <w:tcPr>
                  <w:tcW w:w="734" w:type="pct"/>
                  <w:tcBorders>
                    <w:bottom w:val="single" w:sz="6" w:space="0" w:color="BFBFBF"/>
                  </w:tcBorders>
                </w:tcPr>
                <w:p w:rsidR="00AC2131" w:rsidRDefault="00AC2131" w:rsidP="00AC2131">
                  <w:pPr>
                    <w:pStyle w:val="TableBodyText"/>
                    <w:ind w:right="57"/>
                    <w:rPr>
                      <w:i/>
                    </w:rPr>
                  </w:pPr>
                  <w:r>
                    <w:t>nil</w:t>
                  </w:r>
                </w:p>
              </w:tc>
              <w:tc>
                <w:tcPr>
                  <w:tcW w:w="733" w:type="pct"/>
                  <w:tcBorders>
                    <w:bottom w:val="single" w:sz="6" w:space="0" w:color="BFBFBF"/>
                  </w:tcBorders>
                </w:tcPr>
                <w:p w:rsidR="00AC2131" w:rsidRDefault="00AC2131" w:rsidP="00AC2131">
                  <w:pPr>
                    <w:pStyle w:val="TableBodyText"/>
                    <w:ind w:right="57"/>
                    <w:rPr>
                      <w:i/>
                    </w:rPr>
                  </w:pPr>
                  <w:r>
                    <w:t>nil</w:t>
                  </w:r>
                </w:p>
              </w:tc>
              <w:tc>
                <w:tcPr>
                  <w:tcW w:w="732" w:type="pct"/>
                  <w:tcBorders>
                    <w:bottom w:val="single" w:sz="6" w:space="0" w:color="BFBFBF"/>
                  </w:tcBorders>
                </w:tcPr>
                <w:p w:rsidR="00AC2131" w:rsidRDefault="00AC2131" w:rsidP="00AC2131">
                  <w:pPr>
                    <w:pStyle w:val="TableBodyText"/>
                    <w:ind w:right="57"/>
                    <w:rPr>
                      <w:i/>
                    </w:rPr>
                  </w:pPr>
                  <w:r>
                    <w:t>$22 million</w:t>
                  </w:r>
                </w:p>
              </w:tc>
              <w:tc>
                <w:tcPr>
                  <w:tcW w:w="1134" w:type="pct"/>
                  <w:tcBorders>
                    <w:bottom w:val="single" w:sz="6" w:space="0" w:color="BFBFBF"/>
                  </w:tcBorders>
                </w:tcPr>
                <w:p w:rsidR="00AC2131" w:rsidRDefault="00AC2131" w:rsidP="00AC2131">
                  <w:pPr>
                    <w:pStyle w:val="TableBodyText"/>
                    <w:ind w:right="28"/>
                  </w:pPr>
                  <w:r>
                    <w:t xml:space="preserve">Funding </w:t>
                  </w:r>
                </w:p>
                <w:p w:rsidR="00AC2131" w:rsidRDefault="00AC2131" w:rsidP="00AC2131">
                  <w:pPr>
                    <w:pStyle w:val="TableBodyText"/>
                    <w:ind w:right="28"/>
                    <w:rPr>
                      <w:i/>
                    </w:rPr>
                  </w:pPr>
                  <w:r>
                    <w:t>refused</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sidRPr="00D46A06">
              <w:rPr>
                <w:rStyle w:val="NoteLabel"/>
              </w:rPr>
              <w:t>a</w:t>
            </w:r>
            <w:r>
              <w:t xml:space="preserve"> SPC Ardmona had sought a $25 million contribution from the Australian Government.</w:t>
            </w:r>
          </w:p>
          <w:p w:rsidR="00AC2131" w:rsidRDefault="00AC2131" w:rsidP="00AC2131">
            <w:pPr>
              <w:pStyle w:val="Source"/>
            </w:pPr>
            <w:r>
              <w:t>Sources: Appendix C,</w:t>
            </w:r>
            <w:r w:rsidDel="00747B49">
              <w:t xml:space="preserve"> </w:t>
            </w:r>
            <w:r>
              <w:t>Department of Industry and Science (pers. comm., 20 May 2015).</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3.</w:t>
            </w:r>
            <w:r>
              <w:rPr>
                <w:b w:val="0"/>
                <w:noProof/>
              </w:rPr>
              <w:t>2</w:t>
            </w:r>
            <w:r>
              <w:tab/>
            </w:r>
            <w:r>
              <w:rPr>
                <w:color w:val="000000" w:themeColor="dark2"/>
              </w:rPr>
              <w:t xml:space="preserve">Information provided on </w:t>
            </w:r>
            <w:r>
              <w:t xml:space="preserve">governance features of co-investment proposals </w:t>
            </w:r>
            <w:r>
              <w:rPr>
                <w:color w:val="000000" w:themeColor="dark2"/>
              </w:rPr>
              <w:t>by the Department of Industry and Science</w:t>
            </w:r>
          </w:p>
        </w:tc>
      </w:tr>
      <w:tr w:rsidR="00AC2131" w:rsidTr="00AC2131">
        <w:trPr>
          <w:cantSplit/>
        </w:trPr>
        <w:tc>
          <w:tcPr>
            <w:tcW w:w="8771" w:type="dxa"/>
            <w:tcBorders>
              <w:top w:val="nil"/>
              <w:left w:val="nil"/>
              <w:bottom w:val="nil"/>
              <w:right w:val="nil"/>
            </w:tcBorders>
            <w:shd w:val="clear" w:color="auto" w:fill="auto"/>
          </w:tcPr>
          <w:tbl>
            <w:tblPr>
              <w:tblW w:w="8505" w:type="dxa"/>
              <w:tblLayout w:type="fixed"/>
              <w:tblCellMar>
                <w:top w:w="28" w:type="dxa"/>
                <w:left w:w="0" w:type="dxa"/>
                <w:right w:w="0" w:type="dxa"/>
              </w:tblCellMar>
              <w:tblLook w:val="0000" w:firstRow="0" w:lastRow="0" w:firstColumn="0" w:lastColumn="0" w:noHBand="0" w:noVBand="0"/>
            </w:tblPr>
            <w:tblGrid>
              <w:gridCol w:w="1757"/>
              <w:gridCol w:w="964"/>
              <w:gridCol w:w="964"/>
              <w:gridCol w:w="964"/>
              <w:gridCol w:w="964"/>
              <w:gridCol w:w="964"/>
              <w:gridCol w:w="964"/>
              <w:gridCol w:w="964"/>
            </w:tblGrid>
            <w:tr w:rsidR="00AC2131" w:rsidTr="00AC2131">
              <w:tc>
                <w:tcPr>
                  <w:tcW w:w="1757" w:type="dxa"/>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jc w:val="left"/>
                  </w:pPr>
                  <w:r w:rsidRPr="00C27D8D">
                    <w:t>Governance feature</w:t>
                  </w:r>
                </w:p>
              </w:tc>
              <w:tc>
                <w:tcPr>
                  <w:tcW w:w="964" w:type="dxa"/>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pPr>
                  <w:r w:rsidRPr="001D2735">
                    <w:t>CSL</w:t>
                  </w:r>
                </w:p>
              </w:tc>
              <w:tc>
                <w:tcPr>
                  <w:tcW w:w="964" w:type="dxa"/>
                  <w:tcBorders>
                    <w:top w:val="single" w:sz="6" w:space="0" w:color="BFBFBF"/>
                    <w:bottom w:val="single" w:sz="6" w:space="0" w:color="BFBFBF"/>
                  </w:tcBorders>
                  <w:vAlign w:val="bottom"/>
                </w:tcPr>
                <w:p w:rsidR="00AC2131" w:rsidRDefault="00AC2131" w:rsidP="00AC2131">
                  <w:pPr>
                    <w:pStyle w:val="TableColumnHeading"/>
                  </w:pPr>
                  <w:r w:rsidRPr="001D2735">
                    <w:t>Simplot</w:t>
                  </w:r>
                </w:p>
              </w:tc>
              <w:tc>
                <w:tcPr>
                  <w:tcW w:w="964" w:type="dxa"/>
                  <w:tcBorders>
                    <w:top w:val="single" w:sz="6" w:space="0" w:color="BFBFBF"/>
                    <w:bottom w:val="single" w:sz="6" w:space="0" w:color="BFBFBF"/>
                  </w:tcBorders>
                  <w:vAlign w:val="bottom"/>
                </w:tcPr>
                <w:p w:rsidR="00AC2131" w:rsidRDefault="00AC2131" w:rsidP="00AC2131">
                  <w:pPr>
                    <w:pStyle w:val="TableColumnHeading"/>
                  </w:pPr>
                  <w:r w:rsidRPr="001D2735">
                    <w:t>Ford</w:t>
                  </w:r>
                </w:p>
              </w:tc>
              <w:tc>
                <w:tcPr>
                  <w:tcW w:w="964" w:type="dxa"/>
                  <w:tcBorders>
                    <w:top w:val="single" w:sz="6" w:space="0" w:color="BFBFBF"/>
                    <w:bottom w:val="single" w:sz="6" w:space="0" w:color="BFBFBF"/>
                  </w:tcBorders>
                  <w:vAlign w:val="bottom"/>
                </w:tcPr>
                <w:p w:rsidR="00AC2131" w:rsidRDefault="00AC2131" w:rsidP="00AC2131">
                  <w:pPr>
                    <w:pStyle w:val="TableColumnHeading"/>
                  </w:pPr>
                  <w:r w:rsidRPr="001D2735">
                    <w:t>GM Holden</w:t>
                  </w:r>
                  <w:r w:rsidRPr="004816FF">
                    <w:rPr>
                      <w:rStyle w:val="NoteLabel"/>
                    </w:rPr>
                    <w:t>a</w:t>
                  </w:r>
                </w:p>
              </w:tc>
              <w:tc>
                <w:tcPr>
                  <w:tcW w:w="964" w:type="dxa"/>
                  <w:tcBorders>
                    <w:top w:val="single" w:sz="6" w:space="0" w:color="BFBFBF"/>
                    <w:bottom w:val="single" w:sz="6" w:space="0" w:color="BFBFBF"/>
                  </w:tcBorders>
                  <w:vAlign w:val="bottom"/>
                </w:tcPr>
                <w:p w:rsidR="00AC2131" w:rsidRDefault="00AC2131" w:rsidP="00AC2131">
                  <w:pPr>
                    <w:pStyle w:val="TableColumnHeading"/>
                  </w:pPr>
                  <w:r w:rsidRPr="001D2735">
                    <w:t>Australian Paper</w:t>
                  </w:r>
                </w:p>
              </w:tc>
              <w:tc>
                <w:tcPr>
                  <w:tcW w:w="964" w:type="dxa"/>
                  <w:tcBorders>
                    <w:top w:val="single" w:sz="6" w:space="0" w:color="BFBFBF"/>
                    <w:bottom w:val="single" w:sz="6" w:space="0" w:color="BFBFBF"/>
                  </w:tcBorders>
                  <w:vAlign w:val="bottom"/>
                </w:tcPr>
                <w:p w:rsidR="00AC2131" w:rsidRDefault="00AC2131" w:rsidP="00AC2131">
                  <w:pPr>
                    <w:pStyle w:val="TableColumnHeading"/>
                  </w:pPr>
                  <w:r w:rsidRPr="001D2735">
                    <w:t>Alcoa</w:t>
                  </w:r>
                </w:p>
              </w:tc>
              <w:tc>
                <w:tcPr>
                  <w:tcW w:w="964" w:type="dxa"/>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28"/>
                  </w:pPr>
                  <w:r w:rsidRPr="001D2735">
                    <w:t>Toyota</w:t>
                  </w:r>
                </w:p>
              </w:tc>
            </w:tr>
            <w:tr w:rsidR="00AC2131" w:rsidTr="00AC2131">
              <w:tc>
                <w:tcPr>
                  <w:tcW w:w="1757" w:type="dxa"/>
                </w:tcPr>
                <w:p w:rsidR="00AC2131" w:rsidRDefault="00AC2131" w:rsidP="00AC2131">
                  <w:pPr>
                    <w:pStyle w:val="TableBodyText"/>
                    <w:spacing w:before="40"/>
                    <w:jc w:val="left"/>
                  </w:pPr>
                  <w:r w:rsidRPr="00E854FA">
                    <w:t>Funding objectives formalised and made public</w:t>
                  </w:r>
                </w:p>
              </w:tc>
              <w:tc>
                <w:tcPr>
                  <w:tcW w:w="964" w:type="dxa"/>
                </w:tcPr>
                <w:p w:rsidR="00AC2131" w:rsidRDefault="00AC2131" w:rsidP="00AC2131">
                  <w:pPr>
                    <w:pStyle w:val="TableBodyText"/>
                    <w:spacing w:before="40"/>
                  </w:pPr>
                  <w:r w:rsidRPr="00A60F10">
                    <w:rPr>
                      <w:sz w:val="28"/>
                      <w:szCs w:val="28"/>
                    </w:rPr>
                    <w:sym w:font="Wingdings" w:char="F0FC"/>
                  </w:r>
                </w:p>
              </w:tc>
              <w:tc>
                <w:tcPr>
                  <w:tcW w:w="964" w:type="dxa"/>
                </w:tcPr>
                <w:p w:rsidR="00AC2131" w:rsidRDefault="00AC2131" w:rsidP="00AC2131">
                  <w:pPr>
                    <w:pStyle w:val="TableBodyText"/>
                    <w:spacing w:before="40"/>
                  </w:pPr>
                  <w:r w:rsidRPr="00A60F10">
                    <w:rPr>
                      <w:sz w:val="28"/>
                      <w:szCs w:val="28"/>
                    </w:rPr>
                    <w:sym w:font="Wingdings" w:char="F0FC"/>
                  </w:r>
                </w:p>
              </w:tc>
              <w:tc>
                <w:tcPr>
                  <w:tcW w:w="964" w:type="dxa"/>
                </w:tcPr>
                <w:p w:rsidR="00AC2131" w:rsidRDefault="00AC2131" w:rsidP="00AC2131">
                  <w:pPr>
                    <w:pStyle w:val="TableBodyText"/>
                    <w:spacing w:before="40"/>
                  </w:pPr>
                  <w:r w:rsidRPr="00A60F10">
                    <w:rPr>
                      <w:sz w:val="28"/>
                      <w:szCs w:val="28"/>
                    </w:rPr>
                    <w:t>x</w:t>
                  </w:r>
                </w:p>
              </w:tc>
              <w:tc>
                <w:tcPr>
                  <w:tcW w:w="964" w:type="dxa"/>
                </w:tcPr>
                <w:p w:rsidR="00AC2131" w:rsidRDefault="00AC2131" w:rsidP="00AC2131">
                  <w:pPr>
                    <w:pStyle w:val="TableBodyText"/>
                    <w:spacing w:before="40"/>
                  </w:pPr>
                  <w:r w:rsidRPr="00A60F10">
                    <w:rPr>
                      <w:sz w:val="28"/>
                      <w:szCs w:val="28"/>
                    </w:rPr>
                    <w:sym w:font="Wingdings" w:char="F0FC"/>
                  </w:r>
                </w:p>
              </w:tc>
              <w:tc>
                <w:tcPr>
                  <w:tcW w:w="964" w:type="dxa"/>
                </w:tcPr>
                <w:p w:rsidR="00AC2131" w:rsidRDefault="00AC2131" w:rsidP="00AC2131">
                  <w:pPr>
                    <w:pStyle w:val="TableBodyText"/>
                    <w:spacing w:before="40"/>
                  </w:pPr>
                  <w:r w:rsidRPr="00A60F10">
                    <w:rPr>
                      <w:sz w:val="28"/>
                      <w:szCs w:val="28"/>
                    </w:rPr>
                    <w:sym w:font="Wingdings" w:char="F0FC"/>
                  </w:r>
                </w:p>
              </w:tc>
              <w:tc>
                <w:tcPr>
                  <w:tcW w:w="964" w:type="dxa"/>
                </w:tcPr>
                <w:p w:rsidR="00AC2131" w:rsidRDefault="00AC2131" w:rsidP="00AC2131">
                  <w:pPr>
                    <w:pStyle w:val="TableBodyText"/>
                    <w:spacing w:before="40"/>
                  </w:pPr>
                  <w:r w:rsidRPr="00A60F10">
                    <w:rPr>
                      <w:sz w:val="28"/>
                      <w:szCs w:val="28"/>
                    </w:rPr>
                    <w:sym w:font="Wingdings" w:char="F0FC"/>
                  </w:r>
                </w:p>
              </w:tc>
              <w:tc>
                <w:tcPr>
                  <w:tcW w:w="964" w:type="dxa"/>
                </w:tcPr>
                <w:p w:rsidR="00AC2131" w:rsidRDefault="00AC2131" w:rsidP="00AC2131">
                  <w:pPr>
                    <w:pStyle w:val="TableBodyText"/>
                    <w:spacing w:before="40"/>
                    <w:ind w:right="28"/>
                  </w:pPr>
                  <w:r w:rsidRPr="00A60F10">
                    <w:rPr>
                      <w:sz w:val="28"/>
                      <w:szCs w:val="28"/>
                    </w:rPr>
                    <w:t>x</w:t>
                  </w:r>
                </w:p>
              </w:tc>
            </w:tr>
            <w:tr w:rsidR="00AC2131" w:rsidTr="00AC2131">
              <w:tc>
                <w:tcPr>
                  <w:tcW w:w="1757" w:type="dxa"/>
                </w:tcPr>
                <w:p w:rsidR="00AC2131" w:rsidRDefault="00AC2131" w:rsidP="00AC2131">
                  <w:pPr>
                    <w:pStyle w:val="TableBodyText"/>
                    <w:spacing w:before="40"/>
                    <w:jc w:val="left"/>
                  </w:pPr>
                  <w:r w:rsidRPr="00E854FA">
                    <w:t>Formal selection/merit criteria developed and applied</w:t>
                  </w:r>
                </w:p>
              </w:tc>
              <w:tc>
                <w:tcPr>
                  <w:tcW w:w="964" w:type="dxa"/>
                </w:tcPr>
                <w:p w:rsidR="00AC2131" w:rsidRDefault="00AC2131" w:rsidP="00AC2131">
                  <w:pPr>
                    <w:pStyle w:val="TableBodyText"/>
                  </w:pPr>
                  <w:r w:rsidRPr="00A60F10">
                    <w:rPr>
                      <w:sz w:val="28"/>
                      <w:szCs w:val="28"/>
                    </w:rPr>
                    <w:t>x</w:t>
                  </w:r>
                </w:p>
              </w:tc>
              <w:tc>
                <w:tcPr>
                  <w:tcW w:w="964" w:type="dxa"/>
                </w:tcPr>
                <w:p w:rsidR="00AC2131" w:rsidRDefault="00AC2131" w:rsidP="00AC2131">
                  <w:pPr>
                    <w:pStyle w:val="TableBodyText"/>
                  </w:pPr>
                  <w:r w:rsidRPr="00A60F10">
                    <w:rPr>
                      <w:sz w:val="28"/>
                      <w:szCs w:val="28"/>
                    </w:rPr>
                    <w:t>x</w:t>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t>x</w:t>
                  </w:r>
                </w:p>
              </w:tc>
              <w:tc>
                <w:tcPr>
                  <w:tcW w:w="964" w:type="dxa"/>
                </w:tcPr>
                <w:p w:rsidR="00AC2131" w:rsidRDefault="00AC2131" w:rsidP="00AC2131">
                  <w:pPr>
                    <w:pStyle w:val="TableBodyText"/>
                  </w:pPr>
                  <w:r w:rsidRPr="00A60F10">
                    <w:rPr>
                      <w:sz w:val="28"/>
                      <w:szCs w:val="28"/>
                    </w:rPr>
                    <w:t>x</w:t>
                  </w:r>
                </w:p>
              </w:tc>
              <w:tc>
                <w:tcPr>
                  <w:tcW w:w="964" w:type="dxa"/>
                </w:tcPr>
                <w:p w:rsidR="00AC2131" w:rsidRDefault="00AC2131" w:rsidP="00AC2131">
                  <w:pPr>
                    <w:pStyle w:val="TableBodyText"/>
                    <w:ind w:right="28"/>
                  </w:pPr>
                  <w:r w:rsidRPr="00A60F10">
                    <w:rPr>
                      <w:sz w:val="28"/>
                      <w:szCs w:val="28"/>
                    </w:rPr>
                    <w:sym w:font="Wingdings" w:char="F0FC"/>
                  </w:r>
                </w:p>
              </w:tc>
            </w:tr>
            <w:tr w:rsidR="00AC2131" w:rsidTr="00AC2131">
              <w:tc>
                <w:tcPr>
                  <w:tcW w:w="1757" w:type="dxa"/>
                </w:tcPr>
                <w:p w:rsidR="00AC2131" w:rsidRDefault="00AC2131" w:rsidP="00AC2131">
                  <w:pPr>
                    <w:pStyle w:val="TableBodyText"/>
                    <w:spacing w:before="40"/>
                    <w:jc w:val="left"/>
                  </w:pPr>
                  <w:r w:rsidRPr="00E854FA">
                    <w:t>Financial plan provided by firm</w:t>
                  </w:r>
                  <w:r w:rsidRPr="004816FF">
                    <w:rPr>
                      <w:rStyle w:val="NoteLabel"/>
                    </w:rPr>
                    <w:t>b</w:t>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t>x</w:t>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ind w:right="28"/>
                  </w:pPr>
                  <w:r w:rsidRPr="00A60F10">
                    <w:rPr>
                      <w:sz w:val="28"/>
                      <w:szCs w:val="28"/>
                    </w:rPr>
                    <w:sym w:font="Wingdings" w:char="F0FC"/>
                  </w:r>
                </w:p>
              </w:tc>
            </w:tr>
            <w:tr w:rsidR="00AC2131" w:rsidTr="00AC2131">
              <w:tc>
                <w:tcPr>
                  <w:tcW w:w="1757" w:type="dxa"/>
                </w:tcPr>
                <w:p w:rsidR="00AC2131" w:rsidRDefault="00AC2131" w:rsidP="00AC2131">
                  <w:pPr>
                    <w:pStyle w:val="TableBodyText"/>
                    <w:spacing w:before="40"/>
                    <w:jc w:val="left"/>
                  </w:pPr>
                  <w:r w:rsidRPr="00E854FA">
                    <w:t>Key Performance Indicators established and monitored</w:t>
                  </w:r>
                  <w:r w:rsidRPr="004816FF">
                    <w:rPr>
                      <w:rStyle w:val="NoteLabel"/>
                    </w:rPr>
                    <w:t>c</w:t>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ind w:right="28"/>
                  </w:pPr>
                  <w:r w:rsidRPr="00A60F10">
                    <w:rPr>
                      <w:sz w:val="28"/>
                      <w:szCs w:val="28"/>
                    </w:rPr>
                    <w:sym w:font="Wingdings" w:char="F0FC"/>
                  </w:r>
                </w:p>
              </w:tc>
            </w:tr>
            <w:tr w:rsidR="00AC2131" w:rsidTr="00AC2131">
              <w:tc>
                <w:tcPr>
                  <w:tcW w:w="1757" w:type="dxa"/>
                </w:tcPr>
                <w:p w:rsidR="00AC2131" w:rsidRDefault="00AC2131" w:rsidP="00AC2131">
                  <w:pPr>
                    <w:pStyle w:val="TableBodyText"/>
                    <w:spacing w:before="40"/>
                    <w:jc w:val="left"/>
                  </w:pPr>
                  <w:r w:rsidRPr="00E854FA">
                    <w:t>Independent evaluation of outcomes</w:t>
                  </w:r>
                </w:p>
              </w:tc>
              <w:tc>
                <w:tcPr>
                  <w:tcW w:w="964" w:type="dxa"/>
                </w:tcPr>
                <w:p w:rsidR="00AC2131" w:rsidRDefault="00AC2131" w:rsidP="00AC2131">
                  <w:pPr>
                    <w:pStyle w:val="TableBodyText"/>
                  </w:pPr>
                  <w:r w:rsidRPr="00A60F10">
                    <w:rPr>
                      <w:sz w:val="28"/>
                      <w:szCs w:val="28"/>
                    </w:rPr>
                    <w:t>x</w:t>
                  </w:r>
                </w:p>
              </w:tc>
              <w:tc>
                <w:tcPr>
                  <w:tcW w:w="964" w:type="dxa"/>
                </w:tcPr>
                <w:p w:rsidR="00AC2131" w:rsidRDefault="00AC2131" w:rsidP="00AC2131">
                  <w:pPr>
                    <w:pStyle w:val="TableBodyText"/>
                  </w:pPr>
                  <w:r w:rsidRPr="00A60F10">
                    <w:rPr>
                      <w:sz w:val="28"/>
                      <w:szCs w:val="28"/>
                    </w:rPr>
                    <w:t>x</w:t>
                  </w:r>
                </w:p>
              </w:tc>
              <w:tc>
                <w:tcPr>
                  <w:tcW w:w="964" w:type="dxa"/>
                </w:tcPr>
                <w:p w:rsidR="00AC2131" w:rsidRDefault="00AC2131" w:rsidP="00AC2131">
                  <w:pPr>
                    <w:pStyle w:val="TableBodyText"/>
                  </w:pPr>
                  <w:r w:rsidRPr="00A60F10">
                    <w:rPr>
                      <w:sz w:val="28"/>
                      <w:szCs w:val="28"/>
                    </w:rPr>
                    <w:t>x</w:t>
                  </w:r>
                </w:p>
              </w:tc>
              <w:tc>
                <w:tcPr>
                  <w:tcW w:w="964" w:type="dxa"/>
                </w:tcPr>
                <w:p w:rsidR="00AC2131" w:rsidRDefault="00AC2131" w:rsidP="00AC2131">
                  <w:pPr>
                    <w:pStyle w:val="TableBodyText"/>
                  </w:pPr>
                  <w:r w:rsidRPr="00A60F10">
                    <w:rPr>
                      <w:sz w:val="28"/>
                      <w:szCs w:val="28"/>
                    </w:rPr>
                    <w:t>x</w:t>
                  </w:r>
                </w:p>
              </w:tc>
              <w:tc>
                <w:tcPr>
                  <w:tcW w:w="964" w:type="dxa"/>
                </w:tcPr>
                <w:p w:rsidR="00AC2131" w:rsidRDefault="00AC2131" w:rsidP="00AC2131">
                  <w:pPr>
                    <w:pStyle w:val="TableBodyText"/>
                  </w:pPr>
                  <w:r w:rsidRPr="00A60F10">
                    <w:rPr>
                      <w:sz w:val="28"/>
                      <w:szCs w:val="28"/>
                    </w:rPr>
                    <w:sym w:font="Wingdings" w:char="F0FC"/>
                  </w:r>
                </w:p>
              </w:tc>
              <w:tc>
                <w:tcPr>
                  <w:tcW w:w="964" w:type="dxa"/>
                </w:tcPr>
                <w:p w:rsidR="00AC2131" w:rsidRDefault="00AC2131" w:rsidP="00AC2131">
                  <w:pPr>
                    <w:pStyle w:val="TableBodyText"/>
                  </w:pPr>
                  <w:r w:rsidRPr="00A60F10">
                    <w:rPr>
                      <w:sz w:val="28"/>
                      <w:szCs w:val="28"/>
                    </w:rPr>
                    <w:t>x</w:t>
                  </w:r>
                </w:p>
              </w:tc>
              <w:tc>
                <w:tcPr>
                  <w:tcW w:w="964" w:type="dxa"/>
                </w:tcPr>
                <w:p w:rsidR="00AC2131" w:rsidRDefault="00AC2131" w:rsidP="00AC2131">
                  <w:pPr>
                    <w:pStyle w:val="TableBodyText"/>
                    <w:ind w:right="28"/>
                  </w:pPr>
                  <w:r w:rsidRPr="00A60F10">
                    <w:rPr>
                      <w:sz w:val="28"/>
                      <w:szCs w:val="28"/>
                    </w:rPr>
                    <w:t>x</w:t>
                  </w:r>
                </w:p>
              </w:tc>
            </w:tr>
            <w:tr w:rsidR="00AC2131" w:rsidTr="00AC2131">
              <w:tc>
                <w:tcPr>
                  <w:tcW w:w="1757" w:type="dxa"/>
                  <w:tcBorders>
                    <w:bottom w:val="single" w:sz="6" w:space="0" w:color="BFBFBF"/>
                  </w:tcBorders>
                  <w:shd w:val="clear" w:color="auto" w:fill="auto"/>
                </w:tcPr>
                <w:p w:rsidR="00AC2131" w:rsidRDefault="00AC2131" w:rsidP="00AC2131">
                  <w:pPr>
                    <w:pStyle w:val="TableBodyText"/>
                    <w:spacing w:before="40"/>
                    <w:jc w:val="left"/>
                  </w:pPr>
                  <w:r w:rsidRPr="00E854FA">
                    <w:t>Public reporting of impacts</w:t>
                  </w:r>
                </w:p>
              </w:tc>
              <w:tc>
                <w:tcPr>
                  <w:tcW w:w="964" w:type="dxa"/>
                  <w:tcBorders>
                    <w:bottom w:val="single" w:sz="6" w:space="0" w:color="BFBFBF"/>
                  </w:tcBorders>
                  <w:shd w:val="clear" w:color="auto" w:fill="auto"/>
                </w:tcPr>
                <w:p w:rsidR="00AC2131" w:rsidRDefault="00AC2131" w:rsidP="00AC2131">
                  <w:pPr>
                    <w:pStyle w:val="TableBodyText"/>
                  </w:pPr>
                  <w:r w:rsidRPr="00A60F10">
                    <w:rPr>
                      <w:sz w:val="28"/>
                      <w:szCs w:val="28"/>
                    </w:rPr>
                    <w:t>x</w:t>
                  </w:r>
                </w:p>
              </w:tc>
              <w:tc>
                <w:tcPr>
                  <w:tcW w:w="964" w:type="dxa"/>
                  <w:tcBorders>
                    <w:bottom w:val="single" w:sz="6" w:space="0" w:color="BFBFBF"/>
                  </w:tcBorders>
                </w:tcPr>
                <w:p w:rsidR="00AC2131" w:rsidRDefault="00AC2131" w:rsidP="00AC2131">
                  <w:pPr>
                    <w:pStyle w:val="TableBodyText"/>
                  </w:pPr>
                  <w:r w:rsidRPr="00A60F10">
                    <w:rPr>
                      <w:sz w:val="28"/>
                      <w:szCs w:val="28"/>
                    </w:rPr>
                    <w:t>x</w:t>
                  </w:r>
                </w:p>
              </w:tc>
              <w:tc>
                <w:tcPr>
                  <w:tcW w:w="964" w:type="dxa"/>
                  <w:tcBorders>
                    <w:bottom w:val="single" w:sz="6" w:space="0" w:color="BFBFBF"/>
                  </w:tcBorders>
                </w:tcPr>
                <w:p w:rsidR="00AC2131" w:rsidRDefault="00AC2131" w:rsidP="00AC2131">
                  <w:pPr>
                    <w:pStyle w:val="TableBodyText"/>
                  </w:pPr>
                  <w:r w:rsidRPr="00A60F10">
                    <w:rPr>
                      <w:sz w:val="28"/>
                      <w:szCs w:val="28"/>
                    </w:rPr>
                    <w:t>x</w:t>
                  </w:r>
                </w:p>
              </w:tc>
              <w:tc>
                <w:tcPr>
                  <w:tcW w:w="964" w:type="dxa"/>
                  <w:tcBorders>
                    <w:bottom w:val="single" w:sz="6" w:space="0" w:color="BFBFBF"/>
                  </w:tcBorders>
                </w:tcPr>
                <w:p w:rsidR="00AC2131" w:rsidRDefault="00AC2131" w:rsidP="00AC2131">
                  <w:pPr>
                    <w:pStyle w:val="TableBodyText"/>
                  </w:pPr>
                  <w:r w:rsidRPr="00A60F10">
                    <w:rPr>
                      <w:sz w:val="28"/>
                      <w:szCs w:val="28"/>
                    </w:rPr>
                    <w:t>x</w:t>
                  </w:r>
                </w:p>
              </w:tc>
              <w:tc>
                <w:tcPr>
                  <w:tcW w:w="964" w:type="dxa"/>
                  <w:tcBorders>
                    <w:bottom w:val="single" w:sz="6" w:space="0" w:color="BFBFBF"/>
                  </w:tcBorders>
                </w:tcPr>
                <w:p w:rsidR="00AC2131" w:rsidRDefault="00AC2131" w:rsidP="00AC2131">
                  <w:pPr>
                    <w:pStyle w:val="TableBodyText"/>
                  </w:pPr>
                  <w:r w:rsidRPr="00A60F10">
                    <w:rPr>
                      <w:sz w:val="28"/>
                      <w:szCs w:val="28"/>
                    </w:rPr>
                    <w:sym w:font="Wingdings" w:char="F0FC"/>
                  </w:r>
                </w:p>
              </w:tc>
              <w:tc>
                <w:tcPr>
                  <w:tcW w:w="964" w:type="dxa"/>
                  <w:tcBorders>
                    <w:bottom w:val="single" w:sz="6" w:space="0" w:color="BFBFBF"/>
                  </w:tcBorders>
                </w:tcPr>
                <w:p w:rsidR="00AC2131" w:rsidRDefault="00AC2131" w:rsidP="00AC2131">
                  <w:pPr>
                    <w:pStyle w:val="TableBodyText"/>
                  </w:pPr>
                  <w:r w:rsidRPr="00A60F10">
                    <w:rPr>
                      <w:sz w:val="28"/>
                      <w:szCs w:val="28"/>
                    </w:rPr>
                    <w:t>x</w:t>
                  </w:r>
                </w:p>
              </w:tc>
              <w:tc>
                <w:tcPr>
                  <w:tcW w:w="964" w:type="dxa"/>
                  <w:tcBorders>
                    <w:bottom w:val="single" w:sz="6" w:space="0" w:color="BFBFBF"/>
                  </w:tcBorders>
                  <w:shd w:val="clear" w:color="auto" w:fill="auto"/>
                </w:tcPr>
                <w:p w:rsidR="00AC2131" w:rsidRDefault="00AC2131" w:rsidP="00AC2131">
                  <w:pPr>
                    <w:pStyle w:val="TableBodyText"/>
                    <w:ind w:right="28"/>
                  </w:pPr>
                  <w:r w:rsidRPr="00A60F10">
                    <w:rPr>
                      <w:sz w:val="28"/>
                      <w:szCs w:val="28"/>
                    </w:rPr>
                    <w:t>x</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sidRPr="008E77FE">
              <w:rPr>
                <w:rStyle w:val="NoteLabel"/>
              </w:rPr>
              <w:t>a</w:t>
            </w:r>
            <w:r>
              <w:t xml:space="preserve"> The Commission derived the governance features of the GM Holden proposal from information published by the Australian Government at the time the co-investment was approved. As noted in the text, funding for that proposal was subsequently withdrawn. </w:t>
            </w:r>
            <w:r>
              <w:rPr>
                <w:rStyle w:val="NoteLabel"/>
              </w:rPr>
              <w:t>b</w:t>
            </w:r>
            <w:r>
              <w:t> The Commission has been unable to verify the scope of financial modelling undertaken and whether that modelling was independently audited</w:t>
            </w:r>
            <w:r w:rsidRPr="00EF46EA">
              <w:t xml:space="preserve">. </w:t>
            </w:r>
            <w:r w:rsidRPr="00EF46EA">
              <w:rPr>
                <w:rStyle w:val="NoteLabel"/>
              </w:rPr>
              <w:t>c</w:t>
            </w:r>
            <w:r w:rsidRPr="00EF46EA">
              <w:t> </w:t>
            </w:r>
            <w:r w:rsidRPr="00C27D8D">
              <w:t>The Commission has been unable to verify the detail with which the performance indicators have been developed and applied. Such information would be needed for there to be confidence in the soundness of the government outlay.</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TableBodyText"/>
              <w:keepNext w:val="0"/>
              <w:spacing w:before="80" w:after="0" w:line="220" w:lineRule="exact"/>
              <w:ind w:left="0" w:right="0"/>
              <w:jc w:val="both"/>
            </w:pPr>
            <w:r>
              <w:rPr>
                <w:i/>
              </w:rPr>
              <w:t>Source</w:t>
            </w:r>
            <w:r w:rsidRPr="00167F06">
              <w:t xml:space="preserve">: </w:t>
            </w:r>
            <w:r>
              <w:t>Information provided by the Department of Industry and Science (pers. comm., 20 May 2015); Australian Government (2012a).</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In articulating the benefits of such support, proponents of co-investment projects have often relied on estimates of </w:t>
      </w:r>
      <w:r w:rsidRPr="00466B89">
        <w:t>multiplier benefits</w:t>
      </w:r>
      <w:r>
        <w:t xml:space="preserve"> in terms of job creation, securing existing employment levels and the financial contribution of assisted industries to the broader economy (for example, the GM Holden case in table 3.1 and appendix C). But the use of multiplier analysis in this way is both flawed and misleading because it fails to consider alternative uses (the opportunity cost) of the resources employed in assisted activities (box 3.1).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3.</w:t>
            </w:r>
            <w:r>
              <w:rPr>
                <w:b w:val="0"/>
                <w:noProof/>
              </w:rPr>
              <w:t>1</w:t>
            </w:r>
            <w:r>
              <w:tab/>
              <w:t>Inappropriate use of multiplier analysis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The Commission recently highlighted the dangers of relying on multiplier analysis to inform policy decisions due to the restrictive assumptions which underpin its use (Gretton 2013).</w:t>
            </w:r>
          </w:p>
          <w:p w:rsidR="00AC2131" w:rsidRDefault="00AC2131" w:rsidP="00AC2131">
            <w:pPr>
              <w:pStyle w:val="Box"/>
            </w:pPr>
            <w:r>
              <w:t>In particular, the paper noted that while multiplier analysis recognises the inter-linkages between different parts of the economy, it assumes (among other things) that labour and capital had an unlimited supply, that prices do not change in response to changes in supply and demand, that there is a fixed input structure in each industry and that production technology (which determines the mix of inputs that can be used) is fixed. As a consequence of these assumptions, the use of multipliers fails to:</w:t>
            </w:r>
          </w:p>
          <w:p w:rsidR="00AC2131" w:rsidRDefault="00AC2131" w:rsidP="00AC2131">
            <w:pPr>
              <w:pStyle w:val="BoxListBullet"/>
              <w:spacing w:before="60" w:line="280" w:lineRule="atLeast"/>
            </w:pPr>
            <w:r>
              <w:t>recognise the mobility of employees to find alternative employment in other industries or regions (facilitated by changes in relative wage levels);</w:t>
            </w:r>
          </w:p>
          <w:p w:rsidR="00AC2131" w:rsidRDefault="00AC2131" w:rsidP="00AC2131">
            <w:pPr>
              <w:pStyle w:val="BoxListBullet"/>
              <w:spacing w:before="60" w:line="280" w:lineRule="atLeast"/>
            </w:pPr>
            <w:r>
              <w:t>account for an expansion in economic activity and incomes in other industries as resources are freed from the assisted activity; and</w:t>
            </w:r>
          </w:p>
          <w:p w:rsidR="00AC2131" w:rsidRDefault="00AC2131" w:rsidP="00AC2131">
            <w:pPr>
              <w:pStyle w:val="BoxListBullet"/>
              <w:spacing w:before="60" w:line="280" w:lineRule="atLeast"/>
            </w:pPr>
            <w:r>
              <w:t>quantify alternative uses of public funds.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pPr>
            <w:r>
              <w:rPr>
                <w:i/>
              </w:rPr>
              <w:t>Source</w:t>
            </w:r>
            <w:r>
              <w:t>: Gretton 2013.</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Accordingly, from a governance perspective, multiplier analysis ignores the threshold market failure test and, equally, also fails the net economic benefit test as it does not take account of the full cost of the project against the next best use of resources. The heavy reliance on firm-specific activity and employment objectives rather than full due diligence on proposals including market failure, additionality, business viability and net community benefit tests </w:t>
      </w:r>
      <w:r w:rsidRPr="00357F63">
        <w:t>partly reflect</w:t>
      </w:r>
      <w:r>
        <w:t>s</w:t>
      </w:r>
      <w:r w:rsidRPr="00357F63">
        <w:t xml:space="preserve"> the </w:t>
      </w:r>
      <w:r>
        <w:t>ad hoc,</w:t>
      </w:r>
      <w:r w:rsidRPr="00357F63">
        <w:t xml:space="preserve"> </w:t>
      </w:r>
      <w:r>
        <w:t xml:space="preserve">firm-specific </w:t>
      </w:r>
      <w:r w:rsidRPr="00357F63">
        <w:t xml:space="preserve">nature of </w:t>
      </w:r>
      <w:r>
        <w:t>co-investment</w:t>
      </w:r>
      <w:r w:rsidRPr="00357F63">
        <w:t xml:space="preserve"> </w:t>
      </w:r>
      <w:r>
        <w:t xml:space="preserve">grants. The information gap between full due diligence and what is actually considered raises the question of whether </w:t>
      </w:r>
      <w:r w:rsidRPr="00357F63">
        <w:t xml:space="preserve">or not </w:t>
      </w:r>
      <w:r>
        <w:t>a program is in the community’s best interest and whether there is an actual imperative to commit government funds.</w:t>
      </w:r>
    </w:p>
    <w:p w:rsidR="00AC2131" w:rsidRPr="00847ECF" w:rsidRDefault="00AC2131" w:rsidP="00AC2131">
      <w:pPr>
        <w:pStyle w:val="Heading4"/>
      </w:pPr>
      <w:r w:rsidRPr="00847ECF">
        <w:t>Co-investment outcomes have varied</w:t>
      </w:r>
    </w:p>
    <w:p w:rsidR="00AC2131" w:rsidRDefault="00AC2131" w:rsidP="00AC2131">
      <w:pPr>
        <w:pStyle w:val="BodyText"/>
      </w:pPr>
      <w:r>
        <w:t>Reflecting the opportunistic nature of individual support proposals, the progression and outcome of such proposals has varied (table 3.1). Some have not advanced past the consideration stage as in the recent SPC Ardmona (a subsidiary of Coca Cola Amatil) and Cadbury Australia (a subsidiary of Mondelez International) cases. With respect to SPC Ardmona, the Australian Government was asked to make a $25 million grant to restructure its food processing operation in Shepparton, Victoria. While the Victorian Government agreed to provide $22 million in funding, the Australian Government decided not to support the proposal on the grounds that the parent company had the financial resources to undertake the project independently. In making the announcement, the Prime Minister said:</w:t>
      </w:r>
    </w:p>
    <w:p w:rsidR="00AC2131" w:rsidRDefault="00AC2131" w:rsidP="00AC2131">
      <w:pPr>
        <w:pStyle w:val="Quote"/>
      </w:pPr>
      <w:r>
        <w:t>… in this case the Government would have to borrow money on behalf of the taxpayers to put into the proposal, where we believe Coca Cola, with a very, very healthy balance sheet is able to provide that money from within its own resources. (Abbott and Macfarlane 2014a)</w:t>
      </w:r>
    </w:p>
    <w:p w:rsidR="00AC2131" w:rsidRPr="002A00D1" w:rsidRDefault="00AC2131" w:rsidP="00AC2131">
      <w:pPr>
        <w:pStyle w:val="BodyText"/>
      </w:pPr>
      <w:r>
        <w:lastRenderedPageBreak/>
        <w:t>In the case of Cadbury Australia, its application for $16 million in Australian Government funding to support an upgrade of the Cadbury manufacturing plant in Tasmania was withdrawn. That action was based on the company not satisfying Australian Government funding criteria requiring commitments to increase production and export volumes to target levels (Robb 2015a). Importantly, these funding criteria are not a suitable proxy for the market failure, additionality, business viability and net community benefit tests and accordingly do not in their own right satisfy an economic test for government assistance.</w:t>
      </w:r>
    </w:p>
    <w:p w:rsidR="00AC2131" w:rsidRDefault="00AC2131" w:rsidP="00AC2131">
      <w:pPr>
        <w:pStyle w:val="BodyText"/>
      </w:pPr>
      <w:r>
        <w:t>Other proposals have been successful in securing a funding commitment, but because of changed circumstances funding was subsequently withdrawn. In the case of the $275 million offered to GM Holden by the Australian, Victorian and South Australian Governments, the assessment criteria relating to project viability in the absence of public support appears to have been satisfied through a threshold assurance by the firm that operations in Australia would continue over a predetermined period.</w:t>
      </w:r>
      <w:r>
        <w:rPr>
          <w:rStyle w:val="FootnoteReference"/>
        </w:rPr>
        <w:footnoteReference w:id="20"/>
      </w:r>
      <w:r>
        <w:t xml:space="preserve"> The promised co-investment funding was withdrawn when GM Holden announced it would cease vehicle production in 2017 (ahead of the proposal planning period ending 2022).</w:t>
      </w:r>
    </w:p>
    <w:p w:rsidR="00AC2131" w:rsidRPr="001E3E9A" w:rsidRDefault="00AC2131" w:rsidP="00AC2131">
      <w:pPr>
        <w:pStyle w:val="BodyText"/>
        <w:rPr>
          <w:u w:val="single"/>
        </w:rPr>
      </w:pPr>
      <w:r>
        <w:t>On the other hand, certain proposals were fully funded but outcomes have varied. Ford Australia received $34 million in co-investment assistance in 2012 and then subsequently announced its intention to cease vehicle manufacturing operations in 2016. Alcoa received co-investment funding of $40 million from the Australian government (and an undisclosed amount from the Victorian government) and ceased production in 2014. In the cases of a Simplot Australia project for a natural gas co-generation plant (to eliminate coal use) and an Australian Paper project to construct a de-inked pulp plant, funding has been provided and the projects are in operation</w:t>
      </w:r>
      <w:r w:rsidRPr="00E14D58">
        <w:rPr>
          <w:rStyle w:val="BodyTextChar"/>
        </w:rPr>
        <w:t>.</w:t>
      </w:r>
    </w:p>
    <w:p w:rsidR="00AC2131" w:rsidRDefault="00AC2131" w:rsidP="00AC2131">
      <w:pPr>
        <w:pStyle w:val="Heading4"/>
      </w:pPr>
      <w:r w:rsidRPr="009914F9">
        <w:t>Improving governance</w:t>
      </w:r>
      <w:r>
        <w:t xml:space="preserve"> of co-investment grants</w:t>
      </w:r>
    </w:p>
    <w:p w:rsidR="00AC2131" w:rsidRDefault="00AC2131" w:rsidP="00AC2131">
      <w:pPr>
        <w:pStyle w:val="BodyText"/>
      </w:pPr>
      <w:r>
        <w:t>Public evaluation of co-investment grants is hampered by a lack of transparency across projects. This lack of transparency is reinforced by the firm-specific commercial-in-confidence nature of negotiations for support and contractual</w:t>
      </w:r>
      <w:r w:rsidDel="00D102A0">
        <w:t xml:space="preserve"> </w:t>
      </w:r>
      <w:r>
        <w:t>arrangements between governments and the businesses involved. Public evaluation is also complicated by the fact that the Government is seeking to underwrite the operations of the firm (following public support) rather than achieve a financial return on the outlay (as would be the case with a conventional commercial investment).</w:t>
      </w:r>
    </w:p>
    <w:p w:rsidR="00AC2131" w:rsidRDefault="00AC2131" w:rsidP="00AC2131">
      <w:pPr>
        <w:pStyle w:val="BodyText"/>
      </w:pPr>
      <w:r>
        <w:t xml:space="preserve">Nevertheless, there is scope to improve the level of scrutiny and transparency of proposal assessments. As noted earlier, if viewed from a commercial investment perspective, the efficacy of government support would rely on conducting a minimum appropriate level of due diligence, operational governance and review. One practical benchmark is arguably the governance standards required by the regulator of superannuation entities (the Australian </w:t>
      </w:r>
      <w:r>
        <w:lastRenderedPageBreak/>
        <w:t xml:space="preserve">Prudential Regulation Authority (APRA)) to manage investments to meet investor-entities obligations (box 3.2). </w:t>
      </w:r>
    </w:p>
    <w:p w:rsidR="00AC2131" w:rsidRDefault="00AC2131" w:rsidP="00AC2131">
      <w:pPr>
        <w:pStyle w:val="BodyText"/>
      </w:pPr>
      <w:r>
        <w:t>Importantly, even complying with prudential standards for commercial investments, for a proposal to justify public funding, it would also need to be established that the support responded to an identifiable market failure and that any community-wide benefits outweighed the costs to the community. Further, that the additionality and business viability tests are also satisfied. Establishing the case that the assistance would underwrite the commercial success of a business activity (or avoid a commercial failure), while required, would not be sufficient in itself. Publication of the due diligence requirements for co-investment proposals would contribute to the transparency of such proposals and the objective assessment of outcomes, and the provision of such support more generally.</w:t>
      </w:r>
    </w:p>
    <w:p w:rsidR="00AC2131" w:rsidRPr="006D3876" w:rsidRDefault="00AC2131" w:rsidP="00AC2131">
      <w:pPr>
        <w:pStyle w:val="Heading2"/>
      </w:pPr>
      <w:r w:rsidRPr="006D3876">
        <w:t>3.</w:t>
      </w:r>
      <w:r>
        <w:rPr>
          <w:noProof/>
        </w:rPr>
        <w:t>3</w:t>
      </w:r>
      <w:r w:rsidRPr="006D3876">
        <w:tab/>
        <w:t>Governance processes that would help narrow the performance gaps</w:t>
      </w:r>
    </w:p>
    <w:p w:rsidR="00AC2131" w:rsidRDefault="00AC2131" w:rsidP="00AC2131">
      <w:pPr>
        <w:pStyle w:val="BodyText"/>
      </w:pPr>
      <w:r>
        <w:t>Aspects of current government programs providing direct support to firms highlight the scope to enhance governance arrangements and improve prospects for community-wide benefits. This is especially the case for discretionary support provided to individual firms under the guise of co-investment.</w:t>
      </w:r>
    </w:p>
    <w:p w:rsidR="00AC2131" w:rsidRPr="006D3876" w:rsidRDefault="00AC2131" w:rsidP="00AC2131">
      <w:pPr>
        <w:pStyle w:val="BodyText"/>
        <w:rPr>
          <w:spacing w:val="-2"/>
        </w:rPr>
      </w:pPr>
      <w:r w:rsidRPr="006D3876">
        <w:rPr>
          <w:spacing w:val="-2"/>
        </w:rPr>
        <w:t>Elements of good governance cover selection processes, performance requirements, evaluation, monitoring and reporting. The cornerstone of assessing the case for support should be a market failure test accompanied by evidence that any support would lead to an improvement in community-wide outcomes. Satisfying this twin threshold also requires due diligence to assess whether both the additionality and viability tests are likely to be met.</w:t>
      </w:r>
    </w:p>
    <w:p w:rsidR="00AC2131" w:rsidRDefault="00AC2131" w:rsidP="00AC2131">
      <w:pPr>
        <w:pStyle w:val="BodyText"/>
      </w:pPr>
      <w:r>
        <w:t>Where these requirements are satisfied, merit assessment criteria should be developed and rigorously applied that are consistent with specific funding objectives and take into account alternative funding vehicles available to potential recipients. Ex-post evaluation would help draw out lessons from previous funding outcomes to assist in the design of future support. Evaluations should be conducted at arms-length from the agency responsible for administration of the program and its funding.</w:t>
      </w:r>
    </w:p>
    <w:p w:rsidR="00AC2131" w:rsidRDefault="00AC2131" w:rsidP="00AC2131">
      <w:pPr>
        <w:pStyle w:val="BodyText"/>
      </w:pPr>
      <w:r>
        <w:t xml:space="preserve">Beyond co-investment, given the quantum and opportunity cost of general budgetary support and the breadth of programs used to assist firms, there would also be merit in a stocktake of governance processes across such assistance programs. Such a review would provide the opportunity to consolidate and inject contemporary best-practice across the currently disparate approaches to governance for assistance programs.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3.</w:t>
            </w:r>
            <w:r>
              <w:rPr>
                <w:b w:val="0"/>
                <w:noProof/>
              </w:rPr>
              <w:t>2</w:t>
            </w:r>
            <w:r>
              <w:tab/>
              <w:t>Investment governance for APRA supervised entities</w:t>
            </w:r>
          </w:p>
        </w:tc>
      </w:tr>
      <w:tr w:rsidR="00AC2131" w:rsidTr="00AC2131">
        <w:trPr>
          <w:cantSplit/>
          <w:trHeight w:val="11774"/>
        </w:trPr>
        <w:tc>
          <w:tcPr>
            <w:tcW w:w="8771" w:type="dxa"/>
            <w:tcBorders>
              <w:top w:val="nil"/>
              <w:left w:val="nil"/>
              <w:bottom w:val="nil"/>
              <w:right w:val="nil"/>
            </w:tcBorders>
            <w:shd w:val="clear" w:color="auto" w:fill="F2F2F2"/>
          </w:tcPr>
          <w:p w:rsidR="00AC2131" w:rsidRPr="00B25DB8" w:rsidRDefault="00AC2131" w:rsidP="00AC2131">
            <w:pPr>
              <w:pStyle w:val="Box"/>
            </w:pPr>
            <w:r w:rsidRPr="00B25DB8">
              <w:t>APRA guidance and prudential standards establish a requirement for registrable superannuation entity licensees to implement sound investment governance frameworks and to manage investments in a manner consistent with the interests of the beneficiaries. At a portfolio level</w:t>
            </w:r>
            <w:r>
              <w:t>,</w:t>
            </w:r>
            <w:r w:rsidRPr="00B25DB8">
              <w:t xml:space="preserve"> the investment governance framework must include investment strategies for each entity and for each investment option. </w:t>
            </w:r>
          </w:p>
          <w:p w:rsidR="00AC2131" w:rsidRDefault="00AC2131" w:rsidP="00AC2131">
            <w:pPr>
              <w:pStyle w:val="Box"/>
            </w:pPr>
            <w:r>
              <w:t>The investment governance framework promulgated by APRA requires that a licensee, inter alia:</w:t>
            </w:r>
          </w:p>
          <w:p w:rsidR="00AC2131" w:rsidRPr="00B25DB8" w:rsidRDefault="00AC2131" w:rsidP="00AC2131">
            <w:pPr>
              <w:pStyle w:val="BoxListBullet"/>
              <w:spacing w:before="60" w:line="280" w:lineRule="atLeast"/>
            </w:pPr>
            <w:r w:rsidRPr="00B25DB8">
              <w:t>formulate specific and measurable investment objectives for each investment option, including return and risk objectives (for example, to take account of possible differences in risk factors and target exposure to risk);</w:t>
            </w:r>
          </w:p>
          <w:p w:rsidR="00AC2131" w:rsidRPr="00B25DB8" w:rsidRDefault="00AC2131" w:rsidP="00AC2131">
            <w:pPr>
              <w:pStyle w:val="BoxListBullet"/>
              <w:spacing w:before="60" w:line="280" w:lineRule="atLeast"/>
            </w:pPr>
            <w:r w:rsidRPr="00B25DB8">
              <w:t>develop and implement an effective due diligence process for the selection of investments (for example, to ensure that the due diligence is commensurate with the nature and characteristics of an investment);</w:t>
            </w:r>
          </w:p>
          <w:p w:rsidR="00AC2131" w:rsidRPr="00B25DB8" w:rsidRDefault="00AC2131" w:rsidP="00AC2131">
            <w:pPr>
              <w:pStyle w:val="BoxListBullet"/>
              <w:spacing w:before="60" w:line="280" w:lineRule="atLeast"/>
            </w:pPr>
            <w:r w:rsidRPr="00B25DB8">
              <w:t>determine appropriate measures to monitor investment performance on an ongoing basis (for example, in relation to investment objectives relating to returns and risk); and</w:t>
            </w:r>
          </w:p>
          <w:p w:rsidR="00AC2131" w:rsidRPr="00B25DB8" w:rsidRDefault="00AC2131" w:rsidP="00AC2131">
            <w:pPr>
              <w:pStyle w:val="BoxListBullet"/>
              <w:spacing w:before="60" w:line="280" w:lineRule="atLeast"/>
            </w:pPr>
            <w:r w:rsidRPr="00B25DB8">
              <w:t xml:space="preserve">review the investment objectives and investment strategies on a periodic basis. </w:t>
            </w:r>
          </w:p>
          <w:p w:rsidR="00AC2131" w:rsidRPr="00B25DB8" w:rsidRDefault="00AC2131" w:rsidP="00AC2131">
            <w:pPr>
              <w:pStyle w:val="Box"/>
            </w:pPr>
            <w:r w:rsidRPr="00B25DB8">
              <w:t>At an individual investment level, APRA guidance requires that a licensee undertake the following minimal due diligence requirements for a proposed investment</w:t>
            </w:r>
            <w:r>
              <w:t>. These</w:t>
            </w:r>
            <w:r w:rsidRPr="00B25DB8">
              <w:t xml:space="preserve"> </w:t>
            </w:r>
            <w:r>
              <w:t xml:space="preserve">would </w:t>
            </w:r>
            <w:r w:rsidRPr="00B25DB8">
              <w:t>include, but not be limited to, an assessment of:</w:t>
            </w:r>
          </w:p>
          <w:p w:rsidR="00AC2131" w:rsidRPr="00704995" w:rsidRDefault="00AC2131" w:rsidP="00AC2131">
            <w:pPr>
              <w:pStyle w:val="BoxListBullet"/>
              <w:spacing w:before="60" w:line="280" w:lineRule="atLeast"/>
            </w:pPr>
            <w:r w:rsidRPr="00704995">
              <w:rPr>
                <w:rStyle w:val="A8"/>
              </w:rPr>
              <w:t xml:space="preserve">(a) </w:t>
            </w:r>
            <w:r w:rsidRPr="00704995">
              <w:t>the industry in which the investment operates and current market environment;</w:t>
            </w:r>
          </w:p>
          <w:p w:rsidR="00AC2131" w:rsidRPr="00704995" w:rsidRDefault="00AC2131" w:rsidP="00AC2131">
            <w:pPr>
              <w:pStyle w:val="BoxListBullet"/>
              <w:spacing w:before="60" w:line="280" w:lineRule="atLeast"/>
            </w:pPr>
            <w:r w:rsidRPr="00704995">
              <w:rPr>
                <w:rStyle w:val="A8"/>
              </w:rPr>
              <w:t xml:space="preserve">(b) </w:t>
            </w:r>
            <w:r w:rsidRPr="00704995">
              <w:t xml:space="preserve">the projected performance of the investment; </w:t>
            </w:r>
          </w:p>
          <w:p w:rsidR="00AC2131" w:rsidRPr="00704995" w:rsidRDefault="00AC2131" w:rsidP="00AC2131">
            <w:pPr>
              <w:pStyle w:val="BoxListBullet"/>
              <w:spacing w:before="60" w:line="280" w:lineRule="atLeast"/>
            </w:pPr>
            <w:r w:rsidRPr="00704995">
              <w:rPr>
                <w:rStyle w:val="A8"/>
              </w:rPr>
              <w:t xml:space="preserve">(c) </w:t>
            </w:r>
            <w:r w:rsidRPr="00704995">
              <w:t>the identified risk factors to which the investment is potentially exposed, including, where applicable, derivative risk exposure;</w:t>
            </w:r>
          </w:p>
          <w:p w:rsidR="00AC2131" w:rsidRPr="00704995" w:rsidRDefault="00AC2131" w:rsidP="00AC2131">
            <w:pPr>
              <w:pStyle w:val="BoxListBullet"/>
              <w:spacing w:before="60" w:line="280" w:lineRule="atLeast"/>
            </w:pPr>
            <w:r w:rsidRPr="00704995">
              <w:rPr>
                <w:rStyle w:val="A8"/>
              </w:rPr>
              <w:t xml:space="preserve">(d) </w:t>
            </w:r>
            <w:r w:rsidRPr="00704995">
              <w:t>the valuation methodology of the investment; and</w:t>
            </w:r>
          </w:p>
          <w:p w:rsidR="00AC2131" w:rsidRPr="00704995" w:rsidRDefault="00AC2131" w:rsidP="00AC2131">
            <w:pPr>
              <w:pStyle w:val="BoxListBullet"/>
              <w:spacing w:before="60" w:line="280" w:lineRule="atLeast"/>
            </w:pPr>
            <w:r w:rsidRPr="00704995">
              <w:rPr>
                <w:rStyle w:val="A8"/>
              </w:rPr>
              <w:t xml:space="preserve">(e) </w:t>
            </w:r>
            <w:r w:rsidRPr="00704995">
              <w:t>where the investment involves unlisted equity:</w:t>
            </w:r>
          </w:p>
          <w:p w:rsidR="00AC2131" w:rsidRDefault="00AC2131" w:rsidP="00AC2131">
            <w:pPr>
              <w:pStyle w:val="BoxListBullet2"/>
              <w:spacing w:before="60" w:line="280" w:lineRule="atLeast"/>
              <w:ind w:left="567" w:hanging="283"/>
            </w:pPr>
            <w:r>
              <w:rPr>
                <w:rStyle w:val="A8"/>
              </w:rPr>
              <w:t xml:space="preserve">(i) </w:t>
            </w:r>
            <w:r>
              <w:t>the ownership structure, including information regarding Board membership and senior management personnel;</w:t>
            </w:r>
          </w:p>
          <w:p w:rsidR="00AC2131" w:rsidRDefault="00AC2131" w:rsidP="00AC2131">
            <w:pPr>
              <w:pStyle w:val="BoxListBullet2"/>
              <w:spacing w:before="60" w:line="280" w:lineRule="atLeast"/>
              <w:ind w:left="567" w:hanging="283"/>
            </w:pPr>
            <w:r>
              <w:rPr>
                <w:rStyle w:val="A8"/>
              </w:rPr>
              <w:t xml:space="preserve">(ii) </w:t>
            </w:r>
            <w:r>
              <w:t>the business plan of the organisation;</w:t>
            </w:r>
          </w:p>
          <w:p w:rsidR="00AC2131" w:rsidRDefault="00AC2131" w:rsidP="00AC2131">
            <w:pPr>
              <w:pStyle w:val="BoxListBullet2"/>
              <w:spacing w:before="60" w:line="280" w:lineRule="atLeast"/>
              <w:ind w:left="567" w:hanging="283"/>
            </w:pPr>
            <w:r>
              <w:rPr>
                <w:rStyle w:val="A8"/>
              </w:rPr>
              <w:t xml:space="preserve">(iii) </w:t>
            </w:r>
            <w:r>
              <w:t>financial analysis of any private market for the investment; and</w:t>
            </w:r>
          </w:p>
          <w:p w:rsidR="00AC2131" w:rsidRPr="00EA43C3" w:rsidRDefault="00AC2131" w:rsidP="00AC2131">
            <w:pPr>
              <w:pStyle w:val="BoxListBullet2"/>
              <w:spacing w:before="60" w:line="280" w:lineRule="atLeast"/>
              <w:ind w:left="567" w:hanging="283"/>
              <w:rPr>
                <w:szCs w:val="24"/>
              </w:rPr>
            </w:pPr>
            <w:r w:rsidRPr="00540D88">
              <w:rPr>
                <w:rStyle w:val="A8"/>
              </w:rPr>
              <w:t xml:space="preserve">(iv) </w:t>
            </w:r>
            <w:r w:rsidRPr="000B3224">
              <w:t>any future commitments required and any lock-up periods, including any restrictions on the ability to exit the investment</w:t>
            </w:r>
            <w:r>
              <w:t>.</w:t>
            </w:r>
          </w:p>
          <w:p w:rsidR="00AC2131" w:rsidRPr="00B25DB8" w:rsidRDefault="00AC2131" w:rsidP="00AC2131">
            <w:pPr>
              <w:pStyle w:val="Box"/>
            </w:pPr>
            <w:r w:rsidRPr="00B25DB8">
              <w:t xml:space="preserve">APRA also articulates that the investment risk assessment as part of the requisite investment due diligence must involve: </w:t>
            </w:r>
          </w:p>
          <w:p w:rsidR="00AC2131" w:rsidRPr="00B25DB8" w:rsidRDefault="00AC2131" w:rsidP="00AC2131">
            <w:pPr>
              <w:pStyle w:val="BoxQuote"/>
            </w:pPr>
            <w:r w:rsidRPr="00B25DB8">
              <w:t>APRA expects that a prudent RSE licensee, when assessing either an investment or investment manager, would undertake a formal risk assessment that would typically include:</w:t>
            </w:r>
          </w:p>
          <w:p w:rsidR="00AC2131" w:rsidRDefault="00AC2131" w:rsidP="00AC2131">
            <w:pPr>
              <w:pStyle w:val="BoxQuoteBullet"/>
              <w:spacing w:line="260" w:lineRule="exact"/>
            </w:pPr>
            <w:r w:rsidRPr="00B25DB8">
              <w:rPr>
                <w:rStyle w:val="A8"/>
                <w:sz w:val="20"/>
              </w:rPr>
              <w:t xml:space="preserve">(a) </w:t>
            </w:r>
            <w:r w:rsidRPr="00B25DB8">
              <w:t>identification of risk factors;</w:t>
            </w:r>
          </w:p>
          <w:p w:rsidR="00AC2131" w:rsidRPr="00F12FBC" w:rsidRDefault="00AC2131" w:rsidP="00AC2131">
            <w:pPr>
              <w:pStyle w:val="BoxQuoteBullet"/>
              <w:spacing w:line="260" w:lineRule="exact"/>
              <w:rPr>
                <w:rFonts w:cs="Today SB"/>
                <w:color w:val="000000"/>
                <w:sz w:val="20"/>
              </w:rPr>
            </w:pPr>
            <w:r w:rsidRPr="00B25DB8">
              <w:rPr>
                <w:rStyle w:val="A8"/>
                <w:sz w:val="20"/>
              </w:rPr>
              <w:t xml:space="preserve">(b) </w:t>
            </w:r>
            <w:r w:rsidRPr="00B25DB8">
              <w:t>assessment and measurement of the identified risk factors, including the potential impact on the sources of investment return;</w:t>
            </w:r>
            <w:r w:rsidRPr="00B25DB8">
              <w:rPr>
                <w:rStyle w:val="A8"/>
                <w:sz w:val="20"/>
              </w:rPr>
              <w:t xml:space="preserve"> </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Continued"/>
            </w:pPr>
            <w:r>
              <w:t>(Continued next page)</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3.2</w:t>
            </w:r>
            <w:r>
              <w:tab/>
            </w:r>
            <w:r>
              <w:rPr>
                <w:b w:val="0"/>
                <w:sz w:val="18"/>
                <w:szCs w:val="18"/>
              </w:rPr>
              <w:t>(c</w:t>
            </w:r>
            <w:r w:rsidRPr="00236296">
              <w:rPr>
                <w:b w:val="0"/>
                <w:sz w:val="18"/>
                <w:szCs w:val="18"/>
              </w:rPr>
              <w:t>ontinued</w:t>
            </w:r>
            <w:r>
              <w:rPr>
                <w:b w:val="0"/>
                <w:sz w:val="18"/>
                <w:szCs w:val="18"/>
              </w:rPr>
              <w:t>)</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QuoteBullet"/>
              <w:spacing w:line="260" w:lineRule="exact"/>
              <w:rPr>
                <w:rStyle w:val="A8"/>
                <w:sz w:val="20"/>
              </w:rPr>
            </w:pPr>
            <w:r w:rsidRPr="00B25DB8">
              <w:rPr>
                <w:rStyle w:val="A8"/>
                <w:sz w:val="20"/>
              </w:rPr>
              <w:t xml:space="preserve">(c) </w:t>
            </w:r>
            <w:r w:rsidRPr="00B25DB8">
              <w:t>the risk mitigation strategies in place; and</w:t>
            </w:r>
            <w:r w:rsidRPr="00B25DB8">
              <w:rPr>
                <w:rStyle w:val="A8"/>
                <w:sz w:val="20"/>
              </w:rPr>
              <w:t xml:space="preserve"> </w:t>
            </w:r>
          </w:p>
          <w:p w:rsidR="00AC2131" w:rsidRPr="00B25DB8" w:rsidRDefault="00AC2131" w:rsidP="00AC2131">
            <w:pPr>
              <w:pStyle w:val="BoxQuoteBullet"/>
              <w:spacing w:line="260" w:lineRule="exact"/>
            </w:pPr>
            <w:r w:rsidRPr="00B25DB8">
              <w:rPr>
                <w:rStyle w:val="A8"/>
                <w:sz w:val="20"/>
              </w:rPr>
              <w:t xml:space="preserve">(d) </w:t>
            </w:r>
            <w:r w:rsidRPr="00B25DB8">
              <w:t>how the identified risks would be monitored and reported. (APRA 2013b, p.</w:t>
            </w:r>
            <w:r>
              <w:t> </w:t>
            </w:r>
            <w:r w:rsidRPr="00B25DB8">
              <w:t xml:space="preserve">20) </w:t>
            </w:r>
          </w:p>
          <w:p w:rsidR="00AC2131" w:rsidRPr="00B25DB8" w:rsidRDefault="00AC2131" w:rsidP="00AC2131">
            <w:pPr>
              <w:pStyle w:val="Box"/>
            </w:pPr>
            <w:r w:rsidRPr="00B25DB8">
              <w:rPr>
                <w:rStyle w:val="BoxChar"/>
              </w:rPr>
              <w:t>Finally, in relation to ongoing monitoring and review of an individual investment, APRA requires the following practices be followed:</w:t>
            </w:r>
          </w:p>
          <w:p w:rsidR="00AC2131" w:rsidRPr="00B25DB8" w:rsidRDefault="00AC2131" w:rsidP="00AC2131">
            <w:pPr>
              <w:pStyle w:val="BoxQuote"/>
            </w:pPr>
            <w:r w:rsidRPr="00B25DB8">
              <w:t>SPS 530 requires that the persons assessing the performance of each investment are operationally independent from those carrying out investment activities. This may be achieved through a separation of reporting lines. For example, where an RSE licensee undertakes in-house investment activities, performance assessment would be expected to be conducted by a separate business unit or division, such as the finance unit, rather than by persons involved in implementing and managing the investment activities.</w:t>
            </w:r>
          </w:p>
          <w:p w:rsidR="00AC2131" w:rsidRDefault="00AC2131" w:rsidP="00AC2131">
            <w:pPr>
              <w:pStyle w:val="BoxQuote"/>
              <w:rPr>
                <w:szCs w:val="24"/>
              </w:rPr>
            </w:pPr>
            <w:r w:rsidRPr="00B25DB8">
              <w:t>APRA expects that an RSE licensee’s monitoring process would use appropriate pre-determined benchmarks and/or performance measurement criteria to evaluate investments and investment managers. (APRA 2013b, p.</w:t>
            </w:r>
            <w:r>
              <w:t> </w:t>
            </w:r>
            <w:r w:rsidRPr="00B25DB8">
              <w:t>17)</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pPr>
            <w:r>
              <w:rPr>
                <w:i/>
              </w:rPr>
              <w:t>Sources</w:t>
            </w:r>
            <w:r>
              <w:t>: APRA (2013a, 2013b).</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sectPr w:rsidR="00AC2131" w:rsidSect="00AC2131">
          <w:headerReference w:type="even" r:id="rId38"/>
          <w:headerReference w:type="default" r:id="rId39"/>
          <w:footerReference w:type="even" r:id="rId40"/>
          <w:footerReference w:type="default" r:id="rId41"/>
          <w:type w:val="oddPage"/>
          <w:pgSz w:w="11907" w:h="16840" w:code="9"/>
          <w:pgMar w:top="1985" w:right="1304" w:bottom="1247" w:left="1814" w:header="1701" w:footer="397" w:gutter="0"/>
          <w:pgNumType w:chapSep="period"/>
          <w:cols w:space="720"/>
          <w:docGrid w:linePitch="326"/>
        </w:sectPr>
      </w:pPr>
    </w:p>
    <w:p w:rsidR="00AC2131" w:rsidRPr="00057312" w:rsidRDefault="00AC2131" w:rsidP="00AC2131">
      <w:pPr>
        <w:pStyle w:val="Heading1"/>
        <w:rPr>
          <w:lang w:val="en"/>
        </w:rPr>
      </w:pPr>
      <w:r>
        <w:rPr>
          <w:lang w:val="en"/>
        </w:rPr>
        <w:lastRenderedPageBreak/>
        <w:t>4</w:t>
      </w:r>
      <w:r>
        <w:rPr>
          <w:lang w:val="en"/>
        </w:rPr>
        <w:tab/>
        <w:t>Issues and concerns with preferential trade agreements</w:t>
      </w:r>
    </w:p>
    <w:p w:rsidR="00AC2131" w:rsidRDefault="00AC2131" w:rsidP="00AC2131">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t>Key points</w:t>
            </w:r>
          </w:p>
        </w:tc>
      </w:tr>
      <w:tr w:rsidR="00AC2131" w:rsidTr="00AC2131">
        <w:trPr>
          <w:cantSplit/>
        </w:trPr>
        <w:tc>
          <w:tcPr>
            <w:tcW w:w="8771" w:type="dxa"/>
            <w:tcBorders>
              <w:top w:val="nil"/>
              <w:left w:val="nil"/>
              <w:bottom w:val="nil"/>
              <w:right w:val="nil"/>
            </w:tcBorders>
            <w:shd w:val="clear" w:color="auto" w:fill="F2F2F2"/>
          </w:tcPr>
          <w:p w:rsidR="00AC2131" w:rsidRPr="001B7673" w:rsidRDefault="00AC2131" w:rsidP="00AC2131">
            <w:pPr>
              <w:pStyle w:val="BoxListBullet"/>
            </w:pPr>
            <w:r>
              <w:t>Diverse p</w:t>
            </w:r>
            <w:r w:rsidRPr="001B7673">
              <w:t>referential trading arrangements add to the complexity of international trade and investment, are costly and time consuming to negotiate and add to the compliance costs of firms and administrative costs of governments.</w:t>
            </w:r>
            <w:r>
              <w:t xml:space="preserve"> </w:t>
            </w:r>
          </w:p>
          <w:p w:rsidR="00AC2131" w:rsidRPr="001B7673" w:rsidRDefault="00AC2131" w:rsidP="00AC2131">
            <w:pPr>
              <w:pStyle w:val="BoxListBullet2"/>
            </w:pPr>
            <w:r>
              <w:t>C</w:t>
            </w:r>
            <w:r w:rsidRPr="001B7673">
              <w:t>omplexity stems in part from the diversity of approaches used to determine</w:t>
            </w:r>
            <w:r>
              <w:t xml:space="preserve"> and</w:t>
            </w:r>
            <w:r w:rsidRPr="001B7673">
              <w:t xml:space="preserve"> </w:t>
            </w:r>
            <w:r>
              <w:t>list</w:t>
            </w:r>
            <w:r w:rsidRPr="001B7673">
              <w:t xml:space="preserve"> origin </w:t>
            </w:r>
            <w:r>
              <w:t xml:space="preserve">requirements </w:t>
            </w:r>
            <w:r w:rsidRPr="001B7673">
              <w:t xml:space="preserve">(for </w:t>
            </w:r>
            <w:r>
              <w:t xml:space="preserve">both </w:t>
            </w:r>
            <w:r w:rsidRPr="001B7673">
              <w:t xml:space="preserve">goods and services) in Australia’s </w:t>
            </w:r>
            <w:r>
              <w:t>preferential</w:t>
            </w:r>
            <w:r w:rsidRPr="001B7673">
              <w:t xml:space="preserve"> agreements</w:t>
            </w:r>
            <w:r>
              <w:t xml:space="preserve"> — revealingly referred to as ‘denial of benefits’ for services and investment.</w:t>
            </w:r>
          </w:p>
          <w:p w:rsidR="00AC2131" w:rsidRDefault="00AC2131" w:rsidP="00AC2131">
            <w:pPr>
              <w:pStyle w:val="BoxListBullet2"/>
            </w:pPr>
            <w:r w:rsidRPr="001B7673">
              <w:t>Complexity also arises from the divergent market access and national treatment commitments for services activities across agreements.</w:t>
            </w:r>
          </w:p>
          <w:p w:rsidR="00AC2131" w:rsidRPr="001B7673" w:rsidRDefault="00AC2131" w:rsidP="00AC2131">
            <w:pPr>
              <w:pStyle w:val="BoxListBullet2"/>
            </w:pPr>
            <w:r>
              <w:t xml:space="preserve">The complexity and additional costs erode potential benefits of agreements. </w:t>
            </w:r>
          </w:p>
          <w:p w:rsidR="00AC2131" w:rsidRPr="001B7673" w:rsidRDefault="00AC2131" w:rsidP="00AC2131">
            <w:pPr>
              <w:pStyle w:val="BoxListBullet"/>
              <w:rPr>
                <w:szCs w:val="24"/>
              </w:rPr>
            </w:pPr>
            <w:r>
              <w:t xml:space="preserve">Some agreements entered into by Australia impose more stringent intellectual property protection than previously required. There is potential for future agreements to contain even more stringent levels of protection — imposing additional costs without commensurate benefits. </w:t>
            </w:r>
          </w:p>
          <w:p w:rsidR="00AC2131" w:rsidRDefault="00AC2131">
            <w:pPr>
              <w:pStyle w:val="BoxListBullet"/>
            </w:pPr>
            <w:r w:rsidRPr="001B7673">
              <w:t xml:space="preserve">The inclusion of investor-state dispute settlement (ISDS) provisions in Australia’s preferential trade </w:t>
            </w:r>
            <w:r>
              <w:t xml:space="preserve">agreements </w:t>
            </w:r>
            <w:r w:rsidRPr="001B7673">
              <w:t xml:space="preserve">and </w:t>
            </w:r>
            <w:r>
              <w:t xml:space="preserve">bilateral </w:t>
            </w:r>
            <w:r w:rsidRPr="001B7673">
              <w:t xml:space="preserve">investment </w:t>
            </w:r>
            <w:r>
              <w:t>treaties</w:t>
            </w:r>
            <w:r w:rsidRPr="001B7673">
              <w:t xml:space="preserve"> has become contentious</w:t>
            </w:r>
            <w:r>
              <w:t xml:space="preserve">. </w:t>
            </w:r>
          </w:p>
          <w:p w:rsidR="00AC2131" w:rsidRPr="00395FBB" w:rsidRDefault="00AC2131" w:rsidP="00AC2131">
            <w:pPr>
              <w:pStyle w:val="BoxListBullet2"/>
            </w:pPr>
            <w:r>
              <w:t xml:space="preserve">The provisions depart from national treatment principles by affording </w:t>
            </w:r>
            <w:r w:rsidRPr="00395FBB">
              <w:t xml:space="preserve">substantive appeal rights to foreigners </w:t>
            </w:r>
            <w:r>
              <w:t xml:space="preserve">not available to </w:t>
            </w:r>
            <w:r w:rsidRPr="00395FBB">
              <w:t>domestic firms</w:t>
            </w:r>
            <w:r>
              <w:t>, risk impeding domestic regulatory reform (</w:t>
            </w:r>
            <w:r w:rsidRPr="00395FBB">
              <w:t>regulatory chill</w:t>
            </w:r>
            <w:r>
              <w:t xml:space="preserve">), include </w:t>
            </w:r>
            <w:r w:rsidRPr="00395FBB">
              <w:t>safeguards and carve-outs</w:t>
            </w:r>
            <w:r>
              <w:t xml:space="preserve"> of uncertain effect,</w:t>
            </w:r>
            <w:r w:rsidRPr="00395FBB">
              <w:t xml:space="preserve"> lack transparency and </w:t>
            </w:r>
            <w:r>
              <w:t xml:space="preserve">have </w:t>
            </w:r>
            <w:r w:rsidRPr="00395FBB">
              <w:t>inadequate parliamentary scrutiny.</w:t>
            </w:r>
          </w:p>
          <w:p w:rsidR="00AC2131" w:rsidRPr="001944A9" w:rsidRDefault="00AC2131" w:rsidP="00AC2131">
            <w:pPr>
              <w:pStyle w:val="BoxListBullet2"/>
              <w:rPr>
                <w:szCs w:val="24"/>
              </w:rPr>
            </w:pPr>
            <w:r w:rsidRPr="001B7673">
              <w:t xml:space="preserve">ISDS provisions also expose </w:t>
            </w:r>
            <w:r>
              <w:t xml:space="preserve">the </w:t>
            </w:r>
            <w:r w:rsidRPr="001B7673">
              <w:t>Australia</w:t>
            </w:r>
            <w:r>
              <w:t>n</w:t>
            </w:r>
            <w:r w:rsidRPr="001B7673">
              <w:t xml:space="preserve"> </w:t>
            </w:r>
            <w:r>
              <w:t xml:space="preserve">Government </w:t>
            </w:r>
            <w:r w:rsidRPr="001B7673">
              <w:t>to potentially large unfunded contingent liabilities dependent on decisions by international arbitration tribunals.</w:t>
            </w:r>
          </w:p>
          <w:p w:rsidR="00AC2131" w:rsidRPr="001B7673" w:rsidRDefault="00AC2131" w:rsidP="00AC2131">
            <w:pPr>
              <w:pStyle w:val="BoxListBullet2"/>
              <w:rPr>
                <w:szCs w:val="24"/>
              </w:rPr>
            </w:pPr>
            <w:r>
              <w:t>Concerns are heightened by increases in t</w:t>
            </w:r>
            <w:r w:rsidRPr="001B7673">
              <w:t>he number of ISDS</w:t>
            </w:r>
            <w:r w:rsidRPr="00395FBB">
              <w:t xml:space="preserve"> cases</w:t>
            </w:r>
            <w:r>
              <w:t xml:space="preserve"> </w:t>
            </w:r>
            <w:r w:rsidRPr="00395FBB">
              <w:t>internationally</w:t>
            </w:r>
            <w:r>
              <w:t>.</w:t>
            </w:r>
          </w:p>
          <w:p w:rsidR="00AC2131" w:rsidRPr="00F62A42" w:rsidRDefault="00AC2131">
            <w:pPr>
              <w:pStyle w:val="BoxListBullet"/>
              <w:rPr>
                <w:szCs w:val="24"/>
              </w:rPr>
            </w:pPr>
            <w:r>
              <w:t>Against these concerns, it is not clear ISDS provisions respond to a demonstrable market failure or have been associated with the fostering of foreign investment flows, particularly</w:t>
            </w:r>
            <w:r w:rsidRPr="001944A9">
              <w:t xml:space="preserve"> between </w:t>
            </w:r>
            <w:r>
              <w:t>advanced economies</w:t>
            </w:r>
            <w:r w:rsidRPr="001944A9">
              <w:t xml:space="preserve"> with transparent and </w:t>
            </w:r>
            <w:r>
              <w:t xml:space="preserve">well-functioning </w:t>
            </w:r>
            <w:r w:rsidRPr="001944A9">
              <w:t xml:space="preserve">legal systems. </w:t>
            </w:r>
          </w:p>
          <w:p w:rsidR="00AC2131" w:rsidRDefault="00AC2131" w:rsidP="00AC2131">
            <w:pPr>
              <w:pStyle w:val="BoxListBullet"/>
              <w:rPr>
                <w:szCs w:val="24"/>
              </w:rPr>
            </w:pPr>
            <w:r>
              <w:t xml:space="preserve">Preferential bilateral and regional trade agreements are complex and can affect wide sections of the economy. </w:t>
            </w:r>
          </w:p>
          <w:p w:rsidR="00AC2131" w:rsidRDefault="00AC2131" w:rsidP="00AC2131">
            <w:pPr>
              <w:pStyle w:val="BoxListBullet2"/>
              <w:rPr>
                <w:szCs w:val="24"/>
              </w:rPr>
            </w:pPr>
            <w:r>
              <w:t xml:space="preserve">However, current processes do not provide a sufficient understanding of the likely scale or scope of the net impacts of negotiated agreements. Full assessments of alternative reform strategies are also not provided. </w:t>
            </w:r>
          </w:p>
          <w:p w:rsidR="00AC2131" w:rsidRDefault="00AC2131" w:rsidP="00AC2131">
            <w:pPr>
              <w:pStyle w:val="BoxListBullet"/>
              <w:rPr>
                <w:szCs w:val="24"/>
              </w:rPr>
            </w:pPr>
            <w:r>
              <w:t>The complexity of bilateral and regional trade agreements and the potential for provisions to impose net costs on the community presents a compelling case for the negotiated text of an agreement to be comprehensively analysed well before signing.</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lastRenderedPageBreak/>
        <w:t>Proponents of preferential bilateral and regional trade agreements argue that such arrangements are a pragmatic way of improving market access opportunities for Australian exporters in the absence of multilateral reform. Active participation is said to be needed to avoid placing Australian exporters at a disadvantage to competitors that are parties to such agreements. In practice, however, the give-and-take nature of preferential agreement negotiations means that certain domestic industries are favoured over others, imposing costs on the domestic economy which are only understood transparently through a comprehensive independent evaluation of each agreement.</w:t>
      </w:r>
      <w:r>
        <w:rPr>
          <w:rStyle w:val="FootnoteReference"/>
        </w:rPr>
        <w:footnoteReference w:id="21"/>
      </w:r>
    </w:p>
    <w:p w:rsidR="00AC2131" w:rsidRDefault="00AC2131" w:rsidP="00AC2131">
      <w:pPr>
        <w:pStyle w:val="BodyText"/>
      </w:pPr>
      <w:r>
        <w:t>Accordingly, preferential trade agreements are not as effective in improving national welfare as unilateral action to reduce or eliminate trade barriers (primarily through greater domestic competition), or multilateral trade and investment liberalisation (PC 2010a). Preferential agreements also add to the complexity of international trade and investment, are costly and time consuming to negotiate and add to the compliance costs of firms (in the evaluation and utilisation of preferences) and administrative costs of governments. In the words of the Australian Chamber of Commerce and Industry (ACCI):</w:t>
      </w:r>
    </w:p>
    <w:p w:rsidR="00AC2131" w:rsidRDefault="00AC2131" w:rsidP="00AC2131">
      <w:pPr>
        <w:pStyle w:val="Quote"/>
      </w:pPr>
      <w:r>
        <w:t>When the hundreds of trade agreements across the globe are negotiated in aggregate by nations a complex barrier of administrative obligations and procedures emerges, which traders must understand and overcome for each specific agreement in order to obtain benefit. These agreement by agreement administrative barriers are an added cost to business, add risk for delay of goods should documentation and other requirements be addressed incorrectly, and ultimately risk reducing the streamlining of international trade. (ACCI 2013, p. iii)</w:t>
      </w:r>
    </w:p>
    <w:p w:rsidR="00AC2131" w:rsidRDefault="00AC2131" w:rsidP="00AC2131">
      <w:pPr>
        <w:pStyle w:val="BodyText"/>
      </w:pPr>
      <w:r>
        <w:t xml:space="preserve">The Commission’s report on Bilateral and Regional Trade Agreements (PC 2010a) noted the importance of pursuing domestic reforms (including unilateral tariff reductions) as a preferable means of raising national welfare compared to preferential or discriminatory trade agreements. Nevertheless, Australia has actively pursued such preferential approaches in recent times. The resulting agreements are complex. Considered analysis of individual agreements is beyond the scope of this review. The impacts of those agreements therefore remain unclear and highlight the need for rigorous evaluation of the negotiated text prior to their signing. In this edition of the </w:t>
      </w:r>
      <w:r w:rsidRPr="00057312">
        <w:rPr>
          <w:i/>
        </w:rPr>
        <w:t>Trade &amp; Assistance Review</w:t>
      </w:r>
      <w:r>
        <w:t>, the Commission draws attention to several material areas of concern including:</w:t>
      </w:r>
    </w:p>
    <w:p w:rsidR="00AC2131" w:rsidRDefault="00AC2131" w:rsidP="00AC2131">
      <w:pPr>
        <w:pStyle w:val="ListBullet"/>
      </w:pPr>
      <w:r>
        <w:t>differing rules of origin for merchandise and services trade and investment</w:t>
      </w:r>
    </w:p>
    <w:p w:rsidR="00AC2131" w:rsidRPr="00EE01D1" w:rsidRDefault="00AC2131" w:rsidP="00AC2131">
      <w:pPr>
        <w:pStyle w:val="ListBullet"/>
      </w:pPr>
      <w:r>
        <w:t xml:space="preserve">variable coverage of services across agreements and the </w:t>
      </w:r>
      <w:r w:rsidRPr="00EE01D1">
        <w:t>likely effectiveness of services sector liberalisation</w:t>
      </w:r>
    </w:p>
    <w:p w:rsidR="00AC2131" w:rsidRDefault="00AC2131" w:rsidP="00AC2131">
      <w:pPr>
        <w:pStyle w:val="ListBullet"/>
      </w:pPr>
      <w:r>
        <w:t xml:space="preserve">likely costs of more stringent intellectual property rights protection </w:t>
      </w:r>
    </w:p>
    <w:p w:rsidR="00AC2131" w:rsidRDefault="00AC2131" w:rsidP="00AC2131">
      <w:pPr>
        <w:pStyle w:val="ListBullet"/>
      </w:pPr>
      <w:r>
        <w:t>concerns about the variability, effectiveness and unfunded liability posed by investor-state dispute settlement provisions</w:t>
      </w:r>
    </w:p>
    <w:p w:rsidR="00AC2131" w:rsidRPr="00DF7DA4" w:rsidRDefault="00AC2131" w:rsidP="00AC2131">
      <w:pPr>
        <w:pStyle w:val="ListBullet"/>
      </w:pPr>
      <w:r>
        <w:t>the evaluation of the negotiated text of agreements.</w:t>
      </w:r>
    </w:p>
    <w:p w:rsidR="00AC2131" w:rsidRDefault="00AC2131" w:rsidP="00AC2131">
      <w:pPr>
        <w:pStyle w:val="Heading2"/>
        <w:rPr>
          <w:lang w:val="en"/>
        </w:rPr>
      </w:pPr>
      <w:r>
        <w:rPr>
          <w:lang w:val="en"/>
        </w:rPr>
        <w:lastRenderedPageBreak/>
        <w:t>4.</w:t>
      </w:r>
      <w:r>
        <w:rPr>
          <w:noProof/>
          <w:lang w:val="en"/>
        </w:rPr>
        <w:t>1</w:t>
      </w:r>
      <w:r w:rsidRPr="009C7CF8">
        <w:rPr>
          <w:lang w:val="en"/>
        </w:rPr>
        <w:tab/>
      </w:r>
      <w:r>
        <w:rPr>
          <w:lang w:val="en"/>
        </w:rPr>
        <w:t>Rules of origin</w:t>
      </w:r>
    </w:p>
    <w:p w:rsidR="00AC2131" w:rsidRDefault="00AC2131" w:rsidP="00AC2131">
      <w:pPr>
        <w:pStyle w:val="BodyText"/>
      </w:pPr>
      <w:r>
        <w:rPr>
          <w:lang w:val="en"/>
        </w:rPr>
        <w:t>Rules of origin are incorporated in preferential trade agreements in order to restrict access to tariff and other preferences to goods and services deemed to originate from parties to the agreement. Without such rules there would be an incentive to import goods or services from a third country into one of the member countries in order to take advantage of the negotiated preferences offered by the agreement (PC 2004a, 2010a). Origin rules pertaining to merchandise trade typically relate to the sourcing or nature of inputs to production, whereas origin rules (termed denial of benefits) pertaining to services relate to location of substantial business activity,</w:t>
      </w:r>
      <w:r w:rsidRPr="00102338">
        <w:rPr>
          <w:lang w:val="en"/>
        </w:rPr>
        <w:t xml:space="preserve"> </w:t>
      </w:r>
      <w:r>
        <w:rPr>
          <w:lang w:val="en"/>
        </w:rPr>
        <w:t xml:space="preserve">ownership and control. Importantly, rules of origin are treated as non-tariff barriers to trade in the UNCTAD (2013) and by the WTO. While it </w:t>
      </w:r>
      <w:r>
        <w:t>is difficult to gauge the protective effect of these rules in Australia’s preferential agreements, origin rules are negotiated around the commercial interests of firms. This implies that the rules play at least some contemporaneous role in protecting domestic industries from import competition and affording a ‘margin of preference’ to partner suppliers.</w:t>
      </w:r>
    </w:p>
    <w:p w:rsidR="00AC2131" w:rsidRDefault="00AC2131" w:rsidP="00AC2131">
      <w:pPr>
        <w:pStyle w:val="Heading3"/>
        <w:rPr>
          <w:lang w:val="en"/>
        </w:rPr>
      </w:pPr>
      <w:r>
        <w:rPr>
          <w:lang w:val="en"/>
        </w:rPr>
        <w:t>Merchandise trade</w:t>
      </w:r>
    </w:p>
    <w:p w:rsidR="00AC2131" w:rsidRDefault="00AC2131" w:rsidP="00AC2131">
      <w:pPr>
        <w:pStyle w:val="BodyText"/>
        <w:rPr>
          <w:lang w:val="en"/>
        </w:rPr>
      </w:pPr>
      <w:r>
        <w:rPr>
          <w:lang w:val="en"/>
        </w:rPr>
        <w:t>Australia’s preferential trade agreements contain a range of approaches to conferring origin that businesses must consider when sourcing inputs to attain concessional tariff rates for merchandise trade.</w:t>
      </w:r>
      <w:r>
        <w:rPr>
          <w:rStyle w:val="FootnoteReference"/>
          <w:lang w:val="en"/>
        </w:rPr>
        <w:footnoteReference w:id="22"/>
      </w:r>
      <w:r>
        <w:rPr>
          <w:lang w:val="en"/>
        </w:rPr>
        <w:t xml:space="preserve"> Typically, a good is eligible for preferential tariff treatment if:</w:t>
      </w:r>
    </w:p>
    <w:p w:rsidR="00AC2131" w:rsidRDefault="00AC2131" w:rsidP="00AC2131">
      <w:pPr>
        <w:pStyle w:val="ListBullet"/>
        <w:rPr>
          <w:lang w:val="en"/>
        </w:rPr>
      </w:pPr>
      <w:r>
        <w:rPr>
          <w:lang w:val="en"/>
        </w:rPr>
        <w:t>the good is wholly obtained in the territory of one or both of the Parties</w:t>
      </w:r>
      <w:r>
        <w:rPr>
          <w:rStyle w:val="FootnoteReference"/>
          <w:lang w:val="en"/>
        </w:rPr>
        <w:footnoteReference w:id="23"/>
      </w:r>
    </w:p>
    <w:p w:rsidR="00AC2131" w:rsidRDefault="00AC2131" w:rsidP="00AC2131">
      <w:pPr>
        <w:pStyle w:val="ListBullet"/>
        <w:rPr>
          <w:lang w:val="en"/>
        </w:rPr>
      </w:pPr>
      <w:r>
        <w:rPr>
          <w:lang w:val="en"/>
        </w:rPr>
        <w:t>the good is produced entirely in the territory of one or both of the Parties, exclusively from originating materials</w:t>
      </w:r>
    </w:p>
    <w:p w:rsidR="00AC2131" w:rsidRDefault="00AC2131" w:rsidP="00AC2131">
      <w:pPr>
        <w:pStyle w:val="ListBullet"/>
        <w:rPr>
          <w:lang w:val="en"/>
        </w:rPr>
      </w:pPr>
      <w:r>
        <w:rPr>
          <w:lang w:val="en"/>
        </w:rPr>
        <w:t>the good satisfies all applicable requirements of the Product Specific Rules schedule where the good includes non-originating materials.</w:t>
      </w:r>
    </w:p>
    <w:p w:rsidR="00AC2131" w:rsidRPr="008833E8" w:rsidRDefault="00AC2131">
      <w:pPr>
        <w:pStyle w:val="BodyText"/>
      </w:pPr>
      <w:r>
        <w:rPr>
          <w:lang w:val="en"/>
        </w:rPr>
        <w:t xml:space="preserve">Where a good is designated not to be ‘wholly obtained’ or ‘produced entirely locally’, the main approaches used for determining origin of merchandise trade are shown in box 4.1. The approaches described are variously applied individually or in combination to determine origin in Australia’s preferential agreements. The application of the approaches varies between products within agreements and, for individual products, between agreements. </w:t>
      </w:r>
    </w:p>
    <w:p w:rsidR="00AC2131" w:rsidRDefault="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4.</w:t>
            </w:r>
            <w:r>
              <w:rPr>
                <w:b w:val="0"/>
                <w:noProof/>
              </w:rPr>
              <w:t>1</w:t>
            </w:r>
            <w:r>
              <w:tab/>
              <w:t>Approaches for determining origin of non-originating materials used in merchandise trade in Australia’s preferential trading agreements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There are three common tests used for determining origin for goods that contain non-originating materials:</w:t>
            </w:r>
          </w:p>
          <w:p w:rsidR="00AC2131" w:rsidRDefault="00AC2131" w:rsidP="00AC2131">
            <w:pPr>
              <w:pStyle w:val="BoxListBullet"/>
              <w:rPr>
                <w:szCs w:val="24"/>
              </w:rPr>
            </w:pPr>
            <w:r>
              <w:t>The change in tariff classification (CTC) test — a good is transformed if there is a change in tariff classification, using the Harmonized Commodity Description and Coding System (HS). The CTC method can be applied at the HS 8</w:t>
            </w:r>
            <w:r>
              <w:noBreakHyphen/>
              <w:t>digit, HS 6</w:t>
            </w:r>
            <w:r>
              <w:noBreakHyphen/>
              <w:t>digit, HS 4</w:t>
            </w:r>
            <w:r>
              <w:noBreakHyphen/>
              <w:t>digit or HS 2</w:t>
            </w:r>
            <w:r>
              <w:noBreakHyphen/>
              <w:t>digit level of classification.</w:t>
            </w:r>
          </w:p>
          <w:p w:rsidR="00AC2131" w:rsidRDefault="00AC2131" w:rsidP="00AC2131">
            <w:pPr>
              <w:pStyle w:val="BoxListBullet"/>
              <w:rPr>
                <w:szCs w:val="24"/>
              </w:rPr>
            </w:pPr>
            <w:r>
              <w:t xml:space="preserve">The specified process test — a good is transformed if it has undergone specified manufacturing or processing operations which are deemed to confer origin of the country in which they were carried out. </w:t>
            </w:r>
          </w:p>
          <w:p w:rsidR="00AC2131" w:rsidRDefault="00AC2131" w:rsidP="00AC2131">
            <w:pPr>
              <w:pStyle w:val="BoxListBullet"/>
              <w:rPr>
                <w:szCs w:val="24"/>
              </w:rPr>
            </w:pPr>
            <w:r>
              <w:t>The regional value content (RVC) test — a good is transformed if a threshold percentage value of locally or regionally produced inputs is reached in the exporting country.</w:t>
            </w:r>
          </w:p>
          <w:p w:rsidR="00AC2131" w:rsidRDefault="00AC2131" w:rsidP="00AC2131">
            <w:pPr>
              <w:pStyle w:val="Box"/>
            </w:pPr>
            <w:r>
              <w:t>These rules are variously applied individually or in combination with one another. In some agreements, such as the ASEAN and Malaysia agreements, a choice between rules is afforded.</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pPr>
            <w:r>
              <w:rPr>
                <w:i/>
              </w:rPr>
              <w:t>Source</w:t>
            </w:r>
            <w:r w:rsidRPr="00167F06">
              <w:t xml:space="preserve">: </w:t>
            </w:r>
            <w:r>
              <w:t>PC (2010a, p. 79).</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A7775C" w:rsidRDefault="00AC2131" w:rsidP="00AC2131">
      <w:pPr>
        <w:pStyle w:val="BodyText"/>
        <w:rPr>
          <w:lang w:val="en"/>
        </w:rPr>
      </w:pPr>
      <w:r>
        <w:rPr>
          <w:lang w:val="en"/>
        </w:rPr>
        <w:t>This adds to the complexity and costs facing businesses when sourcing inputs to attain preferential treatment.</w:t>
      </w:r>
      <w:r>
        <w:rPr>
          <w:rStyle w:val="FootnoteReference"/>
          <w:lang w:val="en"/>
        </w:rPr>
        <w:footnoteReference w:id="24"/>
      </w:r>
      <w:r>
        <w:rPr>
          <w:lang w:val="en"/>
        </w:rPr>
        <w:t xml:space="preserve"> ACCI recently noted:</w:t>
      </w:r>
    </w:p>
    <w:p w:rsidR="00AC2131" w:rsidRPr="008833E8" w:rsidRDefault="00AC2131" w:rsidP="00AC2131">
      <w:pPr>
        <w:pStyle w:val="Quote"/>
      </w:pPr>
      <w:r>
        <w:t>Preferential agreements, while potentially providing ‘freer’ trade between the agreement parties, are specifically designed to be restricted to the parties and so exclude non-parties by way of complex ‘rules of origin’. (ACCI 2013, p. iii)</w:t>
      </w:r>
    </w:p>
    <w:p w:rsidR="00AC2131" w:rsidRDefault="00AC2131" w:rsidP="00AC2131">
      <w:pPr>
        <w:pStyle w:val="BodyText"/>
      </w:pPr>
      <w:r>
        <w:t>Moreover, the administrative features of particular origin rules can add to business costs in unexpected ways. A specific example is provided by the ASEAN-Australia-New Zealand agreement (AANZFTA) which was recently amended because:</w:t>
      </w:r>
    </w:p>
    <w:p w:rsidR="00AC2131" w:rsidRPr="007665E7" w:rsidRDefault="00AC2131" w:rsidP="00AC2131">
      <w:pPr>
        <w:pStyle w:val="Quote"/>
      </w:pPr>
      <w:r>
        <w:t>Australian industry came to Government with concerns that a number of administrative requirements in AANZFTA discouraged use because they required some businesses to provide commercially sensitive information. The Protocol addresses these concerns and modernises the presentation of the Agreement’s Rules of Origin. This should reduce costs and make doing business under AANZFTA easier. (Robb 2014e)</w:t>
      </w:r>
    </w:p>
    <w:p w:rsidR="00AC2131" w:rsidRPr="00305E8C" w:rsidRDefault="00AC2131" w:rsidP="00AC2131">
      <w:pPr>
        <w:pStyle w:val="BodyText"/>
      </w:pPr>
      <w:r>
        <w:rPr>
          <w:lang w:val="en"/>
        </w:rPr>
        <w:t xml:space="preserve">Recent studies have suggested that the cost associated with origin requirements could be as high as 25 per cent of the value of goods trade within ASEAN (APEC 2009, p. 67). </w:t>
      </w:r>
    </w:p>
    <w:p w:rsidR="00AC2131" w:rsidRDefault="00AC2131" w:rsidP="00AC2131">
      <w:pPr>
        <w:pStyle w:val="BodyText"/>
        <w:spacing w:line="260" w:lineRule="atLeast"/>
        <w:rPr>
          <w:lang w:val="en"/>
        </w:rPr>
      </w:pPr>
      <w:r>
        <w:rPr>
          <w:lang w:val="en"/>
        </w:rPr>
        <w:t>The product-specific rules can be expressed at the 2</w:t>
      </w:r>
      <w:r>
        <w:rPr>
          <w:lang w:val="en"/>
        </w:rPr>
        <w:noBreakHyphen/>
        <w:t>digit chapter, 4</w:t>
      </w:r>
      <w:r>
        <w:rPr>
          <w:lang w:val="en"/>
        </w:rPr>
        <w:noBreakHyphen/>
        <w:t>digit heading, 6</w:t>
      </w:r>
      <w:r>
        <w:rPr>
          <w:lang w:val="en"/>
        </w:rPr>
        <w:noBreakHyphen/>
        <w:t>digit sub-heading, 8</w:t>
      </w:r>
      <w:r>
        <w:rPr>
          <w:lang w:val="en"/>
        </w:rPr>
        <w:noBreakHyphen/>
        <w:t xml:space="preserve">digit tariff line item or for groupings of tariff line items under the Harmonized System (HS) of international trade. While the rules apply to a similar number </w:t>
      </w:r>
      <w:r>
        <w:rPr>
          <w:lang w:val="en"/>
        </w:rPr>
        <w:lastRenderedPageBreak/>
        <w:t>of tariff items overall, the approach to listing those rules varies considerably from a single three-tiered regional value content based rule in the agreement with Singapore to more than 5200 individual rules in the agreement with Korea (table 4.1).</w:t>
      </w:r>
      <w:r>
        <w:rPr>
          <w:rStyle w:val="FootnoteReference"/>
          <w:lang w:val="en"/>
        </w:rPr>
        <w:footnoteReference w:id="25"/>
      </w:r>
      <w:r>
        <w:rPr>
          <w:rStyle w:val="FootnoteReference"/>
          <w:lang w:val="en"/>
        </w:rPr>
        <w:t>,</w:t>
      </w:r>
      <w:r>
        <w:rPr>
          <w:rStyle w:val="FootnoteReference"/>
          <w:lang w:val="en"/>
        </w:rPr>
        <w:footnoteReference w:id="26"/>
      </w:r>
      <w:r>
        <w:rPr>
          <w:lang w:val="en"/>
        </w:rPr>
        <w:t xml:space="preserve">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Default="00AC2131" w:rsidP="00AC2131">
            <w:pPr>
              <w:pStyle w:val="TableTitle"/>
            </w:pPr>
            <w:r>
              <w:rPr>
                <w:b w:val="0"/>
              </w:rPr>
              <w:t>Table 4.</w:t>
            </w:r>
            <w:r>
              <w:rPr>
                <w:b w:val="0"/>
                <w:noProof/>
              </w:rPr>
              <w:t>1</w:t>
            </w:r>
            <w:r>
              <w:tab/>
              <w:t>Count of listed rules of origin by trade agreement</w:t>
            </w:r>
          </w:p>
          <w:p w:rsidR="00AC2131" w:rsidRPr="00784A05" w:rsidRDefault="00AC2131" w:rsidP="00AC2131">
            <w:pPr>
              <w:pStyle w:val="Subtitle"/>
            </w:pPr>
            <w:r w:rsidRPr="00E8731D">
              <w:t>Number of rules listed in agreements</w:t>
            </w:r>
          </w:p>
        </w:tc>
      </w:tr>
      <w:tr w:rsidR="00AC2131" w:rsidTr="00AC2131">
        <w:trPr>
          <w:cantSplit/>
        </w:trPr>
        <w:tc>
          <w:tcPr>
            <w:tcW w:w="8767" w:type="dxa"/>
            <w:tcBorders>
              <w:top w:val="nil"/>
              <w:left w:val="nil"/>
              <w:bottom w:val="nil"/>
              <w:right w:val="nil"/>
            </w:tcBorders>
            <w:shd w:val="clear" w:color="auto" w:fill="auto"/>
          </w:tcPr>
          <w:tbl>
            <w:tblPr>
              <w:tblW w:w="8503" w:type="dxa"/>
              <w:tblLayout w:type="fixed"/>
              <w:tblCellMar>
                <w:top w:w="28" w:type="dxa"/>
                <w:left w:w="0" w:type="dxa"/>
                <w:right w:w="0" w:type="dxa"/>
              </w:tblCellMar>
              <w:tblLook w:val="0000" w:firstRow="0" w:lastRow="0" w:firstColumn="0" w:lastColumn="0" w:noHBand="0" w:noVBand="0"/>
            </w:tblPr>
            <w:tblGrid>
              <w:gridCol w:w="850"/>
              <w:gridCol w:w="839"/>
              <w:gridCol w:w="941"/>
              <w:gridCol w:w="839"/>
              <w:gridCol w:w="839"/>
              <w:gridCol w:w="839"/>
              <w:gridCol w:w="839"/>
              <w:gridCol w:w="839"/>
              <w:gridCol w:w="839"/>
              <w:gridCol w:w="839"/>
            </w:tblGrid>
            <w:tr w:rsidR="00AC2131" w:rsidTr="00AC2131">
              <w:tc>
                <w:tcPr>
                  <w:tcW w:w="850" w:type="dxa"/>
                  <w:tcBorders>
                    <w:top w:val="single" w:sz="4" w:space="0" w:color="BFBFBF"/>
                    <w:bottom w:val="single" w:sz="4" w:space="0" w:color="BFBFBF"/>
                  </w:tcBorders>
                </w:tcPr>
                <w:p w:rsidR="00AC2131" w:rsidRDefault="00AC2131" w:rsidP="00AC2131">
                  <w:pPr>
                    <w:pStyle w:val="TableColumnHeading"/>
                    <w:jc w:val="left"/>
                  </w:pPr>
                </w:p>
              </w:tc>
              <w:tc>
                <w:tcPr>
                  <w:tcW w:w="839" w:type="dxa"/>
                  <w:tcBorders>
                    <w:top w:val="single" w:sz="4" w:space="0" w:color="BFBFBF"/>
                    <w:bottom w:val="single" w:sz="4" w:space="0" w:color="BFBFBF"/>
                  </w:tcBorders>
                  <w:vAlign w:val="bottom"/>
                </w:tcPr>
                <w:p w:rsidR="00AC2131" w:rsidRDefault="00AC2131" w:rsidP="00AC2131">
                  <w:pPr>
                    <w:pStyle w:val="TableColumnHeading"/>
                  </w:pPr>
                  <w:r>
                    <w:t>New Zealand</w:t>
                  </w:r>
                </w:p>
              </w:tc>
              <w:tc>
                <w:tcPr>
                  <w:tcW w:w="941" w:type="dxa"/>
                  <w:tcBorders>
                    <w:top w:val="single" w:sz="4" w:space="0" w:color="BFBFBF"/>
                    <w:bottom w:val="single" w:sz="4" w:space="0" w:color="BFBFBF"/>
                  </w:tcBorders>
                  <w:vAlign w:val="bottom"/>
                </w:tcPr>
                <w:p w:rsidR="00AC2131" w:rsidRDefault="00AC2131" w:rsidP="00AC2131">
                  <w:pPr>
                    <w:pStyle w:val="TableColumnHeading"/>
                  </w:pPr>
                  <w:r>
                    <w:t>Singapore</w:t>
                  </w:r>
                </w:p>
              </w:tc>
              <w:tc>
                <w:tcPr>
                  <w:tcW w:w="839" w:type="dxa"/>
                  <w:tcBorders>
                    <w:top w:val="single" w:sz="4" w:space="0" w:color="BFBFBF"/>
                    <w:bottom w:val="single" w:sz="4" w:space="0" w:color="BFBFBF"/>
                  </w:tcBorders>
                  <w:vAlign w:val="bottom"/>
                </w:tcPr>
                <w:p w:rsidR="00AC2131" w:rsidRDefault="00AC2131" w:rsidP="00AC2131">
                  <w:pPr>
                    <w:pStyle w:val="TableColumnHeading"/>
                  </w:pPr>
                  <w:r>
                    <w:t>Thailand</w:t>
                  </w:r>
                </w:p>
              </w:tc>
              <w:tc>
                <w:tcPr>
                  <w:tcW w:w="839" w:type="dxa"/>
                  <w:tcBorders>
                    <w:top w:val="single" w:sz="4" w:space="0" w:color="BFBFBF"/>
                    <w:bottom w:val="single" w:sz="4" w:space="0" w:color="BFBFBF"/>
                  </w:tcBorders>
                  <w:vAlign w:val="bottom"/>
                </w:tcPr>
                <w:p w:rsidR="00AC2131" w:rsidRDefault="00AC2131" w:rsidP="00AC2131">
                  <w:pPr>
                    <w:pStyle w:val="TableColumnHeading"/>
                  </w:pPr>
                  <w:r>
                    <w:t>USA</w:t>
                  </w:r>
                </w:p>
              </w:tc>
              <w:tc>
                <w:tcPr>
                  <w:tcW w:w="839" w:type="dxa"/>
                  <w:tcBorders>
                    <w:top w:val="single" w:sz="4" w:space="0" w:color="BFBFBF"/>
                    <w:bottom w:val="single" w:sz="4" w:space="0" w:color="BFBFBF"/>
                  </w:tcBorders>
                  <w:vAlign w:val="bottom"/>
                </w:tcPr>
                <w:p w:rsidR="00AC2131" w:rsidRDefault="00AC2131" w:rsidP="00AC2131">
                  <w:pPr>
                    <w:pStyle w:val="TableColumnHeading"/>
                  </w:pPr>
                  <w:r>
                    <w:t>Chile</w:t>
                  </w:r>
                </w:p>
              </w:tc>
              <w:tc>
                <w:tcPr>
                  <w:tcW w:w="839" w:type="dxa"/>
                  <w:tcBorders>
                    <w:top w:val="single" w:sz="4" w:space="0" w:color="BFBFBF"/>
                    <w:bottom w:val="single" w:sz="4" w:space="0" w:color="BFBFBF"/>
                  </w:tcBorders>
                  <w:vAlign w:val="bottom"/>
                </w:tcPr>
                <w:p w:rsidR="00AC2131" w:rsidRDefault="00AC2131" w:rsidP="00AC2131">
                  <w:pPr>
                    <w:pStyle w:val="TableColumnHeading"/>
                  </w:pPr>
                  <w:r>
                    <w:t>ASEAN</w:t>
                  </w:r>
                </w:p>
              </w:tc>
              <w:tc>
                <w:tcPr>
                  <w:tcW w:w="839" w:type="dxa"/>
                  <w:tcBorders>
                    <w:top w:val="single" w:sz="4" w:space="0" w:color="BFBFBF"/>
                    <w:bottom w:val="single" w:sz="4" w:space="0" w:color="BFBFBF"/>
                  </w:tcBorders>
                  <w:vAlign w:val="bottom"/>
                </w:tcPr>
                <w:p w:rsidR="00AC2131" w:rsidRDefault="00AC2131" w:rsidP="00AC2131">
                  <w:pPr>
                    <w:pStyle w:val="TableColumnHeading"/>
                  </w:pPr>
                  <w:r>
                    <w:t>Malaysia</w:t>
                  </w:r>
                </w:p>
              </w:tc>
              <w:tc>
                <w:tcPr>
                  <w:tcW w:w="839" w:type="dxa"/>
                  <w:tcBorders>
                    <w:top w:val="single" w:sz="4" w:space="0" w:color="BFBFBF"/>
                    <w:bottom w:val="single" w:sz="4" w:space="0" w:color="BFBFBF"/>
                  </w:tcBorders>
                  <w:vAlign w:val="bottom"/>
                </w:tcPr>
                <w:p w:rsidR="00AC2131" w:rsidRDefault="00AC2131" w:rsidP="00AC2131">
                  <w:pPr>
                    <w:pStyle w:val="TableColumnHeading"/>
                  </w:pPr>
                  <w:r>
                    <w:t>Korea</w:t>
                  </w:r>
                </w:p>
              </w:tc>
              <w:tc>
                <w:tcPr>
                  <w:tcW w:w="839" w:type="dxa"/>
                  <w:tcBorders>
                    <w:top w:val="single" w:sz="4" w:space="0" w:color="BFBFBF"/>
                    <w:bottom w:val="single" w:sz="4" w:space="0" w:color="BFBFBF"/>
                  </w:tcBorders>
                  <w:vAlign w:val="bottom"/>
                </w:tcPr>
                <w:p w:rsidR="00AC2131" w:rsidRDefault="00AC2131" w:rsidP="00AC2131">
                  <w:pPr>
                    <w:pStyle w:val="TableColumnHeading"/>
                    <w:ind w:right="28"/>
                  </w:pPr>
                </w:p>
                <w:p w:rsidR="00AC2131" w:rsidRDefault="00AC2131" w:rsidP="00AC2131">
                  <w:pPr>
                    <w:pStyle w:val="TableColumnHeading"/>
                  </w:pPr>
                  <w:r>
                    <w:t>Japan</w:t>
                  </w:r>
                </w:p>
              </w:tc>
            </w:tr>
            <w:tr w:rsidR="00AC2131" w:rsidTr="00AC2131">
              <w:tc>
                <w:tcPr>
                  <w:tcW w:w="850" w:type="dxa"/>
                  <w:tcBorders>
                    <w:top w:val="single" w:sz="4" w:space="0" w:color="BFBFBF"/>
                    <w:bottom w:val="single" w:sz="4" w:space="0" w:color="BFBFBF"/>
                  </w:tcBorders>
                </w:tcPr>
                <w:p w:rsidR="00AC2131" w:rsidRDefault="00AC2131" w:rsidP="00AC2131">
                  <w:pPr>
                    <w:pStyle w:val="TableBodyText"/>
                    <w:spacing w:before="80" w:after="80"/>
                    <w:jc w:val="left"/>
                  </w:pPr>
                  <w:r>
                    <w:t>Number</w:t>
                  </w:r>
                </w:p>
              </w:tc>
              <w:tc>
                <w:tcPr>
                  <w:tcW w:w="839" w:type="dxa"/>
                  <w:tcBorders>
                    <w:top w:val="single" w:sz="4" w:space="0" w:color="BFBFBF"/>
                    <w:bottom w:val="single" w:sz="4" w:space="0" w:color="BFBFBF"/>
                  </w:tcBorders>
                </w:tcPr>
                <w:p w:rsidR="00AC2131" w:rsidRDefault="00AC2131" w:rsidP="00AC2131">
                  <w:pPr>
                    <w:pStyle w:val="TableBodyText"/>
                    <w:spacing w:before="80" w:after="80"/>
                  </w:pPr>
                  <w:r>
                    <w:t>2826</w:t>
                  </w:r>
                </w:p>
              </w:tc>
              <w:tc>
                <w:tcPr>
                  <w:tcW w:w="941" w:type="dxa"/>
                  <w:tcBorders>
                    <w:top w:val="single" w:sz="4" w:space="0" w:color="BFBFBF"/>
                    <w:bottom w:val="single" w:sz="4" w:space="0" w:color="BFBFBF"/>
                  </w:tcBorders>
                </w:tcPr>
                <w:p w:rsidR="00AC2131" w:rsidRDefault="00AC2131" w:rsidP="00AC2131">
                  <w:pPr>
                    <w:pStyle w:val="TableBodyText"/>
                    <w:spacing w:before="80" w:after="80"/>
                  </w:pPr>
                  <w:r>
                    <w:t>1</w:t>
                  </w:r>
                </w:p>
              </w:tc>
              <w:tc>
                <w:tcPr>
                  <w:tcW w:w="839" w:type="dxa"/>
                  <w:tcBorders>
                    <w:top w:val="single" w:sz="4" w:space="0" w:color="BFBFBF"/>
                    <w:bottom w:val="single" w:sz="4" w:space="0" w:color="BFBFBF"/>
                  </w:tcBorders>
                </w:tcPr>
                <w:p w:rsidR="00AC2131" w:rsidRDefault="00AC2131" w:rsidP="00AC2131">
                  <w:pPr>
                    <w:pStyle w:val="TableBodyText"/>
                    <w:spacing w:before="80" w:after="80"/>
                  </w:pPr>
                  <w:r>
                    <w:t>2900</w:t>
                  </w:r>
                </w:p>
              </w:tc>
              <w:tc>
                <w:tcPr>
                  <w:tcW w:w="839" w:type="dxa"/>
                  <w:tcBorders>
                    <w:top w:val="single" w:sz="4" w:space="0" w:color="BFBFBF"/>
                    <w:bottom w:val="single" w:sz="4" w:space="0" w:color="BFBFBF"/>
                  </w:tcBorders>
                </w:tcPr>
                <w:p w:rsidR="00AC2131" w:rsidRDefault="00AC2131" w:rsidP="00AC2131">
                  <w:pPr>
                    <w:pStyle w:val="TableBodyText"/>
                    <w:spacing w:before="80" w:after="80"/>
                  </w:pPr>
                  <w:r>
                    <w:t>980</w:t>
                  </w:r>
                </w:p>
              </w:tc>
              <w:tc>
                <w:tcPr>
                  <w:tcW w:w="839" w:type="dxa"/>
                  <w:tcBorders>
                    <w:top w:val="single" w:sz="4" w:space="0" w:color="BFBFBF"/>
                    <w:bottom w:val="single" w:sz="4" w:space="0" w:color="BFBFBF"/>
                  </w:tcBorders>
                </w:tcPr>
                <w:p w:rsidR="00AC2131" w:rsidRDefault="00AC2131" w:rsidP="00AC2131">
                  <w:pPr>
                    <w:pStyle w:val="TableBodyText"/>
                    <w:spacing w:before="80" w:after="80"/>
                  </w:pPr>
                  <w:r>
                    <w:t>2803</w:t>
                  </w:r>
                </w:p>
              </w:tc>
              <w:tc>
                <w:tcPr>
                  <w:tcW w:w="839" w:type="dxa"/>
                  <w:tcBorders>
                    <w:top w:val="single" w:sz="4" w:space="0" w:color="BFBFBF"/>
                    <w:bottom w:val="single" w:sz="4" w:space="0" w:color="BFBFBF"/>
                  </w:tcBorders>
                </w:tcPr>
                <w:p w:rsidR="00AC2131" w:rsidRDefault="00AC2131" w:rsidP="00AC2131">
                  <w:pPr>
                    <w:pStyle w:val="TableBodyText"/>
                    <w:spacing w:before="80" w:after="80"/>
                  </w:pPr>
                  <w:r>
                    <w:t>3102</w:t>
                  </w:r>
                </w:p>
              </w:tc>
              <w:tc>
                <w:tcPr>
                  <w:tcW w:w="839" w:type="dxa"/>
                  <w:tcBorders>
                    <w:top w:val="single" w:sz="4" w:space="0" w:color="BFBFBF"/>
                    <w:bottom w:val="single" w:sz="4" w:space="0" w:color="BFBFBF"/>
                  </w:tcBorders>
                </w:tcPr>
                <w:p w:rsidR="00AC2131" w:rsidRDefault="00AC2131" w:rsidP="00AC2131">
                  <w:pPr>
                    <w:pStyle w:val="TableBodyText"/>
                    <w:spacing w:before="80" w:after="80"/>
                  </w:pPr>
                  <w:r>
                    <w:t>2658</w:t>
                  </w:r>
                </w:p>
              </w:tc>
              <w:tc>
                <w:tcPr>
                  <w:tcW w:w="839" w:type="dxa"/>
                  <w:tcBorders>
                    <w:top w:val="single" w:sz="4" w:space="0" w:color="BFBFBF"/>
                    <w:bottom w:val="single" w:sz="4" w:space="0" w:color="BFBFBF"/>
                  </w:tcBorders>
                </w:tcPr>
                <w:p w:rsidR="00AC2131" w:rsidRDefault="00AC2131" w:rsidP="00AC2131">
                  <w:pPr>
                    <w:pStyle w:val="TableBodyText"/>
                    <w:spacing w:before="80" w:after="80"/>
                  </w:pPr>
                  <w:r>
                    <w:t>5205</w:t>
                  </w:r>
                </w:p>
              </w:tc>
              <w:tc>
                <w:tcPr>
                  <w:tcW w:w="839" w:type="dxa"/>
                  <w:tcBorders>
                    <w:top w:val="single" w:sz="4" w:space="0" w:color="BFBFBF"/>
                    <w:bottom w:val="single" w:sz="4" w:space="0" w:color="BFBFBF"/>
                  </w:tcBorders>
                </w:tcPr>
                <w:p w:rsidR="00AC2131" w:rsidRDefault="00AC2131" w:rsidP="00AC2131">
                  <w:pPr>
                    <w:pStyle w:val="TableBodyText"/>
                    <w:spacing w:before="80" w:after="80"/>
                  </w:pPr>
                  <w:r>
                    <w:t>1943</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pPr>
            <w:r>
              <w:rPr>
                <w:i/>
              </w:rPr>
              <w:t>Source</w:t>
            </w:r>
            <w:r>
              <w:t>: Commission estimates.</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spacing w:line="260" w:lineRule="atLeast"/>
      </w:pPr>
      <w:r>
        <w:rPr>
          <w:lang w:val="en"/>
        </w:rPr>
        <w:t xml:space="preserve">The different rule structures across agreements means that a firm trading with multiple countries faces greater complexity and compliance costs through the need to interpret, and comply with, different rules of origin schedules. </w:t>
      </w:r>
      <w:r>
        <w:t xml:space="preserve">A specific example of how these differences manifest in actual agreements with respect to a single tariff item (bed, table and other linen) is shown in </w:t>
      </w:r>
      <w:r w:rsidRPr="009A5863">
        <w:t>box 4.</w:t>
      </w:r>
      <w:r w:rsidRPr="001374BE">
        <w:t>2.</w:t>
      </w:r>
    </w:p>
    <w:p w:rsidR="00AC2131" w:rsidRDefault="00AC2131" w:rsidP="00AC2131">
      <w:pPr>
        <w:pStyle w:val="BodyText"/>
        <w:spacing w:line="260" w:lineRule="atLeast"/>
        <w:rPr>
          <w:lang w:val="en"/>
        </w:rPr>
      </w:pPr>
      <w:r>
        <w:rPr>
          <w:lang w:val="en"/>
        </w:rPr>
        <w:t>In addition to differences in the number of origin rules listed in schedules, there is also a diversity of approaches used for conferring origin. The most common rule is the change in tariff classification (CTC) test but there is considerable variation in how CTC rules are combined with other rules and how they are applied across agreements (figure 4.1).</w:t>
      </w:r>
    </w:p>
    <w:p w:rsidR="00AC2131" w:rsidRDefault="00AC2131" w:rsidP="00AC2131">
      <w:pPr>
        <w:pStyle w:val="BodyText"/>
        <w:spacing w:line="260" w:lineRule="atLeast"/>
      </w:pPr>
      <w:r>
        <w:rPr>
          <w:lang w:val="en"/>
        </w:rPr>
        <w:t>In</w:t>
      </w:r>
      <w:r w:rsidRPr="00243BEE">
        <w:rPr>
          <w:lang w:val="en"/>
        </w:rPr>
        <w:t xml:space="preserve"> the Japan-Australia agreement </w:t>
      </w:r>
      <w:r>
        <w:rPr>
          <w:lang w:val="en"/>
        </w:rPr>
        <w:t xml:space="preserve">(the latest agreement to enter into force), just </w:t>
      </w:r>
      <w:r>
        <w:t xml:space="preserve">over 40 per cent of the origin rules are based on a CTC only test (left hand panel in figure 4.1). This differs considerably from the use of CTC only rules in Australia’s earlier agreements. For example, a CTC only test made up just 11 per cent of the origin rules in the ASEAN and Malaysian agreements and </w:t>
      </w:r>
      <w:r w:rsidRPr="00851090">
        <w:t>60</w:t>
      </w:r>
      <w:r>
        <w:t> per cent in the Korean agreement. Further, just under 50 per cent of the origin rules as specified in the Japan-Australia agreement involved a rule choice between a CTC rule or a regional value content rule. This compares with 72 per cent in the ASEAN agreement, 86 per cent in the Malaysian agreement and 22 per cent in the Korean agreement.</w:t>
      </w:r>
    </w:p>
    <w:p w:rsidR="00AC2131" w:rsidRDefault="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4.</w:t>
            </w:r>
            <w:r>
              <w:rPr>
                <w:b w:val="0"/>
                <w:noProof/>
              </w:rPr>
              <w:t>2</w:t>
            </w:r>
            <w:r>
              <w:tab/>
              <w:t>Rules of origin for Bed linen, table linen, toilet linen and kitchen linen (HS item 6302)</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In order to qualify for concessional entry, Bed linen, table linen, toilet linen and kitchen linen [HS item 6302] must meet the following criteria:</w:t>
            </w:r>
          </w:p>
          <w:p w:rsidR="00AC2131" w:rsidRPr="00FE2DAA" w:rsidRDefault="00AC2131" w:rsidP="00AC2131">
            <w:pPr>
              <w:pStyle w:val="BoxListBullet"/>
            </w:pPr>
            <w:r w:rsidRPr="00B82D0E">
              <w:rPr>
                <w:i/>
              </w:rPr>
              <w:t>Australia</w:t>
            </w:r>
            <w:r w:rsidRPr="00B82D0E">
              <w:rPr>
                <w:i/>
              </w:rPr>
              <w:noBreakHyphen/>
              <w:t>United States</w:t>
            </w:r>
            <w:r>
              <w:t>. Change to heading 6302 from any other chapter, except from heading 5106 through 5113, 5204 through 5212, 5307 through 5308 or 5310 through 5311, Chapter 54, or heading 5508 through 5516, 5801 through 5802 or 6001 through 6006, provided that the good is both cut (or knit to shape) and sewn or otherwise assembled in the US or Australia.</w:t>
            </w:r>
          </w:p>
          <w:p w:rsidR="00AC2131" w:rsidRDefault="00AC2131" w:rsidP="00AC2131">
            <w:pPr>
              <w:pStyle w:val="BoxListBullet"/>
              <w:spacing w:before="120"/>
            </w:pPr>
            <w:r w:rsidRPr="00BA391C">
              <w:rPr>
                <w:i/>
              </w:rPr>
              <w:t>Thailand</w:t>
            </w:r>
            <w:r w:rsidRPr="00BA391C">
              <w:rPr>
                <w:i/>
              </w:rPr>
              <w:noBreakHyphen/>
              <w:t>Australia</w:t>
            </w:r>
            <w:r>
              <w:t>. C</w:t>
            </w:r>
            <w:r w:rsidRPr="00C1688A">
              <w:t>hange to heading 630</w:t>
            </w:r>
            <w:r>
              <w:t>2</w:t>
            </w:r>
            <w:r w:rsidRPr="00C1688A">
              <w:t xml:space="preserve"> from any other chapter, provided that </w:t>
            </w:r>
            <w:r>
              <w:t>any non-originating material that is fabric is pre-bleached or unbleached, and that there is a regional value content of not less than 55 per cent.</w:t>
            </w:r>
          </w:p>
          <w:p w:rsidR="00AC2131" w:rsidRDefault="00AC2131" w:rsidP="00AC2131">
            <w:pPr>
              <w:pStyle w:val="BoxListBullet"/>
              <w:spacing w:before="120"/>
            </w:pPr>
            <w:r>
              <w:rPr>
                <w:rFonts w:cs="Arial"/>
                <w:i/>
              </w:rPr>
              <w:t>Australia</w:t>
            </w:r>
            <w:r w:rsidRPr="00B82D0E">
              <w:rPr>
                <w:rFonts w:cs="Arial"/>
                <w:i/>
              </w:rPr>
              <w:t>–New Zealand</w:t>
            </w:r>
            <w:r>
              <w:rPr>
                <w:rFonts w:cs="Arial"/>
              </w:rPr>
              <w:t>.</w:t>
            </w:r>
            <w:r>
              <w:t xml:space="preserve"> Change to heading 6302 from any other chapter, provided that where the starting material is fabric, the fabric is raw and fully finished in the territory of the Parties; or No change in tariff classification is required, provided that there is a regional value content of not less than 45 per cent based on the build down method.</w:t>
            </w:r>
          </w:p>
          <w:p w:rsidR="00AC2131" w:rsidRDefault="00AC2131" w:rsidP="00AC2131">
            <w:pPr>
              <w:pStyle w:val="BoxListBullet"/>
              <w:spacing w:before="120"/>
            </w:pPr>
            <w:r w:rsidRPr="00B82D0E">
              <w:rPr>
                <w:i/>
              </w:rPr>
              <w:t>Australia</w:t>
            </w:r>
            <w:r w:rsidRPr="00B82D0E">
              <w:rPr>
                <w:i/>
              </w:rPr>
              <w:noBreakHyphen/>
              <w:t>Chile</w:t>
            </w:r>
            <w:r>
              <w:t>. C</w:t>
            </w:r>
            <w:r w:rsidRPr="00C1688A">
              <w:t>hange to heading 630</w:t>
            </w:r>
            <w:r>
              <w:t>2 from any other chapter</w:t>
            </w:r>
            <w:r w:rsidRPr="00C1688A">
              <w:t xml:space="preserve"> provided that where the starting material is fabric, the fabric </w:t>
            </w:r>
            <w:r>
              <w:t>is raw and fully</w:t>
            </w:r>
            <w:r w:rsidRPr="00C1688A">
              <w:t xml:space="preserve"> finished in </w:t>
            </w:r>
            <w:r>
              <w:t>the territory of the parties.</w:t>
            </w:r>
          </w:p>
          <w:p w:rsidR="00AC2131" w:rsidRDefault="00AC2131" w:rsidP="00AC2131">
            <w:pPr>
              <w:pStyle w:val="BoxListBullet"/>
              <w:spacing w:before="120"/>
            </w:pPr>
            <w:r w:rsidRPr="00B82D0E">
              <w:rPr>
                <w:i/>
              </w:rPr>
              <w:t>Malaysia</w:t>
            </w:r>
            <w:r w:rsidRPr="00B82D0E">
              <w:rPr>
                <w:i/>
              </w:rPr>
              <w:noBreakHyphen/>
              <w:t>Australia</w:t>
            </w:r>
            <w:r>
              <w:rPr>
                <w:i/>
              </w:rPr>
              <w:t xml:space="preserve">. </w:t>
            </w:r>
            <w:r>
              <w:t>C</w:t>
            </w:r>
            <w:r w:rsidRPr="00C1688A">
              <w:t>hange to heading 630</w:t>
            </w:r>
            <w:r>
              <w:t>2</w:t>
            </w:r>
            <w:r w:rsidRPr="00C1688A">
              <w:t xml:space="preserve"> from any other chapter, provided that where the starting material is fabric, the fabric was greige fabric that:</w:t>
            </w:r>
            <w:r>
              <w:t xml:space="preserve"> </w:t>
            </w:r>
            <w:r w:rsidRPr="00C1688A">
              <w:t>(a) is dyed or printed; and</w:t>
            </w:r>
            <w:r>
              <w:t xml:space="preserve"> </w:t>
            </w:r>
            <w:r w:rsidRPr="00C1688A">
              <w:t>(b) finished in Australia or Malaysia to render it directly usable</w:t>
            </w:r>
            <w:r>
              <w:t>.</w:t>
            </w:r>
          </w:p>
          <w:p w:rsidR="00AC2131" w:rsidRPr="000357CC" w:rsidRDefault="00AC2131" w:rsidP="00AC2131">
            <w:pPr>
              <w:pStyle w:val="BoxListBullet"/>
              <w:rPr>
                <w:szCs w:val="24"/>
              </w:rPr>
            </w:pPr>
            <w:r w:rsidRPr="000357CC">
              <w:rPr>
                <w:i/>
              </w:rPr>
              <w:t>Japan</w:t>
            </w:r>
            <w:r w:rsidRPr="000357CC">
              <w:rPr>
                <w:i/>
              </w:rPr>
              <w:noBreakHyphen/>
              <w:t>Australia</w:t>
            </w:r>
            <w:r>
              <w:rPr>
                <w:i/>
              </w:rPr>
              <w:t xml:space="preserve">. </w:t>
            </w:r>
            <w:r w:rsidRPr="00740745">
              <w:rPr>
                <w:spacing w:val="-2"/>
              </w:rPr>
              <w:t>CC [Change to heading from any other chapter] provided that, where non-originating materials of headings 50.07, 51.11 through 51.13, 52.08 through 52.12, 53.09 through 53.11, 54.07, 54.08, 55.12 through 55.16, or chapter 60 are used, each of the non-originating materials is woven, or knitted or crocheted entirely in the Area of one or both Parties.</w:t>
            </w:r>
          </w:p>
          <w:p w:rsidR="00AC2131" w:rsidRDefault="00AC2131" w:rsidP="00AC2131">
            <w:pPr>
              <w:pStyle w:val="Box"/>
            </w:pPr>
            <w:r w:rsidRPr="004E3CC1">
              <w:t>In other agreem</w:t>
            </w:r>
            <w:r>
              <w:t>ents, the qualifying criteria are</w:t>
            </w:r>
            <w:r w:rsidRPr="004E3CC1">
              <w:t xml:space="preserve"> </w:t>
            </w:r>
            <w:r>
              <w:t>described</w:t>
            </w:r>
            <w:r w:rsidRPr="004E3CC1">
              <w:t xml:space="preserve"> at the HS 6</w:t>
            </w:r>
            <w:r>
              <w:t> </w:t>
            </w:r>
            <w:r w:rsidRPr="004E3CC1">
              <w:t>digit level</w:t>
            </w:r>
            <w:r>
              <w:t xml:space="preserve">. For example, in order to qualify for concessional entry, the 6 digit sub-item </w:t>
            </w:r>
            <w:r w:rsidRPr="00CD0B0E">
              <w:rPr>
                <w:i/>
              </w:rPr>
              <w:t xml:space="preserve">Bed linen, table linen, toilet linen and kitchen linen </w:t>
            </w:r>
            <w:r w:rsidRPr="00CD0B0E">
              <w:rPr>
                <w:i/>
              </w:rPr>
              <w:noBreakHyphen/>
            </w:r>
            <w:r>
              <w:t xml:space="preserve"> </w:t>
            </w:r>
            <w:r w:rsidRPr="00EB276C">
              <w:rPr>
                <w:i/>
              </w:rPr>
              <w:t>Bed linen, knitted or crocheted</w:t>
            </w:r>
            <w:r>
              <w:t xml:space="preserve"> [item 6302.10] must meet the following criteria:</w:t>
            </w:r>
          </w:p>
          <w:p w:rsidR="00AC2131" w:rsidRPr="00805707" w:rsidRDefault="00AC2131" w:rsidP="00AC2131">
            <w:pPr>
              <w:pStyle w:val="BoxListBullet"/>
              <w:rPr>
                <w:szCs w:val="24"/>
              </w:rPr>
            </w:pPr>
            <w:r w:rsidRPr="00286855">
              <w:rPr>
                <w:i/>
              </w:rPr>
              <w:t>ASEAN</w:t>
            </w:r>
            <w:r w:rsidRPr="00286855">
              <w:rPr>
                <w:i/>
              </w:rPr>
              <w:noBreakHyphen/>
              <w:t>Australia</w:t>
            </w:r>
            <w:r w:rsidRPr="00286855">
              <w:rPr>
                <w:i/>
              </w:rPr>
              <w:noBreakHyphen/>
              <w:t>New Zealand</w:t>
            </w:r>
            <w:r>
              <w:rPr>
                <w:i/>
              </w:rPr>
              <w:t>.</w:t>
            </w:r>
            <w:r>
              <w:t xml:space="preserve"> CC [Change to subheading from any other chapter], provided that where the starting material is fabric, the fabric is raw or unbleached fabric and fully finished in the territory of one or more of the Parties.</w:t>
            </w:r>
          </w:p>
          <w:p w:rsidR="00AC2131" w:rsidRDefault="00AC2131" w:rsidP="00AC2131">
            <w:pPr>
              <w:pStyle w:val="BoxListBullet"/>
            </w:pPr>
            <w:r>
              <w:rPr>
                <w:i/>
              </w:rPr>
              <w:t>Korea</w:t>
            </w:r>
            <w:r w:rsidRPr="00B82D0E">
              <w:rPr>
                <w:i/>
              </w:rPr>
              <w:noBreakHyphen/>
            </w:r>
            <w:r>
              <w:t xml:space="preserve">Australia. CC [Change to subheading from any other chapter], </w:t>
            </w:r>
            <w:r w:rsidRPr="00805707">
              <w:t xml:space="preserve">provided that where the starting material is fabric, the fabric was </w:t>
            </w:r>
            <w:r w:rsidRPr="00BA391C">
              <w:t>greige fabric that is dyed or printed and finished in the territory of one or both of the Parties to render it directly usable</w:t>
            </w:r>
            <w:r>
              <w:t>.</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pPr>
            <w:r>
              <w:rPr>
                <w:i/>
              </w:rPr>
              <w:t>Source:</w:t>
            </w:r>
            <w:r>
              <w:t xml:space="preserve"> Australian Customs and Border Protection Service (2015b).</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At a more detailed level, 45 per cent of the CTC origin rules in the Japan-Australia agreement require change from a detailed HS 6 digit subheading item level to another chapter, heading or subheading (right hand panel in figure 4.1). This compares with 38 per cent in the ASEAN agreement, 52 per cent in the Malaysian agreement and just 24 per cent in the Korea agreement.</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pPr>
            <w:r w:rsidRPr="00784A05">
              <w:rPr>
                <w:b w:val="0"/>
              </w:rPr>
              <w:t xml:space="preserve">Figure </w:t>
            </w:r>
            <w:r>
              <w:rPr>
                <w:b w:val="0"/>
              </w:rPr>
              <w:t>4.</w:t>
            </w:r>
            <w:r>
              <w:rPr>
                <w:b w:val="0"/>
                <w:noProof/>
              </w:rPr>
              <w:t>1</w:t>
            </w:r>
            <w:r>
              <w:tab/>
            </w:r>
            <w:r>
              <w:rPr>
                <w:rFonts w:cs="Arial"/>
                <w:bCs/>
                <w:color w:val="000000"/>
              </w:rPr>
              <w:t>Methods used to determine origin of merchandise trade in Australia’s preferential trade agreements</w:t>
            </w:r>
            <w:r>
              <w:rPr>
                <w:rFonts w:cs="Arial"/>
                <w:color w:val="000000"/>
                <w:sz w:val="28"/>
                <w:szCs w:val="28"/>
                <w:vertAlign w:val="superscript"/>
              </w:rPr>
              <w:t>a,b,c,d</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AC2131" w:rsidTr="00AC2131">
              <w:trPr>
                <w:jc w:val="center"/>
              </w:trPr>
              <w:tc>
                <w:tcPr>
                  <w:tcW w:w="2500" w:type="pct"/>
                  <w:tcBorders>
                    <w:top w:val="nil"/>
                    <w:bottom w:val="nil"/>
                  </w:tcBorders>
                </w:tcPr>
                <w:p w:rsidR="00AC2131" w:rsidRPr="00305C72" w:rsidRDefault="00AC2131" w:rsidP="00AC2131">
                  <w:pPr>
                    <w:pStyle w:val="Figure"/>
                    <w:spacing w:before="60" w:after="60"/>
                    <w:rPr>
                      <w:rFonts w:ascii="Arial" w:hAnsi="Arial" w:cs="Arial"/>
                      <w:i/>
                      <w:sz w:val="18"/>
                      <w:szCs w:val="18"/>
                    </w:rPr>
                  </w:pPr>
                  <w:r w:rsidRPr="00305C72">
                    <w:rPr>
                      <w:rFonts w:ascii="Arial" w:hAnsi="Arial" w:cs="Arial"/>
                      <w:i/>
                      <w:sz w:val="18"/>
                      <w:szCs w:val="18"/>
                    </w:rPr>
                    <w:t>Rule for determining origin</w:t>
                  </w:r>
                </w:p>
                <w:p w:rsidR="00AC2131" w:rsidRPr="00305C72" w:rsidRDefault="00AC2131" w:rsidP="00AC2131">
                  <w:pPr>
                    <w:pStyle w:val="Figure"/>
                    <w:spacing w:before="60" w:after="60"/>
                    <w:rPr>
                      <w:rStyle w:val="NoteLabel"/>
                      <w:rFonts w:cs="Arial"/>
                      <w:i/>
                      <w:szCs w:val="18"/>
                    </w:rPr>
                  </w:pPr>
                  <w:r w:rsidRPr="00305C72">
                    <w:rPr>
                      <w:rFonts w:ascii="Arial" w:hAnsi="Arial" w:cs="Arial"/>
                      <w:i/>
                      <w:sz w:val="18"/>
                      <w:szCs w:val="18"/>
                    </w:rPr>
                    <w:t>Per cent of specified rules</w:t>
                  </w:r>
                  <w:r w:rsidRPr="00305C72">
                    <w:rPr>
                      <w:rStyle w:val="NoteLabel"/>
                      <w:rFonts w:cs="Arial"/>
                      <w:szCs w:val="18"/>
                    </w:rPr>
                    <w:t>c</w:t>
                  </w:r>
                </w:p>
                <w:p w:rsidR="00AC2131" w:rsidRDefault="00D2617F" w:rsidP="00AC2131">
                  <w:pPr>
                    <w:pStyle w:val="Figure"/>
                    <w:spacing w:before="60" w:after="60"/>
                  </w:pPr>
                  <w:r>
                    <w:rPr>
                      <w:noProof/>
                    </w:rPr>
                    <w:drawing>
                      <wp:inline distT="0" distB="0" distL="0" distR="0" wp14:anchorId="4899CF24" wp14:editId="4FAC785C">
                        <wp:extent cx="2630805" cy="3226435"/>
                        <wp:effectExtent l="0" t="0" r="0" b="0"/>
                        <wp:docPr id="27" name="Picture 27" descr="Figure 4.1 outlines methods used to determine origin of merchandise trade in Australia's preferential trade agreements. The left hand panel shows the incidence of specified rules by agreement. The right hand panel shows the incidence of the application of the CTC method.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30805" cy="3226435"/>
                                </a:xfrm>
                                <a:prstGeom prst="rect">
                                  <a:avLst/>
                                </a:prstGeom>
                                <a:noFill/>
                                <a:ln>
                                  <a:noFill/>
                                </a:ln>
                              </pic:spPr>
                            </pic:pic>
                          </a:graphicData>
                        </a:graphic>
                      </wp:inline>
                    </w:drawing>
                  </w:r>
                </w:p>
              </w:tc>
              <w:tc>
                <w:tcPr>
                  <w:tcW w:w="2500" w:type="pct"/>
                  <w:tcBorders>
                    <w:top w:val="nil"/>
                    <w:bottom w:val="nil"/>
                  </w:tcBorders>
                </w:tcPr>
                <w:p w:rsidR="00AC2131" w:rsidRPr="00305C72" w:rsidRDefault="00AC2131" w:rsidP="00AC2131">
                  <w:pPr>
                    <w:pStyle w:val="Figure"/>
                    <w:spacing w:before="60" w:after="60"/>
                    <w:rPr>
                      <w:rStyle w:val="NoteLabel"/>
                      <w:rFonts w:cs="Arial"/>
                      <w:i/>
                      <w:szCs w:val="18"/>
                    </w:rPr>
                  </w:pPr>
                  <w:r w:rsidRPr="00305C72">
                    <w:rPr>
                      <w:rFonts w:ascii="Arial" w:hAnsi="Arial" w:cs="Arial"/>
                      <w:i/>
                      <w:sz w:val="18"/>
                      <w:szCs w:val="18"/>
                    </w:rPr>
                    <w:t>Application of CTC method</w:t>
                  </w:r>
                  <w:r w:rsidRPr="00B01FA3">
                    <w:rPr>
                      <w:rStyle w:val="NoteLabel"/>
                      <w:rFonts w:cs="Arial"/>
                      <w:szCs w:val="18"/>
                    </w:rPr>
                    <w:t>d</w:t>
                  </w:r>
                </w:p>
                <w:p w:rsidR="00AC2131" w:rsidRPr="00305C72" w:rsidRDefault="00AC2131" w:rsidP="00AC2131">
                  <w:pPr>
                    <w:pStyle w:val="Figure"/>
                    <w:spacing w:before="60" w:after="60"/>
                    <w:rPr>
                      <w:rStyle w:val="NoteLabel"/>
                      <w:rFonts w:cs="Arial"/>
                      <w:i/>
                      <w:szCs w:val="18"/>
                    </w:rPr>
                  </w:pPr>
                  <w:r w:rsidRPr="00305C72">
                    <w:rPr>
                      <w:rFonts w:ascii="Arial" w:hAnsi="Arial" w:cs="Arial"/>
                      <w:i/>
                      <w:sz w:val="18"/>
                      <w:szCs w:val="18"/>
                    </w:rPr>
                    <w:t>Per cent of specified CTC rules</w:t>
                  </w:r>
                  <w:r w:rsidRPr="00305C72">
                    <w:rPr>
                      <w:rStyle w:val="NoteLabel"/>
                      <w:rFonts w:cs="Arial"/>
                      <w:szCs w:val="18"/>
                    </w:rPr>
                    <w:t>c</w:t>
                  </w:r>
                </w:p>
                <w:p w:rsidR="00AC2131" w:rsidRDefault="00D2617F" w:rsidP="00AC2131">
                  <w:pPr>
                    <w:pStyle w:val="Figure"/>
                    <w:spacing w:before="60" w:after="60"/>
                  </w:pPr>
                  <w:r>
                    <w:rPr>
                      <w:noProof/>
                    </w:rPr>
                    <w:drawing>
                      <wp:inline distT="0" distB="0" distL="0" distR="0" wp14:anchorId="26924AEC" wp14:editId="55510FFB">
                        <wp:extent cx="2630805" cy="3226435"/>
                        <wp:effectExtent l="0" t="0" r="0" b="0"/>
                        <wp:docPr id="49" name="Picture 49" descr="Figure 4.1 outlines methods used to determine origin of merchandise trade in Australia's preferential trade agreements. The left hand panel shows the incidence of specified rules by agreement. The right hand panel shows the incidence of the application of the CTC method.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30805" cy="3226435"/>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Note"/>
              <w:rPr>
                <w:i/>
              </w:rPr>
            </w:pPr>
            <w:r w:rsidRPr="00274EEE">
              <w:rPr>
                <w:rStyle w:val="NoteLabel"/>
              </w:rPr>
              <w:t>a</w:t>
            </w:r>
            <w:r>
              <w:rPr>
                <w:rFonts w:cs="Arial"/>
                <w:color w:val="000000"/>
                <w:sz w:val="20"/>
              </w:rPr>
              <w:t xml:space="preserve"> CTC refers to a change in tariff classification test. RVC refers to a regional or qualifying value content rule. ‘Other’ includes, combined CTC and RVC rules, CTC rules with exceptions and specified process tests requiring particular production methods needed to qualify for preferential entry. The figures are slightly different to those published in the </w:t>
            </w:r>
            <w:r>
              <w:rPr>
                <w:rFonts w:cs="Arial"/>
                <w:i/>
                <w:iCs/>
                <w:color w:val="000000"/>
                <w:sz w:val="20"/>
              </w:rPr>
              <w:t>Trade &amp; Assistance Review 2012-13</w:t>
            </w:r>
            <w:r>
              <w:rPr>
                <w:rFonts w:cs="Arial"/>
                <w:color w:val="000000"/>
                <w:sz w:val="20"/>
              </w:rPr>
              <w:t xml:space="preserve"> due to minor revisions to selected calculations. </w:t>
            </w:r>
            <w:r w:rsidRPr="00274EEE">
              <w:rPr>
                <w:rStyle w:val="NoteLabel"/>
              </w:rPr>
              <w:t>b</w:t>
            </w:r>
            <w:r>
              <w:rPr>
                <w:rFonts w:cs="Arial"/>
                <w:color w:val="000000"/>
                <w:sz w:val="20"/>
              </w:rPr>
              <w:t xml:space="preserve"> The agreement with Singapore is not included as it applies a single three-tiered test of origin. </w:t>
            </w:r>
            <w:r w:rsidRPr="00274EEE">
              <w:rPr>
                <w:rStyle w:val="NoteLabel"/>
              </w:rPr>
              <w:t>c</w:t>
            </w:r>
            <w:r>
              <w:rPr>
                <w:rFonts w:cs="Arial"/>
                <w:color w:val="000000"/>
                <w:sz w:val="20"/>
              </w:rPr>
              <w:t xml:space="preserve"> Individual rules can be expressed at the 4 digit heading level, 6 digit subheading level or groupings of tariff line items. </w:t>
            </w:r>
            <w:r w:rsidRPr="00274EEE">
              <w:rPr>
                <w:rStyle w:val="NoteLabel"/>
              </w:rPr>
              <w:t>d</w:t>
            </w:r>
            <w:r>
              <w:rPr>
                <w:rFonts w:cs="Arial"/>
                <w:color w:val="000000"/>
                <w:sz w:val="20"/>
              </w:rPr>
              <w:t xml:space="preserve"> When the Australia-New Zealand CER agreement entered into force in 1983, an RVC rule with a simple technical test was the main rule applied. The revised rules reported replaced that rule and have been in force since 1 January 2007.</w:t>
            </w: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Commission estimates.</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3"/>
      </w:pPr>
      <w:r>
        <w:t>Services and investment</w:t>
      </w:r>
    </w:p>
    <w:p w:rsidR="00AC2131" w:rsidRPr="00740745" w:rsidRDefault="00AC2131" w:rsidP="00AC2131">
      <w:pPr>
        <w:pStyle w:val="BodyText"/>
        <w:rPr>
          <w:spacing w:val="-2"/>
        </w:rPr>
      </w:pPr>
      <w:r w:rsidRPr="00740745">
        <w:rPr>
          <w:spacing w:val="-2"/>
        </w:rPr>
        <w:t>While the existence of rules of origin in goods trade is well known, their application (and associated consequences) in services trade and investment has received much less attention. Rather than defining the origin of the service or investment (the focus in goods trade), trade agreements have generally sought to delineate the origin of a service supplier or investor (Fink and Dikomborirak 2007). The effect is to deny designated foreign (non-Party) owned or controlled companies access to the provisions negotiated in trade agreements.</w:t>
      </w:r>
    </w:p>
    <w:p w:rsidR="00AC2131" w:rsidRDefault="00AC2131" w:rsidP="00AC2131">
      <w:pPr>
        <w:pStyle w:val="BodyText"/>
      </w:pPr>
      <w:r>
        <w:t xml:space="preserve">Most of Australia’s bilateral agreements have adopted a near identical services and investment origin rule requiring </w:t>
      </w:r>
      <w:r w:rsidRPr="007267E4">
        <w:rPr>
          <w:i/>
        </w:rPr>
        <w:t>substantial business operations</w:t>
      </w:r>
      <w:r>
        <w:t xml:space="preserve"> in the Territory of a Party </w:t>
      </w:r>
      <w:r>
        <w:lastRenderedPageBreak/>
        <w:t>(the United States example in box 4.3 is typical of the wording in many agreements) although the meaning of ‘substantial’ is not defined.</w:t>
      </w:r>
      <w:r>
        <w:rPr>
          <w:rStyle w:val="FootnoteReference"/>
        </w:rPr>
        <w:footnoteReference w:id="27"/>
      </w:r>
      <w:r>
        <w:t xml:space="preserve"> As such, a non-party services supplier or investor engaging in substantial business operations in a member State may also benefit from an Agreement. The broad application of services and investment origin requirements (which allows branches of foreign owned companies as well as formally established enterprises to access agreement commitments) is intended to encourage foreign investment in Australia including through the establishment of regional headquarters as a base to invest in partner countries (DFAT, pers. comm., 21 May 2015).</w:t>
      </w:r>
    </w:p>
    <w:p w:rsidR="00AC2131" w:rsidRDefault="00AC2131" w:rsidP="00AC2131">
      <w:pPr>
        <w:pStyle w:val="BodyText"/>
      </w:pPr>
      <w:r>
        <w:t>The Japan-Australia agreement (in force since 2015) goes further by stipulating that an enterprise may be denied the benefits of the Agreement if it is more than 50 per cent owned by a non-party or has a majority of its directors appointed by a non-Party which has no substantial business activities in the area of the other Party.</w:t>
      </w:r>
      <w:r w:rsidRPr="00985758">
        <w:t xml:space="preserve"> </w:t>
      </w:r>
      <w:r>
        <w:t>Similarly, the Thailand-Australia agreement (in force since 2005) stipulates that a service supplier or investor must not be owned or controlled by persons of a non-Party.</w:t>
      </w:r>
    </w:p>
    <w:p w:rsidR="00AC2131" w:rsidRDefault="00AC2131" w:rsidP="00AC2131">
      <w:pPr>
        <w:pStyle w:val="BodyText"/>
      </w:pPr>
      <w:r>
        <w:t xml:space="preserve">On the other hand, the Australia-New Zealand agreement (in force since 1983) requires that a service or investment must not be </w:t>
      </w:r>
      <w:r w:rsidRPr="007267E4">
        <w:rPr>
          <w:i/>
        </w:rPr>
        <w:t>indirectly</w:t>
      </w:r>
      <w:r>
        <w:t xml:space="preserve"> provided by a person of neither member State. This variability across agreements adds to the complexity facing Australian-located service suppliers and investors seeking to utilise negotiated access commitments.</w:t>
      </w:r>
    </w:p>
    <w:p w:rsidR="00AC2131" w:rsidRDefault="00AC2131" w:rsidP="00AC2131">
      <w:pPr>
        <w:pStyle w:val="BodyText"/>
      </w:pPr>
      <w:r>
        <w:t xml:space="preserve">Given the direct or vague references to foreign ownership or control in these agreements, the level of foreign ownership in Australian services providers is relevant to whether the origin rules actively deny the services commitments in an agreement to foreign-owned firms and whether this impacts foreign firm decisions to actually use Australia as a base for investment in partner economies. From this perspective, the level of foreign direct investment in Australian service industries is about $265 billion (nearly 40 per cent of total foreign direct investment) with financial and insurance, wholesale and retail trade, real estate and information and communication services attracting the largest shares of inward foreign direct investment in services (table 4.2). </w:t>
      </w:r>
    </w:p>
    <w:p w:rsidR="00AC2131" w:rsidRDefault="00AC2131">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pPr>
              <w:pStyle w:val="BoxTitle"/>
            </w:pPr>
            <w:r>
              <w:rPr>
                <w:b w:val="0"/>
              </w:rPr>
              <w:t>Box 4.</w:t>
            </w:r>
            <w:r>
              <w:rPr>
                <w:b w:val="0"/>
                <w:noProof/>
              </w:rPr>
              <w:t>3</w:t>
            </w:r>
            <w:r>
              <w:tab/>
              <w:t>Services and investment origin (denial of benefits) rules in selected Australian trade agreements</w:t>
            </w:r>
          </w:p>
        </w:tc>
      </w:tr>
      <w:tr w:rsidR="00AC2131" w:rsidTr="00AC2131">
        <w:trPr>
          <w:cantSplit/>
        </w:trPr>
        <w:tc>
          <w:tcPr>
            <w:tcW w:w="8771" w:type="dxa"/>
            <w:tcBorders>
              <w:top w:val="nil"/>
              <w:left w:val="nil"/>
              <w:bottom w:val="nil"/>
              <w:right w:val="nil"/>
            </w:tcBorders>
            <w:shd w:val="clear" w:color="auto" w:fill="F2F2F2"/>
          </w:tcPr>
          <w:p w:rsidR="00AC2131" w:rsidRPr="00B22D0B" w:rsidRDefault="00AC2131" w:rsidP="00AC2131">
            <w:pPr>
              <w:pStyle w:val="Box"/>
              <w:spacing w:before="40"/>
              <w:rPr>
                <w:b/>
              </w:rPr>
            </w:pPr>
            <w:r w:rsidRPr="00B22D0B">
              <w:rPr>
                <w:b/>
              </w:rPr>
              <w:t xml:space="preserve">New Zealand </w:t>
            </w:r>
          </w:p>
          <w:p w:rsidR="00AC2131" w:rsidRPr="002D0575" w:rsidRDefault="00AC2131" w:rsidP="00AC2131">
            <w:pPr>
              <w:pStyle w:val="Box"/>
              <w:spacing w:before="40"/>
              <w:rPr>
                <w:i/>
              </w:rPr>
            </w:pPr>
            <w:r w:rsidRPr="002D0575">
              <w:rPr>
                <w:i/>
              </w:rPr>
              <w:t>Services (Article 14)</w:t>
            </w:r>
          </w:p>
          <w:p w:rsidR="00AC2131" w:rsidRPr="002D0575" w:rsidRDefault="00AC2131" w:rsidP="00AC2131">
            <w:pPr>
              <w:pStyle w:val="Box"/>
              <w:spacing w:before="40"/>
            </w:pPr>
            <w:r w:rsidRPr="002D0575">
              <w:t>A Member State may deny the benefits of this Protocol to persons of the other Member State providing a service if the Member State establishes that the service is indirectly provided by a person, not being a person of either Member State.</w:t>
            </w:r>
          </w:p>
          <w:p w:rsidR="00AC2131" w:rsidRPr="002D0575" w:rsidRDefault="00AC2131" w:rsidP="00AC2131">
            <w:pPr>
              <w:pStyle w:val="Box"/>
              <w:spacing w:before="40"/>
            </w:pPr>
            <w:r w:rsidRPr="002D0575">
              <w:t>Investment (Article 18)</w:t>
            </w:r>
          </w:p>
          <w:p w:rsidR="00AC2131" w:rsidRPr="002D0575" w:rsidRDefault="00AC2131" w:rsidP="00AC2131">
            <w:pPr>
              <w:pStyle w:val="Box"/>
              <w:spacing w:before="40"/>
            </w:pPr>
            <w:r w:rsidRPr="002D0575">
              <w:t>A Party may deny the benefits of this Protocol to an investor of the other Party that is an enterprise of such other Party and to investments of that investor if the enterprise has no substantive business operations in the territory of the other Party and persons of a non-Party or of the denying Party own or control the enterprise.</w:t>
            </w:r>
          </w:p>
          <w:p w:rsidR="00AC2131" w:rsidRPr="00B22D0B" w:rsidRDefault="00AC2131" w:rsidP="00AC2131">
            <w:pPr>
              <w:pStyle w:val="Box"/>
              <w:spacing w:before="40"/>
              <w:rPr>
                <w:b/>
              </w:rPr>
            </w:pPr>
            <w:r w:rsidRPr="00B22D0B">
              <w:rPr>
                <w:b/>
              </w:rPr>
              <w:t>Thailand</w:t>
            </w:r>
          </w:p>
          <w:p w:rsidR="00AC2131" w:rsidRPr="002D0575" w:rsidRDefault="00AC2131" w:rsidP="00AC2131">
            <w:pPr>
              <w:pStyle w:val="Box"/>
              <w:spacing w:before="40"/>
              <w:rPr>
                <w:i/>
              </w:rPr>
            </w:pPr>
            <w:r w:rsidRPr="002D0575">
              <w:rPr>
                <w:i/>
              </w:rPr>
              <w:t xml:space="preserve">Services (Article 804) </w:t>
            </w:r>
          </w:p>
          <w:p w:rsidR="00AC2131" w:rsidRPr="002D0575" w:rsidRDefault="00AC2131" w:rsidP="00AC2131">
            <w:pPr>
              <w:pStyle w:val="Box"/>
              <w:spacing w:before="40"/>
            </w:pPr>
            <w:r w:rsidRPr="002D0575">
              <w:t>A Party may deny the benefits of this Chapter to a service supplier of the other Party where the Party establishes that the service supplier is owned or controlled by persons of a non-Party.</w:t>
            </w:r>
          </w:p>
          <w:p w:rsidR="00AC2131" w:rsidRPr="002D0575" w:rsidRDefault="00AC2131" w:rsidP="00AC2131">
            <w:pPr>
              <w:pStyle w:val="Box"/>
              <w:spacing w:before="40"/>
            </w:pPr>
            <w:r w:rsidRPr="002D0575">
              <w:t xml:space="preserve">Investment (Article 905) </w:t>
            </w:r>
          </w:p>
          <w:p w:rsidR="00AC2131" w:rsidRPr="002D0575" w:rsidRDefault="00AC2131" w:rsidP="00AC2131">
            <w:pPr>
              <w:pStyle w:val="Box"/>
              <w:spacing w:before="40"/>
            </w:pPr>
            <w:r w:rsidRPr="002D0575">
              <w:t>A Party may deny the benefits of this Part to an investor of the other Party that is a juridical person of such Party and to investments of such an investor where the Party establishes that the juridical person is owned or controlled by persons of a non-Party.</w:t>
            </w:r>
          </w:p>
          <w:p w:rsidR="00AC2131" w:rsidRPr="00B22D0B" w:rsidRDefault="00AC2131" w:rsidP="00AC2131">
            <w:pPr>
              <w:pStyle w:val="Box"/>
              <w:spacing w:before="40"/>
              <w:rPr>
                <w:b/>
              </w:rPr>
            </w:pPr>
            <w:r w:rsidRPr="00B22D0B">
              <w:rPr>
                <w:b/>
              </w:rPr>
              <w:t>United States</w:t>
            </w:r>
          </w:p>
          <w:p w:rsidR="00AC2131" w:rsidRPr="002D0575" w:rsidRDefault="00AC2131" w:rsidP="00AC2131">
            <w:pPr>
              <w:pStyle w:val="Box"/>
              <w:spacing w:before="40"/>
              <w:rPr>
                <w:i/>
              </w:rPr>
            </w:pPr>
            <w:r w:rsidRPr="002D0575">
              <w:rPr>
                <w:i/>
              </w:rPr>
              <w:t xml:space="preserve">Services (Article 10.11) </w:t>
            </w:r>
          </w:p>
          <w:p w:rsidR="00AC2131" w:rsidRPr="002D0575" w:rsidRDefault="00AC2131" w:rsidP="00AC2131">
            <w:pPr>
              <w:pStyle w:val="Box"/>
              <w:spacing w:before="40"/>
            </w:pPr>
            <w:r w:rsidRPr="002D0575">
              <w:t>A Party may deny the benefits of this Chapter to a service supplier of the other Party if the service supplier is an enterprise owned or controlled by persons of a non-Party or of the denying Party that has no substantial business activities in the territory of the other Party.</w:t>
            </w:r>
          </w:p>
          <w:p w:rsidR="00AC2131" w:rsidRPr="002D0575" w:rsidRDefault="00AC2131" w:rsidP="00AC2131">
            <w:pPr>
              <w:pStyle w:val="Box"/>
              <w:spacing w:before="40"/>
              <w:rPr>
                <w:i/>
              </w:rPr>
            </w:pPr>
            <w:r w:rsidRPr="002D0575">
              <w:rPr>
                <w:i/>
              </w:rPr>
              <w:t xml:space="preserve">Investment (Article 11.12) </w:t>
            </w:r>
          </w:p>
          <w:p w:rsidR="00AC2131" w:rsidRPr="002D0575" w:rsidRDefault="00AC2131" w:rsidP="00AC2131">
            <w:pPr>
              <w:pStyle w:val="Box"/>
              <w:spacing w:before="40"/>
            </w:pPr>
            <w:r w:rsidRPr="002D0575">
              <w:t>A Party may deny the benefits of this Chapter to an investor of the other Party that is an enterprise of such other Party and to investments of that investor if the enterprise has no substantial business activities in the territory of the other Party and persons of a non-Party, or of the denying Party, own or control the enterprise.</w:t>
            </w:r>
          </w:p>
          <w:p w:rsidR="00AC2131" w:rsidRPr="00B22D0B" w:rsidRDefault="00AC2131" w:rsidP="00AC2131">
            <w:pPr>
              <w:pStyle w:val="Box"/>
              <w:spacing w:before="40"/>
              <w:rPr>
                <w:b/>
              </w:rPr>
            </w:pPr>
            <w:r w:rsidRPr="00B22D0B">
              <w:rPr>
                <w:b/>
              </w:rPr>
              <w:t>Japan</w:t>
            </w:r>
          </w:p>
          <w:p w:rsidR="00AC2131" w:rsidRPr="002D0575" w:rsidRDefault="00AC2131" w:rsidP="00AC2131">
            <w:pPr>
              <w:pStyle w:val="Box"/>
              <w:spacing w:before="40"/>
              <w:rPr>
                <w:i/>
              </w:rPr>
            </w:pPr>
            <w:r w:rsidRPr="002D0575">
              <w:rPr>
                <w:i/>
              </w:rPr>
              <w:t>Services (Article 9.14)</w:t>
            </w:r>
          </w:p>
          <w:p w:rsidR="00AC2131" w:rsidRPr="002D0575" w:rsidRDefault="00AC2131" w:rsidP="00AC2131">
            <w:pPr>
              <w:pStyle w:val="Box"/>
              <w:spacing w:before="40"/>
            </w:pPr>
            <w:r w:rsidRPr="002D0575">
              <w:t xml:space="preserve">A Party may deny the benefits of this Chapter to a service supplier of the other Party that is an enterprise of the other Party, where the denying Party establishes that the enterprise is owned or controlled by an investor of a non-Party or of the denying Party and the enterprise has no substantial business activities in the area of the other Party. </w:t>
            </w:r>
          </w:p>
          <w:p w:rsidR="00AC2131" w:rsidRPr="002D0575" w:rsidRDefault="00AC2131" w:rsidP="00AC2131">
            <w:pPr>
              <w:pStyle w:val="Box"/>
              <w:spacing w:before="40"/>
              <w:rPr>
                <w:i/>
              </w:rPr>
            </w:pPr>
            <w:r w:rsidRPr="002D0575">
              <w:rPr>
                <w:i/>
              </w:rPr>
              <w:t>Investment (Article 14.17)</w:t>
            </w:r>
          </w:p>
          <w:p w:rsidR="00AC2131" w:rsidRPr="002D0575" w:rsidRDefault="00AC2131" w:rsidP="00AC2131">
            <w:pPr>
              <w:pStyle w:val="Box"/>
              <w:spacing w:before="40"/>
            </w:pPr>
            <w:r w:rsidRPr="002D0575">
              <w:t>A Party may deny the benefits of this Chapter to an investor of the other Party that is an enterprise of the other Party and to its investments, where the denying Party establishes that the enterprise is owned or controlled by an investor of a non-Party or of the denying Party and the enterprise has no substantial business activities in the Area of the other Party.</w:t>
            </w:r>
          </w:p>
          <w:p w:rsidR="00AC2131" w:rsidRDefault="00AC2131" w:rsidP="00AC2131">
            <w:pPr>
              <w:pStyle w:val="Box"/>
            </w:pPr>
            <w:r w:rsidRPr="002D0575">
              <w:t>In both cases, owned means greater than 50 per cent equity interest and controlled means the power to name a majority of directors or otherwise legally direct an enterprises actions.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pPr>
            <w:r>
              <w:rPr>
                <w:i/>
              </w:rPr>
              <w:t xml:space="preserve">Source: </w:t>
            </w:r>
            <w:r>
              <w:t>DFAT (2015c).</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4.</w:t>
            </w:r>
            <w:r>
              <w:rPr>
                <w:b w:val="0"/>
                <w:noProof/>
              </w:rPr>
              <w:t>2</w:t>
            </w:r>
            <w:r>
              <w:tab/>
              <w:t>Foreign direct investment in Australia, at December 2014</w:t>
            </w:r>
          </w:p>
          <w:p w:rsidR="00AC2131" w:rsidRPr="00784A05" w:rsidRDefault="00AC2131" w:rsidP="00AC2131">
            <w:pPr>
              <w:pStyle w:val="Subtitle"/>
            </w:pPr>
            <w:r>
              <w:t>$ billion and per cent</w:t>
            </w:r>
          </w:p>
        </w:tc>
      </w:tr>
      <w:tr w:rsidR="00AC2131" w:rsidTr="00AC2131">
        <w:trPr>
          <w:cantSplit/>
        </w:trPr>
        <w:tc>
          <w:tcPr>
            <w:tcW w:w="8771" w:type="dxa"/>
            <w:tcBorders>
              <w:top w:val="nil"/>
              <w:left w:val="nil"/>
              <w:bottom w:val="nil"/>
              <w:right w:val="nil"/>
            </w:tcBorders>
            <w:shd w:val="clear" w:color="auto" w:fill="auto"/>
          </w:tcPr>
          <w:tbl>
            <w:tblPr>
              <w:tblW w:w="8505" w:type="dxa"/>
              <w:tblLayout w:type="fixed"/>
              <w:tblCellMar>
                <w:top w:w="28" w:type="dxa"/>
                <w:left w:w="0" w:type="dxa"/>
                <w:right w:w="0" w:type="dxa"/>
              </w:tblCellMar>
              <w:tblLook w:val="0000" w:firstRow="0" w:lastRow="0" w:firstColumn="0" w:lastColumn="0" w:noHBand="0" w:noVBand="0"/>
            </w:tblPr>
            <w:tblGrid>
              <w:gridCol w:w="3969"/>
              <w:gridCol w:w="2268"/>
              <w:gridCol w:w="2268"/>
            </w:tblGrid>
            <w:tr w:rsidR="00AC2131" w:rsidTr="00AC2131">
              <w:tc>
                <w:tcPr>
                  <w:tcW w:w="3969" w:type="dxa"/>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rsidRPr="001824C3">
                    <w:t>Industry</w:t>
                  </w:r>
                </w:p>
              </w:tc>
              <w:tc>
                <w:tcPr>
                  <w:tcW w:w="2268" w:type="dxa"/>
                  <w:tcBorders>
                    <w:top w:val="single" w:sz="6" w:space="0" w:color="BFBFBF"/>
                    <w:bottom w:val="single" w:sz="6" w:space="0" w:color="BFBFBF"/>
                  </w:tcBorders>
                  <w:shd w:val="clear" w:color="auto" w:fill="auto"/>
                  <w:tcMar>
                    <w:top w:w="28" w:type="dxa"/>
                  </w:tcMar>
                </w:tcPr>
                <w:p w:rsidR="00AC2131" w:rsidRDefault="00AC2131" w:rsidP="00AC2131">
                  <w:pPr>
                    <w:pStyle w:val="TableColumnHeading"/>
                  </w:pPr>
                  <w:r w:rsidRPr="001824C3">
                    <w:t>$ billion</w:t>
                  </w:r>
                </w:p>
              </w:tc>
              <w:tc>
                <w:tcPr>
                  <w:tcW w:w="2268" w:type="dxa"/>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right="28"/>
                  </w:pPr>
                  <w:r w:rsidRPr="001824C3">
                    <w:t>Per cent</w:t>
                  </w:r>
                </w:p>
              </w:tc>
            </w:tr>
            <w:tr w:rsidR="00AC2131" w:rsidRPr="00DA29F4" w:rsidTr="00AC2131">
              <w:tc>
                <w:tcPr>
                  <w:tcW w:w="3969" w:type="dxa"/>
                  <w:tcBorders>
                    <w:top w:val="single" w:sz="6" w:space="0" w:color="BFBFBF"/>
                  </w:tcBorders>
                </w:tcPr>
                <w:p w:rsidR="00AC2131" w:rsidRPr="00DA29F4" w:rsidRDefault="00AC2131" w:rsidP="00AC2131">
                  <w:pPr>
                    <w:pStyle w:val="TableUnitsRow"/>
                    <w:jc w:val="left"/>
                    <w:rPr>
                      <w:b/>
                      <w:i/>
                    </w:rPr>
                  </w:pPr>
                  <w:r w:rsidRPr="00DA29F4">
                    <w:rPr>
                      <w:b/>
                      <w:i/>
                    </w:rPr>
                    <w:t>Services</w:t>
                  </w:r>
                </w:p>
              </w:tc>
              <w:tc>
                <w:tcPr>
                  <w:tcW w:w="2268" w:type="dxa"/>
                  <w:tcBorders>
                    <w:top w:val="single" w:sz="6" w:space="0" w:color="BFBFBF"/>
                  </w:tcBorders>
                </w:tcPr>
                <w:p w:rsidR="00AC2131" w:rsidRPr="0080456A" w:rsidRDefault="00AC2131" w:rsidP="00AC2131">
                  <w:pPr>
                    <w:pStyle w:val="TableUnitsRow"/>
                  </w:pPr>
                </w:p>
              </w:tc>
              <w:tc>
                <w:tcPr>
                  <w:tcW w:w="2268" w:type="dxa"/>
                  <w:tcBorders>
                    <w:top w:val="single" w:sz="6" w:space="0" w:color="BFBFBF"/>
                  </w:tcBorders>
                </w:tcPr>
                <w:p w:rsidR="00AC2131" w:rsidRPr="0080456A" w:rsidRDefault="00AC2131" w:rsidP="00AC2131">
                  <w:pPr>
                    <w:pStyle w:val="TableUnitsRow"/>
                    <w:ind w:right="28"/>
                  </w:pPr>
                </w:p>
              </w:tc>
            </w:tr>
            <w:tr w:rsidR="00AC2131" w:rsidTr="00AC2131">
              <w:tc>
                <w:tcPr>
                  <w:tcW w:w="3969" w:type="dxa"/>
                </w:tcPr>
                <w:p w:rsidR="00AC2131" w:rsidRDefault="00AC2131" w:rsidP="00AC2131">
                  <w:pPr>
                    <w:pStyle w:val="TableUnitsRow"/>
                    <w:jc w:val="left"/>
                  </w:pPr>
                  <w:r w:rsidRPr="007D2A33">
                    <w:t>Electricity, Gas and Water</w:t>
                  </w:r>
                </w:p>
              </w:tc>
              <w:tc>
                <w:tcPr>
                  <w:tcW w:w="2268" w:type="dxa"/>
                </w:tcPr>
                <w:p w:rsidR="00AC2131" w:rsidRDefault="00AC2131" w:rsidP="00AC2131">
                  <w:pPr>
                    <w:pStyle w:val="TableUnitsRow"/>
                  </w:pPr>
                  <w:r w:rsidRPr="007D2A33">
                    <w:t>13.3</w:t>
                  </w:r>
                </w:p>
              </w:tc>
              <w:tc>
                <w:tcPr>
                  <w:tcW w:w="2268" w:type="dxa"/>
                </w:tcPr>
                <w:p w:rsidR="00AC2131" w:rsidRDefault="00AC2131" w:rsidP="00AC2131">
                  <w:pPr>
                    <w:pStyle w:val="TableUnitsRow"/>
                    <w:ind w:right="28"/>
                  </w:pPr>
                  <w:r w:rsidRPr="007D2A33">
                    <w:t>1.9</w:t>
                  </w:r>
                </w:p>
              </w:tc>
            </w:tr>
            <w:tr w:rsidR="00AC2131" w:rsidTr="00AC2131">
              <w:tc>
                <w:tcPr>
                  <w:tcW w:w="3969" w:type="dxa"/>
                </w:tcPr>
                <w:p w:rsidR="00AC2131" w:rsidRDefault="00AC2131" w:rsidP="00AC2131">
                  <w:pPr>
                    <w:pStyle w:val="TableUnitsRow"/>
                    <w:jc w:val="left"/>
                  </w:pPr>
                  <w:r w:rsidRPr="007D2A33">
                    <w:t>Construction</w:t>
                  </w:r>
                </w:p>
              </w:tc>
              <w:tc>
                <w:tcPr>
                  <w:tcW w:w="2268" w:type="dxa"/>
                </w:tcPr>
                <w:p w:rsidR="00AC2131" w:rsidRDefault="00AC2131" w:rsidP="00AC2131">
                  <w:pPr>
                    <w:pStyle w:val="TableUnitsRow"/>
                  </w:pPr>
                  <w:r w:rsidRPr="007D2A33">
                    <w:t>18.9</w:t>
                  </w:r>
                </w:p>
              </w:tc>
              <w:tc>
                <w:tcPr>
                  <w:tcW w:w="2268" w:type="dxa"/>
                </w:tcPr>
                <w:p w:rsidR="00AC2131" w:rsidRDefault="00AC2131" w:rsidP="00AC2131">
                  <w:pPr>
                    <w:pStyle w:val="TableUnitsRow"/>
                    <w:ind w:right="28"/>
                  </w:pPr>
                  <w:r w:rsidRPr="007D2A33">
                    <w:t>2.8</w:t>
                  </w:r>
                </w:p>
              </w:tc>
            </w:tr>
            <w:tr w:rsidR="00AC2131" w:rsidTr="00AC2131">
              <w:tc>
                <w:tcPr>
                  <w:tcW w:w="3969" w:type="dxa"/>
                </w:tcPr>
                <w:p w:rsidR="00AC2131" w:rsidRDefault="00AC2131" w:rsidP="00AC2131">
                  <w:pPr>
                    <w:pStyle w:val="TableUnitsRow"/>
                    <w:jc w:val="left"/>
                  </w:pPr>
                  <w:r w:rsidRPr="007D2A33">
                    <w:t>Wholesale and Retail Trade</w:t>
                  </w:r>
                </w:p>
              </w:tc>
              <w:tc>
                <w:tcPr>
                  <w:tcW w:w="2268" w:type="dxa"/>
                </w:tcPr>
                <w:p w:rsidR="00AC2131" w:rsidRDefault="00AC2131" w:rsidP="00AC2131">
                  <w:pPr>
                    <w:pStyle w:val="TableUnitsRow"/>
                  </w:pPr>
                  <w:r w:rsidRPr="007D2A33">
                    <w:t>63.0</w:t>
                  </w:r>
                </w:p>
              </w:tc>
              <w:tc>
                <w:tcPr>
                  <w:tcW w:w="2268" w:type="dxa"/>
                </w:tcPr>
                <w:p w:rsidR="00AC2131" w:rsidRDefault="00AC2131" w:rsidP="00AC2131">
                  <w:pPr>
                    <w:pStyle w:val="TableUnitsRow"/>
                    <w:ind w:right="28"/>
                  </w:pPr>
                  <w:r w:rsidRPr="007D2A33">
                    <w:t>9.2</w:t>
                  </w:r>
                </w:p>
              </w:tc>
            </w:tr>
            <w:tr w:rsidR="00AC2131" w:rsidTr="00AC2131">
              <w:tc>
                <w:tcPr>
                  <w:tcW w:w="3969" w:type="dxa"/>
                </w:tcPr>
                <w:p w:rsidR="00AC2131" w:rsidRDefault="00AC2131" w:rsidP="00AC2131">
                  <w:pPr>
                    <w:pStyle w:val="TableUnitsRow"/>
                    <w:jc w:val="left"/>
                  </w:pPr>
                  <w:r w:rsidRPr="007D2A33">
                    <w:t>Accommodation and Food Services</w:t>
                  </w:r>
                </w:p>
              </w:tc>
              <w:tc>
                <w:tcPr>
                  <w:tcW w:w="2268" w:type="dxa"/>
                </w:tcPr>
                <w:p w:rsidR="00AC2131" w:rsidRDefault="00AC2131" w:rsidP="00AC2131">
                  <w:pPr>
                    <w:pStyle w:val="TableUnitsRow"/>
                  </w:pPr>
                  <w:r w:rsidRPr="007D2A33">
                    <w:t>8.1</w:t>
                  </w:r>
                </w:p>
              </w:tc>
              <w:tc>
                <w:tcPr>
                  <w:tcW w:w="2268" w:type="dxa"/>
                </w:tcPr>
                <w:p w:rsidR="00AC2131" w:rsidRDefault="00AC2131" w:rsidP="00AC2131">
                  <w:pPr>
                    <w:pStyle w:val="TableUnitsRow"/>
                    <w:ind w:right="28"/>
                  </w:pPr>
                  <w:r w:rsidRPr="007D2A33">
                    <w:t>1.2</w:t>
                  </w:r>
                </w:p>
              </w:tc>
            </w:tr>
            <w:tr w:rsidR="00AC2131" w:rsidTr="00AC2131">
              <w:tc>
                <w:tcPr>
                  <w:tcW w:w="3969" w:type="dxa"/>
                </w:tcPr>
                <w:p w:rsidR="00AC2131" w:rsidRDefault="00AC2131" w:rsidP="00AC2131">
                  <w:pPr>
                    <w:pStyle w:val="TableUnitsRow"/>
                    <w:jc w:val="left"/>
                  </w:pPr>
                  <w:r w:rsidRPr="007D2A33">
                    <w:t>Transport and Storage</w:t>
                  </w:r>
                </w:p>
              </w:tc>
              <w:tc>
                <w:tcPr>
                  <w:tcW w:w="2268" w:type="dxa"/>
                </w:tcPr>
                <w:p w:rsidR="00AC2131" w:rsidRDefault="00AC2131" w:rsidP="00AC2131">
                  <w:pPr>
                    <w:pStyle w:val="TableUnitsRow"/>
                  </w:pPr>
                  <w:r w:rsidRPr="007D2A33">
                    <w:t>13.6</w:t>
                  </w:r>
                </w:p>
              </w:tc>
              <w:tc>
                <w:tcPr>
                  <w:tcW w:w="2268" w:type="dxa"/>
                </w:tcPr>
                <w:p w:rsidR="00AC2131" w:rsidRDefault="00AC2131" w:rsidP="00AC2131">
                  <w:pPr>
                    <w:pStyle w:val="TableUnitsRow"/>
                    <w:ind w:right="28"/>
                  </w:pPr>
                  <w:r w:rsidRPr="007D2A33">
                    <w:t>2.0</w:t>
                  </w:r>
                </w:p>
              </w:tc>
            </w:tr>
            <w:tr w:rsidR="00AC2131" w:rsidTr="00AC2131">
              <w:tc>
                <w:tcPr>
                  <w:tcW w:w="3969" w:type="dxa"/>
                </w:tcPr>
                <w:p w:rsidR="00AC2131" w:rsidRDefault="00AC2131" w:rsidP="00AC2131">
                  <w:pPr>
                    <w:pStyle w:val="TableUnitsRow"/>
                    <w:jc w:val="left"/>
                  </w:pPr>
                  <w:r w:rsidRPr="007D2A33">
                    <w:t>Information and Communication</w:t>
                  </w:r>
                </w:p>
              </w:tc>
              <w:tc>
                <w:tcPr>
                  <w:tcW w:w="2268" w:type="dxa"/>
                </w:tcPr>
                <w:p w:rsidR="00AC2131" w:rsidRDefault="00AC2131" w:rsidP="00AC2131">
                  <w:pPr>
                    <w:pStyle w:val="TableUnitsRow"/>
                  </w:pPr>
                  <w:r w:rsidRPr="007D2A33">
                    <w:t>24.6</w:t>
                  </w:r>
                </w:p>
              </w:tc>
              <w:tc>
                <w:tcPr>
                  <w:tcW w:w="2268" w:type="dxa"/>
                </w:tcPr>
                <w:p w:rsidR="00AC2131" w:rsidRDefault="00AC2131" w:rsidP="00AC2131">
                  <w:pPr>
                    <w:pStyle w:val="TableUnitsRow"/>
                    <w:ind w:right="28"/>
                  </w:pPr>
                  <w:r w:rsidRPr="007D2A33">
                    <w:t>3.6</w:t>
                  </w:r>
                </w:p>
              </w:tc>
            </w:tr>
            <w:tr w:rsidR="00AC2131" w:rsidTr="00AC2131">
              <w:tc>
                <w:tcPr>
                  <w:tcW w:w="3969" w:type="dxa"/>
                </w:tcPr>
                <w:p w:rsidR="00AC2131" w:rsidRDefault="00AC2131" w:rsidP="00AC2131">
                  <w:pPr>
                    <w:pStyle w:val="TableUnitsRow"/>
                    <w:jc w:val="left"/>
                  </w:pPr>
                  <w:r w:rsidRPr="007D2A33">
                    <w:t>Financial and Insurance</w:t>
                  </w:r>
                </w:p>
              </w:tc>
              <w:tc>
                <w:tcPr>
                  <w:tcW w:w="2268" w:type="dxa"/>
                </w:tcPr>
                <w:p w:rsidR="00AC2131" w:rsidRDefault="00AC2131" w:rsidP="00AC2131">
                  <w:pPr>
                    <w:pStyle w:val="TableUnitsRow"/>
                  </w:pPr>
                  <w:r w:rsidRPr="007D2A33">
                    <w:t>66.9</w:t>
                  </w:r>
                </w:p>
              </w:tc>
              <w:tc>
                <w:tcPr>
                  <w:tcW w:w="2268" w:type="dxa"/>
                </w:tcPr>
                <w:p w:rsidR="00AC2131" w:rsidRDefault="00AC2131" w:rsidP="00AC2131">
                  <w:pPr>
                    <w:pStyle w:val="TableUnitsRow"/>
                    <w:ind w:right="28"/>
                  </w:pPr>
                  <w:r w:rsidRPr="007D2A33">
                    <w:t>9.7</w:t>
                  </w:r>
                </w:p>
              </w:tc>
            </w:tr>
            <w:tr w:rsidR="00AC2131" w:rsidTr="00AC2131">
              <w:tc>
                <w:tcPr>
                  <w:tcW w:w="3969" w:type="dxa"/>
                </w:tcPr>
                <w:p w:rsidR="00AC2131" w:rsidRDefault="00AC2131" w:rsidP="00AC2131">
                  <w:pPr>
                    <w:pStyle w:val="TableUnitsRow"/>
                    <w:jc w:val="left"/>
                  </w:pPr>
                  <w:r w:rsidRPr="007D2A33">
                    <w:t>Real Estate Services</w:t>
                  </w:r>
                </w:p>
              </w:tc>
              <w:tc>
                <w:tcPr>
                  <w:tcW w:w="2268" w:type="dxa"/>
                </w:tcPr>
                <w:p w:rsidR="00AC2131" w:rsidRDefault="00AC2131" w:rsidP="00AC2131">
                  <w:pPr>
                    <w:pStyle w:val="TableUnitsRow"/>
                  </w:pPr>
                  <w:r w:rsidRPr="007D2A33">
                    <w:t>47.7</w:t>
                  </w:r>
                </w:p>
              </w:tc>
              <w:tc>
                <w:tcPr>
                  <w:tcW w:w="2268" w:type="dxa"/>
                </w:tcPr>
                <w:p w:rsidR="00AC2131" w:rsidRDefault="00AC2131" w:rsidP="00AC2131">
                  <w:pPr>
                    <w:pStyle w:val="TableUnitsRow"/>
                    <w:ind w:right="28"/>
                  </w:pPr>
                  <w:r w:rsidRPr="007D2A33">
                    <w:t>6.9</w:t>
                  </w:r>
                </w:p>
              </w:tc>
            </w:tr>
            <w:tr w:rsidR="00AC2131" w:rsidTr="00AC2131">
              <w:tc>
                <w:tcPr>
                  <w:tcW w:w="3969" w:type="dxa"/>
                </w:tcPr>
                <w:p w:rsidR="00AC2131" w:rsidRDefault="00AC2131" w:rsidP="00AC2131">
                  <w:pPr>
                    <w:pStyle w:val="TableUnitsRow"/>
                    <w:jc w:val="left"/>
                  </w:pPr>
                  <w:r w:rsidRPr="007D2A33">
                    <w:t>Other</w:t>
                  </w:r>
                </w:p>
              </w:tc>
              <w:tc>
                <w:tcPr>
                  <w:tcW w:w="2268" w:type="dxa"/>
                </w:tcPr>
                <w:p w:rsidR="00AC2131" w:rsidRDefault="00AC2131" w:rsidP="00AC2131">
                  <w:pPr>
                    <w:pStyle w:val="TableUnitsRow"/>
                  </w:pPr>
                  <w:r w:rsidRPr="007D2A33">
                    <w:t>9.1</w:t>
                  </w:r>
                </w:p>
              </w:tc>
              <w:tc>
                <w:tcPr>
                  <w:tcW w:w="2268" w:type="dxa"/>
                </w:tcPr>
                <w:p w:rsidR="00AC2131" w:rsidRDefault="00AC2131" w:rsidP="00AC2131">
                  <w:pPr>
                    <w:pStyle w:val="TableUnitsRow"/>
                    <w:ind w:right="28"/>
                  </w:pPr>
                  <w:r w:rsidRPr="007D2A33">
                    <w:t>1.3</w:t>
                  </w:r>
                </w:p>
              </w:tc>
            </w:tr>
            <w:tr w:rsidR="00AC2131" w:rsidRPr="0080456A" w:rsidTr="00AC2131">
              <w:tc>
                <w:tcPr>
                  <w:tcW w:w="3969" w:type="dxa"/>
                </w:tcPr>
                <w:p w:rsidR="00AC2131" w:rsidRPr="0080456A" w:rsidRDefault="00AC2131" w:rsidP="00AC2131">
                  <w:pPr>
                    <w:pStyle w:val="TableUnitsRow"/>
                    <w:ind w:left="113"/>
                    <w:jc w:val="left"/>
                    <w:rPr>
                      <w:b/>
                    </w:rPr>
                  </w:pPr>
                  <w:r w:rsidRPr="0080456A">
                    <w:rPr>
                      <w:b/>
                    </w:rPr>
                    <w:t>Sub-total</w:t>
                  </w:r>
                </w:p>
              </w:tc>
              <w:tc>
                <w:tcPr>
                  <w:tcW w:w="2268" w:type="dxa"/>
                </w:tcPr>
                <w:p w:rsidR="00AC2131" w:rsidRPr="0080456A" w:rsidRDefault="00AC2131" w:rsidP="00AC2131">
                  <w:pPr>
                    <w:pStyle w:val="TableUnitsRow"/>
                    <w:rPr>
                      <w:b/>
                    </w:rPr>
                  </w:pPr>
                  <w:r w:rsidRPr="0080456A">
                    <w:rPr>
                      <w:b/>
                    </w:rPr>
                    <w:t>265.8</w:t>
                  </w:r>
                </w:p>
              </w:tc>
              <w:tc>
                <w:tcPr>
                  <w:tcW w:w="2268" w:type="dxa"/>
                </w:tcPr>
                <w:p w:rsidR="00AC2131" w:rsidRPr="0080456A" w:rsidRDefault="00AC2131" w:rsidP="00AC2131">
                  <w:pPr>
                    <w:pStyle w:val="TableUnitsRow"/>
                    <w:ind w:right="28"/>
                    <w:rPr>
                      <w:b/>
                    </w:rPr>
                  </w:pPr>
                  <w:r w:rsidRPr="0080456A">
                    <w:rPr>
                      <w:b/>
                    </w:rPr>
                    <w:t>38.6</w:t>
                  </w:r>
                </w:p>
              </w:tc>
            </w:tr>
            <w:tr w:rsidR="00AC2131" w:rsidRPr="00DA29F4" w:rsidTr="00AC2131">
              <w:tc>
                <w:tcPr>
                  <w:tcW w:w="3969" w:type="dxa"/>
                </w:tcPr>
                <w:p w:rsidR="00AC2131" w:rsidRPr="00DA29F4" w:rsidRDefault="00AC2131" w:rsidP="00AC2131">
                  <w:pPr>
                    <w:pStyle w:val="TableUnitsRow"/>
                    <w:spacing w:before="80"/>
                    <w:jc w:val="left"/>
                    <w:rPr>
                      <w:b/>
                      <w:i/>
                    </w:rPr>
                  </w:pPr>
                  <w:r w:rsidRPr="00DA29F4">
                    <w:rPr>
                      <w:b/>
                      <w:i/>
                    </w:rPr>
                    <w:t>Merchandise trade and unallocated</w:t>
                  </w:r>
                </w:p>
              </w:tc>
              <w:tc>
                <w:tcPr>
                  <w:tcW w:w="2268" w:type="dxa"/>
                </w:tcPr>
                <w:p w:rsidR="00AC2131" w:rsidRPr="00DA29F4" w:rsidRDefault="00AC2131" w:rsidP="00AC2131">
                  <w:pPr>
                    <w:pStyle w:val="TableUnitsRow"/>
                    <w:rPr>
                      <w:b/>
                      <w:i/>
                    </w:rPr>
                  </w:pPr>
                </w:p>
              </w:tc>
              <w:tc>
                <w:tcPr>
                  <w:tcW w:w="2268" w:type="dxa"/>
                </w:tcPr>
                <w:p w:rsidR="00AC2131" w:rsidRPr="00DA29F4" w:rsidRDefault="00AC2131" w:rsidP="00AC2131">
                  <w:pPr>
                    <w:pStyle w:val="TableUnitsRow"/>
                    <w:ind w:right="28"/>
                    <w:rPr>
                      <w:b/>
                      <w:i/>
                    </w:rPr>
                  </w:pPr>
                </w:p>
              </w:tc>
            </w:tr>
            <w:tr w:rsidR="00AC2131" w:rsidTr="00AC2131">
              <w:tc>
                <w:tcPr>
                  <w:tcW w:w="3969" w:type="dxa"/>
                </w:tcPr>
                <w:p w:rsidR="00AC2131" w:rsidRDefault="00AC2131" w:rsidP="00AC2131">
                  <w:pPr>
                    <w:pStyle w:val="TableUnitsRow"/>
                    <w:jc w:val="left"/>
                  </w:pPr>
                  <w:r w:rsidRPr="007D2A33">
                    <w:t>Agriculture, Forestry and Fishing</w:t>
                  </w:r>
                </w:p>
              </w:tc>
              <w:tc>
                <w:tcPr>
                  <w:tcW w:w="2268" w:type="dxa"/>
                </w:tcPr>
                <w:p w:rsidR="00AC2131" w:rsidRDefault="00AC2131" w:rsidP="00AC2131">
                  <w:pPr>
                    <w:pStyle w:val="TableUnitsRow"/>
                  </w:pPr>
                  <w:r w:rsidRPr="007D2A33">
                    <w:t>1.3</w:t>
                  </w:r>
                </w:p>
              </w:tc>
              <w:tc>
                <w:tcPr>
                  <w:tcW w:w="2268" w:type="dxa"/>
                </w:tcPr>
                <w:p w:rsidR="00AC2131" w:rsidRDefault="00AC2131" w:rsidP="00AC2131">
                  <w:pPr>
                    <w:pStyle w:val="TableUnitsRow"/>
                    <w:ind w:right="28"/>
                  </w:pPr>
                  <w:r w:rsidRPr="007D2A33">
                    <w:t>0.2</w:t>
                  </w:r>
                </w:p>
              </w:tc>
            </w:tr>
            <w:tr w:rsidR="00AC2131" w:rsidTr="00AC2131">
              <w:tc>
                <w:tcPr>
                  <w:tcW w:w="3969" w:type="dxa"/>
                </w:tcPr>
                <w:p w:rsidR="00AC2131" w:rsidRDefault="00AC2131" w:rsidP="00AC2131">
                  <w:pPr>
                    <w:pStyle w:val="TableUnitsRow"/>
                    <w:jc w:val="left"/>
                  </w:pPr>
                  <w:r w:rsidRPr="007D2A33">
                    <w:t>Mining</w:t>
                  </w:r>
                </w:p>
              </w:tc>
              <w:tc>
                <w:tcPr>
                  <w:tcW w:w="2268" w:type="dxa"/>
                </w:tcPr>
                <w:p w:rsidR="00AC2131" w:rsidRDefault="00AC2131" w:rsidP="00AC2131">
                  <w:pPr>
                    <w:pStyle w:val="TableUnitsRow"/>
                  </w:pPr>
                  <w:r w:rsidRPr="007D2A33">
                    <w:t>264.7</w:t>
                  </w:r>
                </w:p>
              </w:tc>
              <w:tc>
                <w:tcPr>
                  <w:tcW w:w="2268" w:type="dxa"/>
                </w:tcPr>
                <w:p w:rsidR="00AC2131" w:rsidRDefault="00AC2131" w:rsidP="00AC2131">
                  <w:pPr>
                    <w:pStyle w:val="TableUnitsRow"/>
                    <w:ind w:right="28"/>
                  </w:pPr>
                  <w:r w:rsidRPr="007D2A33">
                    <w:t>38.4</w:t>
                  </w:r>
                </w:p>
              </w:tc>
            </w:tr>
            <w:tr w:rsidR="00AC2131" w:rsidTr="00AC2131">
              <w:tc>
                <w:tcPr>
                  <w:tcW w:w="3969" w:type="dxa"/>
                </w:tcPr>
                <w:p w:rsidR="00AC2131" w:rsidRDefault="00AC2131" w:rsidP="00AC2131">
                  <w:pPr>
                    <w:pStyle w:val="TableUnitsRow"/>
                    <w:jc w:val="left"/>
                  </w:pPr>
                  <w:r w:rsidRPr="007D2A33">
                    <w:t>Manufacturing</w:t>
                  </w:r>
                </w:p>
              </w:tc>
              <w:tc>
                <w:tcPr>
                  <w:tcW w:w="2268" w:type="dxa"/>
                </w:tcPr>
                <w:p w:rsidR="00AC2131" w:rsidRDefault="00AC2131" w:rsidP="00AC2131">
                  <w:pPr>
                    <w:pStyle w:val="TableUnitsRow"/>
                  </w:pPr>
                  <w:r w:rsidRPr="007D2A33">
                    <w:t>88.1</w:t>
                  </w:r>
                </w:p>
              </w:tc>
              <w:tc>
                <w:tcPr>
                  <w:tcW w:w="2268" w:type="dxa"/>
                </w:tcPr>
                <w:p w:rsidR="00AC2131" w:rsidRDefault="00AC2131" w:rsidP="00AC2131">
                  <w:pPr>
                    <w:pStyle w:val="TableUnitsRow"/>
                    <w:ind w:right="28"/>
                  </w:pPr>
                  <w:r w:rsidRPr="007D2A33">
                    <w:t>12.8</w:t>
                  </w:r>
                </w:p>
              </w:tc>
            </w:tr>
            <w:tr w:rsidR="00AC2131" w:rsidTr="00AC2131">
              <w:tc>
                <w:tcPr>
                  <w:tcW w:w="3969" w:type="dxa"/>
                </w:tcPr>
                <w:p w:rsidR="00AC2131" w:rsidRDefault="00AC2131" w:rsidP="00AC2131">
                  <w:pPr>
                    <w:pStyle w:val="TableBodyText"/>
                    <w:jc w:val="left"/>
                  </w:pPr>
                  <w:r w:rsidRPr="007D2A33">
                    <w:t>Unallocated</w:t>
                  </w:r>
                </w:p>
              </w:tc>
              <w:tc>
                <w:tcPr>
                  <w:tcW w:w="2268" w:type="dxa"/>
                </w:tcPr>
                <w:p w:rsidR="00AC2131" w:rsidRDefault="00AC2131" w:rsidP="00AC2131">
                  <w:pPr>
                    <w:pStyle w:val="TableBodyText"/>
                  </w:pPr>
                  <w:r w:rsidRPr="007D2A33">
                    <w:t>68.5</w:t>
                  </w:r>
                </w:p>
              </w:tc>
              <w:tc>
                <w:tcPr>
                  <w:tcW w:w="2268" w:type="dxa"/>
                </w:tcPr>
                <w:p w:rsidR="00AC2131" w:rsidRDefault="00AC2131" w:rsidP="00AC2131">
                  <w:pPr>
                    <w:pStyle w:val="TableBodyText"/>
                    <w:ind w:right="28"/>
                  </w:pPr>
                  <w:r w:rsidRPr="007D2A33">
                    <w:t>10.0</w:t>
                  </w:r>
                </w:p>
              </w:tc>
            </w:tr>
            <w:tr w:rsidR="00AC2131" w:rsidRPr="00DA29F4" w:rsidTr="00AC2131">
              <w:tc>
                <w:tcPr>
                  <w:tcW w:w="3969" w:type="dxa"/>
                  <w:tcBorders>
                    <w:bottom w:val="single" w:sz="6" w:space="0" w:color="BFBFBF"/>
                  </w:tcBorders>
                  <w:shd w:val="clear" w:color="auto" w:fill="auto"/>
                </w:tcPr>
                <w:p w:rsidR="00AC2131" w:rsidRPr="00DA29F4" w:rsidRDefault="00AC2131" w:rsidP="00AC2131">
                  <w:pPr>
                    <w:pStyle w:val="TableBodyText"/>
                    <w:spacing w:before="40"/>
                    <w:jc w:val="left"/>
                    <w:rPr>
                      <w:b/>
                    </w:rPr>
                  </w:pPr>
                  <w:r w:rsidRPr="00DA29F4">
                    <w:rPr>
                      <w:b/>
                    </w:rPr>
                    <w:t>Total</w:t>
                  </w:r>
                </w:p>
              </w:tc>
              <w:tc>
                <w:tcPr>
                  <w:tcW w:w="2268" w:type="dxa"/>
                  <w:tcBorders>
                    <w:bottom w:val="single" w:sz="6" w:space="0" w:color="BFBFBF"/>
                  </w:tcBorders>
                  <w:shd w:val="clear" w:color="auto" w:fill="auto"/>
                </w:tcPr>
                <w:p w:rsidR="00AC2131" w:rsidRPr="00DA29F4" w:rsidRDefault="00AC2131" w:rsidP="00AC2131">
                  <w:pPr>
                    <w:pStyle w:val="TableBodyText"/>
                    <w:spacing w:before="40"/>
                    <w:rPr>
                      <w:b/>
                    </w:rPr>
                  </w:pPr>
                  <w:r w:rsidRPr="00DA29F4">
                    <w:rPr>
                      <w:b/>
                    </w:rPr>
                    <w:t>688.4</w:t>
                  </w:r>
                </w:p>
              </w:tc>
              <w:tc>
                <w:tcPr>
                  <w:tcW w:w="2268" w:type="dxa"/>
                  <w:tcBorders>
                    <w:bottom w:val="single" w:sz="6" w:space="0" w:color="BFBFBF"/>
                  </w:tcBorders>
                  <w:shd w:val="clear" w:color="auto" w:fill="auto"/>
                </w:tcPr>
                <w:p w:rsidR="00AC2131" w:rsidRPr="00DA29F4" w:rsidRDefault="00AC2131" w:rsidP="00AC2131">
                  <w:pPr>
                    <w:pStyle w:val="TableBodyText"/>
                    <w:spacing w:before="40"/>
                    <w:ind w:right="28"/>
                    <w:rPr>
                      <w:b/>
                    </w:rPr>
                  </w:pPr>
                  <w:r w:rsidRPr="00DA29F4">
                    <w:rPr>
                      <w:b/>
                    </w:rPr>
                    <w:t>100.0</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ABS (2015b).</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As activities across these areas feature prominently in the services commitments found in Australia’s preferential trading agreements, the level of foreign ownership highlights the potential for announced liberalisation benefits to overstate the actual benefits.</w:t>
      </w:r>
    </w:p>
    <w:p w:rsidR="00AC2131" w:rsidRPr="00740745" w:rsidRDefault="00AC2131" w:rsidP="00AC2131">
      <w:pPr>
        <w:pStyle w:val="BodyText"/>
        <w:rPr>
          <w:spacing w:val="-4"/>
        </w:rPr>
      </w:pPr>
      <w:r w:rsidRPr="00740745">
        <w:rPr>
          <w:spacing w:val="-4"/>
        </w:rPr>
        <w:t>The discretionary nature and vagueness of the services and investment rules of origin leave a number of questions as to the actual or potential impact of the rules of origin on services trade and investment activity. For example, ‘To what extent would the provisions chill (or influence) commercial activity that may otherwise have occurred’ and ‘Under what circumstance would the partner government invoke the provisions and in such an event, how would terms such as ‘ownership and control’ and ‘substantial business operations’ be interpreted.</w:t>
      </w:r>
    </w:p>
    <w:p w:rsidR="00AC2131" w:rsidRDefault="00AC2131" w:rsidP="00AC2131">
      <w:pPr>
        <w:pStyle w:val="Heading2"/>
        <w:rPr>
          <w:lang w:val="en"/>
        </w:rPr>
      </w:pPr>
      <w:r>
        <w:rPr>
          <w:lang w:val="en"/>
        </w:rPr>
        <w:t>4.</w:t>
      </w:r>
      <w:r>
        <w:rPr>
          <w:noProof/>
          <w:lang w:val="en"/>
        </w:rPr>
        <w:t>2</w:t>
      </w:r>
      <w:r w:rsidRPr="009C7CF8">
        <w:rPr>
          <w:lang w:val="en"/>
        </w:rPr>
        <w:tab/>
      </w:r>
      <w:r w:rsidRPr="007267E4">
        <w:rPr>
          <w:lang w:val="en"/>
        </w:rPr>
        <w:t xml:space="preserve">Service sector </w:t>
      </w:r>
      <w:r>
        <w:rPr>
          <w:lang w:val="en"/>
        </w:rPr>
        <w:t>coverage</w:t>
      </w:r>
    </w:p>
    <w:p w:rsidR="00AC2131" w:rsidRDefault="00AC2131" w:rsidP="00AC2131">
      <w:pPr>
        <w:pStyle w:val="BodyText"/>
      </w:pPr>
      <w:r>
        <w:t xml:space="preserve">The size of the services sector in developed economies and its growing importance in developing economies, has seen service sector liberalisation become an increasingly important focus of trade negotiations at the multilateral, plurilateral, regional and bilateral level. The role of services as a facilitator of goods trade and an emerging recognition of its role in intermediate supply reinforces the need to remove restrictions on the efficient supply of, and trade in, services (chapter 2). </w:t>
      </w:r>
    </w:p>
    <w:p w:rsidR="00AC2131" w:rsidRDefault="00AC2131" w:rsidP="00AC2131">
      <w:pPr>
        <w:pStyle w:val="BodyText"/>
      </w:pPr>
      <w:r>
        <w:lastRenderedPageBreak/>
        <w:t>Trade agreements, however, typically concentrate on ‘at the border’ barriers to services trade imposed via restrictions on entry or commercial presence of foreign service suppliers. Other barriers to services trade involve ‘behind the border’ restrictions on entry such as through control of recognition of qualifications by professional associations and non-tariff barriers such as language and cultural differences and complex and unfamiliar legal systems. Trade agreements cannot be reasonably expected to address all forms of behind the border protection. Their purported benefits need to be viewed in that light.</w:t>
      </w:r>
    </w:p>
    <w:p w:rsidR="00AC2131" w:rsidRDefault="00AC2131" w:rsidP="00AC2131">
      <w:pPr>
        <w:pStyle w:val="BodyText"/>
      </w:pPr>
      <w:r>
        <w:t>Against that background, the China-Australia bilateral trade agreement was presented as a landmark achievement in market access concessions for Australian service providers. Commenting on the services outcomes in ChAFTA, the Australia Minister for Trade and Investment said:</w:t>
      </w:r>
    </w:p>
    <w:p w:rsidR="00AC2131" w:rsidRDefault="00AC2131" w:rsidP="00AC2131">
      <w:pPr>
        <w:pStyle w:val="Quote"/>
      </w:pPr>
      <w:r>
        <w:rPr>
          <w:shd w:val="clear" w:color="auto" w:fill="FFFFFF"/>
        </w:rPr>
        <w:t>The Australian Government has secured the best ever market access provided to a foreign country by China on services, with enormous scope to build on an export market already worth $7 billion. (Robb 2014c)</w:t>
      </w:r>
    </w:p>
    <w:p w:rsidR="00AC2131" w:rsidRDefault="00AC2131" w:rsidP="00AC2131">
      <w:pPr>
        <w:pStyle w:val="BodyText"/>
      </w:pPr>
      <w:r w:rsidRPr="0057189E">
        <w:t xml:space="preserve">Without the availability of the agreement’s text, detailed assessment remains elusive. As such, the Commission is unable to form a view as to whether the aspirational goals are commensurate with </w:t>
      </w:r>
      <w:r>
        <w:t xml:space="preserve">potential </w:t>
      </w:r>
      <w:r w:rsidRPr="0057189E">
        <w:t xml:space="preserve">real-world impacts. Several questions pertinent to such an assessment include: are there limits to the amount of additional services that can be supplied to expanded market opportunities; are there material trade barriers that exist beyond the scope of agreements; what is the net impact of rules of origin (termed denial of benefits); what is the tenor of phasing arrangements; what carve-outs quarantine certain activities from the liberalising intent of the agreement; to what extent is the agreement necessary to achieve the announced goals (a form of additionality); and what are the opportunity costs of not pursuing unilateral reform </w:t>
      </w:r>
      <w:r>
        <w:t xml:space="preserve">in order </w:t>
      </w:r>
      <w:r w:rsidRPr="0057189E">
        <w:t>to retain negotiating coin.</w:t>
      </w:r>
    </w:p>
    <w:p w:rsidR="00AC2131" w:rsidRDefault="00AC2131" w:rsidP="00AC2131">
      <w:pPr>
        <w:pStyle w:val="BodyText"/>
      </w:pPr>
      <w:r>
        <w:t>The approach to defining the boundary of Australian agreements on services trade has been to use both negative lists (only specified activities are excluded from the commitments) and positive lists (only specified activities are included in the commitments) to determine the coverage of services in an agreement (PC 2010a). Negative listing is generally viewed as superior because coverage is more transparent, extensive and automatically includes new services industries and innovations. Negative lists have been used in six of Australia’s trade agreements (those with New Zealand, Singapore, the United States, Chile, Korea and Japan). In contrast, the agreements with Thailand, ASEAN (which has ten member States) and Malaysia have adopted a positive list approach. A dual listing approach is being adopted in the agreement with China with provision to move to a negative list approach over time (DFAT pers. comm., 21 May 2015).</w:t>
      </w:r>
    </w:p>
    <w:p w:rsidR="00AC2131" w:rsidRDefault="00AC2131" w:rsidP="00AC2131">
      <w:pPr>
        <w:pStyle w:val="BodyText"/>
      </w:pPr>
      <w:r>
        <w:t xml:space="preserve">The potential impact of any particular agreement will depend on the collective and net ‘sum of parts’ which reflect the net impact of the respective approaches actually taken. And while negotiated reforms may cover barriers in a range of services industries, the benefits obtained depend in large measure on the subsequent uptake of opportunities by business and the extent to which the liberalised barriers are important to facilitating trade. A related issue is whether negotiated agreements work to maintain and further liberalise </w:t>
      </w:r>
      <w:r>
        <w:lastRenderedPageBreak/>
        <w:t>existing levels of market openness through ‘standstill’ and ‘ratchet’ provisions, or whether they simply codify existing arrangements — potentially making future reform more difficult or slowing the willingness to reform domestically.</w:t>
      </w:r>
      <w:r>
        <w:rPr>
          <w:rStyle w:val="FootnoteReference"/>
        </w:rPr>
        <w:footnoteReference w:id="28"/>
      </w:r>
    </w:p>
    <w:p w:rsidR="00AC2131" w:rsidRDefault="00AC2131" w:rsidP="00AC2131">
      <w:pPr>
        <w:pStyle w:val="BodyText"/>
      </w:pPr>
      <w:r>
        <w:t xml:space="preserve">Another issue involves the divergent market access and national treatment commitments in Australia’s negotiated trade agreements and the complexity this presents for Australian firms. A summary of the nature and extent of services liberalisation commitments for each country that is party to the AANZFTA (which adopts a positive list approach to listing commitments) is presented in table 4.3. These commitments relate to removing restrictions on market access or national treatment in terms of cross-border supply, consumption abroad and commercial presence. </w:t>
      </w:r>
    </w:p>
    <w:p w:rsidR="00AC2131" w:rsidRPr="00A67201" w:rsidRDefault="00AC2131" w:rsidP="00AC2131">
      <w:pPr>
        <w:pStyle w:val="BodyText"/>
        <w:rPr>
          <w:color w:val="000000"/>
          <w:sz w:val="23"/>
          <w:szCs w:val="23"/>
        </w:rPr>
      </w:pPr>
      <w:r>
        <w:t>As mentioned, the agreements with the United States, Chile, Korea and Japan use a negative list approach</w:t>
      </w:r>
      <w:r w:rsidRPr="00FB1D00">
        <w:t xml:space="preserve"> </w:t>
      </w:r>
      <w:r>
        <w:t>to listing services commitments and do not contain market access or national treatment restrictions. Examples of activities not subject to the liberalising commitments (or carve outs) in these agreements include requirements in AUSFTA that directors of a national bank must be US citizens; prohibition in certain US States on the establishment of a branch or agency by a foreign bank and b</w:t>
      </w:r>
      <w:r w:rsidRPr="00A67201">
        <w:rPr>
          <w:color w:val="000000"/>
          <w:sz w:val="23"/>
          <w:szCs w:val="23"/>
        </w:rPr>
        <w:t>ranches of foreign insurance companies are not permitted to provide surety bond</w:t>
      </w:r>
      <w:r>
        <w:rPr>
          <w:color w:val="000000"/>
          <w:sz w:val="23"/>
          <w:szCs w:val="23"/>
        </w:rPr>
        <w:t>s for US Government contracts.</w:t>
      </w:r>
    </w:p>
    <w:p w:rsidR="00AC2131" w:rsidRDefault="00AC2131" w:rsidP="00AC2131">
      <w:pPr>
        <w:pStyle w:val="BodyText"/>
      </w:pPr>
      <w:r>
        <w:t>At the sectoral level, there is considerable disparity in the negotiated services outcomes across countries with the most open being Australia (9 restricted sectors) and New Zealand (5 sectors) which have the lowest number of sectors restricting market access and/or national treatment for foreign firms.</w:t>
      </w:r>
      <w:r>
        <w:rPr>
          <w:rStyle w:val="FootnoteReference"/>
        </w:rPr>
        <w:footnoteReference w:id="29"/>
      </w:r>
      <w:r>
        <w:t xml:space="preserve"> Where restrictions persist in those two countries, these are mainly in the areas of banking services, insurance, maritime transport and media ownership. Those restrictions typically apply to domestic and foreign firms (that is, national treatment is applied) so they are non-discriminatory. By comparison, other parties to the AANZFTA agreement have a much higher number of restrictions in place (including those countries such as Malaysia, Thailand and Singapore which have separate bilateral agreements with Australia).</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4.</w:t>
            </w:r>
            <w:r>
              <w:rPr>
                <w:b w:val="0"/>
                <w:noProof/>
              </w:rPr>
              <w:t>3</w:t>
            </w:r>
            <w:r>
              <w:tab/>
              <w:t>Services commitments in the ASEAN-Australia-New Zealand trade agreement</w:t>
            </w:r>
            <w:r w:rsidRPr="00762D9A">
              <w:rPr>
                <w:rStyle w:val="NoteLabel"/>
                <w:b/>
              </w:rPr>
              <w:t>a</w:t>
            </w:r>
            <w:r>
              <w:rPr>
                <w:rStyle w:val="NoteLabel"/>
                <w:b/>
              </w:rPr>
              <w:t>,b</w:t>
            </w:r>
          </w:p>
          <w:p w:rsidR="00AC2131" w:rsidRPr="007D0D06" w:rsidRDefault="00AC2131" w:rsidP="00AC2131">
            <w:pPr>
              <w:pStyle w:val="Subtitle"/>
            </w:pPr>
            <w:r w:rsidRPr="007D0D06">
              <w:t>Number of sector</w:t>
            </w:r>
            <w:r>
              <w:t>al line item</w:t>
            </w:r>
            <w:r w:rsidRPr="007D0D06">
              <w:t>s with restricted or unrestricted market access and national treatment provisions</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AC2131" w:rsidTr="00AC2131">
              <w:tc>
                <w:tcPr>
                  <w:tcW w:w="1667" w:type="pct"/>
                  <w:tcBorders>
                    <w:top w:val="single" w:sz="4" w:space="0" w:color="BFBFBF"/>
                    <w:bottom w:val="single" w:sz="4" w:space="0" w:color="BFBFBF"/>
                  </w:tcBorders>
                  <w:shd w:val="clear" w:color="auto" w:fill="auto"/>
                  <w:tcMar>
                    <w:top w:w="28" w:type="dxa"/>
                  </w:tcMar>
                </w:tcPr>
                <w:p w:rsidR="00AC2131" w:rsidRDefault="00AC2131" w:rsidP="00AC2131">
                  <w:pPr>
                    <w:pStyle w:val="TableColumnHeading"/>
                    <w:jc w:val="left"/>
                  </w:pPr>
                  <w:r>
                    <w:t>Member</w:t>
                  </w:r>
                </w:p>
              </w:tc>
              <w:tc>
                <w:tcPr>
                  <w:tcW w:w="1667" w:type="pct"/>
                  <w:tcBorders>
                    <w:top w:val="single" w:sz="4" w:space="0" w:color="BFBFBF"/>
                    <w:bottom w:val="single" w:sz="4" w:space="0" w:color="BFBFBF"/>
                  </w:tcBorders>
                  <w:shd w:val="clear" w:color="auto" w:fill="auto"/>
                  <w:tcMar>
                    <w:top w:w="28" w:type="dxa"/>
                  </w:tcMar>
                </w:tcPr>
                <w:p w:rsidR="00AC2131" w:rsidRDefault="00AC2131" w:rsidP="00AC2131">
                  <w:pPr>
                    <w:pStyle w:val="TableColumnHeading"/>
                  </w:pPr>
                  <w:r>
                    <w:t xml:space="preserve">Restricted sectoral line items </w:t>
                  </w:r>
                </w:p>
              </w:tc>
              <w:tc>
                <w:tcPr>
                  <w:tcW w:w="1666" w:type="pct"/>
                  <w:tcBorders>
                    <w:top w:val="single" w:sz="4" w:space="0" w:color="BFBFBF"/>
                    <w:bottom w:val="single" w:sz="4" w:space="0" w:color="BFBFBF"/>
                  </w:tcBorders>
                  <w:shd w:val="clear" w:color="auto" w:fill="auto"/>
                  <w:tcMar>
                    <w:top w:w="28" w:type="dxa"/>
                  </w:tcMar>
                </w:tcPr>
                <w:p w:rsidR="00AC2131" w:rsidRDefault="00AC2131" w:rsidP="00AC2131">
                  <w:pPr>
                    <w:pStyle w:val="TableColumnHeading"/>
                    <w:ind w:right="28"/>
                  </w:pPr>
                  <w:r>
                    <w:t>Unrestricted sectoral line items</w:t>
                  </w:r>
                </w:p>
              </w:tc>
            </w:tr>
            <w:tr w:rsidR="00AC2131" w:rsidTr="00AC2131">
              <w:tc>
                <w:tcPr>
                  <w:tcW w:w="1667" w:type="pct"/>
                  <w:tcBorders>
                    <w:top w:val="single" w:sz="4" w:space="0" w:color="BFBFBF"/>
                  </w:tcBorders>
                </w:tcPr>
                <w:p w:rsidR="00AC2131" w:rsidRDefault="00AC2131" w:rsidP="00AC2131">
                  <w:pPr>
                    <w:pStyle w:val="TableUnitsRow"/>
                    <w:jc w:val="left"/>
                  </w:pPr>
                  <w:r>
                    <w:t>Australia</w:t>
                  </w:r>
                </w:p>
              </w:tc>
              <w:tc>
                <w:tcPr>
                  <w:tcW w:w="1667" w:type="pct"/>
                  <w:tcBorders>
                    <w:top w:val="single" w:sz="4" w:space="0" w:color="BFBFBF"/>
                  </w:tcBorders>
                </w:tcPr>
                <w:p w:rsidR="00AC2131" w:rsidRDefault="00AC2131" w:rsidP="00AC2131">
                  <w:pPr>
                    <w:pStyle w:val="TableUnitsRow"/>
                  </w:pPr>
                  <w:r>
                    <w:t>8</w:t>
                  </w:r>
                </w:p>
              </w:tc>
              <w:tc>
                <w:tcPr>
                  <w:tcW w:w="1666" w:type="pct"/>
                  <w:tcBorders>
                    <w:top w:val="single" w:sz="4" w:space="0" w:color="BFBFBF"/>
                  </w:tcBorders>
                </w:tcPr>
                <w:p w:rsidR="00AC2131" w:rsidRDefault="00AC2131" w:rsidP="00AC2131">
                  <w:pPr>
                    <w:pStyle w:val="TableUnitsRow"/>
                    <w:ind w:right="28"/>
                    <w:rPr>
                      <w:i/>
                    </w:rPr>
                  </w:pPr>
                  <w:r>
                    <w:t>81</w:t>
                  </w:r>
                </w:p>
              </w:tc>
            </w:tr>
            <w:tr w:rsidR="00AC2131" w:rsidTr="00AC2131">
              <w:tc>
                <w:tcPr>
                  <w:tcW w:w="1667" w:type="pct"/>
                </w:tcPr>
                <w:p w:rsidR="00AC2131" w:rsidRDefault="00AC2131" w:rsidP="00AC2131">
                  <w:pPr>
                    <w:pStyle w:val="TableUnitsRow"/>
                    <w:jc w:val="left"/>
                  </w:pPr>
                  <w:r>
                    <w:t>New Zealand</w:t>
                  </w:r>
                </w:p>
              </w:tc>
              <w:tc>
                <w:tcPr>
                  <w:tcW w:w="1667" w:type="pct"/>
                </w:tcPr>
                <w:p w:rsidR="00AC2131" w:rsidRDefault="00AC2131" w:rsidP="00AC2131">
                  <w:pPr>
                    <w:pStyle w:val="TableUnitsRow"/>
                  </w:pPr>
                  <w:r>
                    <w:t>5</w:t>
                  </w:r>
                </w:p>
              </w:tc>
              <w:tc>
                <w:tcPr>
                  <w:tcW w:w="1666" w:type="pct"/>
                </w:tcPr>
                <w:p w:rsidR="00AC2131" w:rsidRDefault="00AC2131" w:rsidP="00AC2131">
                  <w:pPr>
                    <w:pStyle w:val="TableUnitsRow"/>
                    <w:ind w:right="28"/>
                    <w:rPr>
                      <w:i/>
                    </w:rPr>
                  </w:pPr>
                  <w:r>
                    <w:t>93</w:t>
                  </w:r>
                </w:p>
              </w:tc>
            </w:tr>
            <w:tr w:rsidR="00AC2131" w:rsidTr="00AC2131">
              <w:tc>
                <w:tcPr>
                  <w:tcW w:w="1667" w:type="pct"/>
                </w:tcPr>
                <w:p w:rsidR="00AC2131" w:rsidRDefault="00AC2131" w:rsidP="00AC2131">
                  <w:pPr>
                    <w:pStyle w:val="TableUnitsRow"/>
                    <w:jc w:val="left"/>
                  </w:pPr>
                  <w:r>
                    <w:t>Singapore</w:t>
                  </w:r>
                </w:p>
              </w:tc>
              <w:tc>
                <w:tcPr>
                  <w:tcW w:w="1667" w:type="pct"/>
                </w:tcPr>
                <w:p w:rsidR="00AC2131" w:rsidRDefault="00AC2131" w:rsidP="00AC2131">
                  <w:pPr>
                    <w:pStyle w:val="TableUnitsRow"/>
                  </w:pPr>
                  <w:r>
                    <w:t>31</w:t>
                  </w:r>
                </w:p>
              </w:tc>
              <w:tc>
                <w:tcPr>
                  <w:tcW w:w="1666" w:type="pct"/>
                </w:tcPr>
                <w:p w:rsidR="00AC2131" w:rsidRDefault="00AC2131" w:rsidP="00AC2131">
                  <w:pPr>
                    <w:pStyle w:val="TableUnitsRow"/>
                    <w:ind w:right="28"/>
                  </w:pPr>
                  <w:r>
                    <w:t>39</w:t>
                  </w:r>
                </w:p>
              </w:tc>
            </w:tr>
            <w:tr w:rsidR="00AC2131" w:rsidTr="00AC2131">
              <w:tc>
                <w:tcPr>
                  <w:tcW w:w="1667" w:type="pct"/>
                </w:tcPr>
                <w:p w:rsidR="00AC2131" w:rsidRDefault="00AC2131" w:rsidP="00AC2131">
                  <w:pPr>
                    <w:pStyle w:val="TableUnitsRow"/>
                    <w:jc w:val="left"/>
                  </w:pPr>
                  <w:r>
                    <w:t>Thailand</w:t>
                  </w:r>
                </w:p>
              </w:tc>
              <w:tc>
                <w:tcPr>
                  <w:tcW w:w="1667" w:type="pct"/>
                </w:tcPr>
                <w:p w:rsidR="00AC2131" w:rsidRDefault="00AC2131" w:rsidP="00AC2131">
                  <w:pPr>
                    <w:pStyle w:val="TableUnitsRow"/>
                  </w:pPr>
                  <w:r>
                    <w:t>25</w:t>
                  </w:r>
                </w:p>
              </w:tc>
              <w:tc>
                <w:tcPr>
                  <w:tcW w:w="1666" w:type="pct"/>
                </w:tcPr>
                <w:p w:rsidR="00AC2131" w:rsidRDefault="00AC2131" w:rsidP="00AC2131">
                  <w:pPr>
                    <w:pStyle w:val="TableUnitsRow"/>
                    <w:ind w:right="28"/>
                    <w:rPr>
                      <w:i/>
                    </w:rPr>
                  </w:pPr>
                  <w:r>
                    <w:t>41</w:t>
                  </w:r>
                </w:p>
              </w:tc>
            </w:tr>
            <w:tr w:rsidR="00AC2131" w:rsidTr="00AC2131">
              <w:tc>
                <w:tcPr>
                  <w:tcW w:w="1667" w:type="pct"/>
                </w:tcPr>
                <w:p w:rsidR="00AC2131" w:rsidRDefault="00AC2131" w:rsidP="00AC2131">
                  <w:pPr>
                    <w:pStyle w:val="TableUnitsRow"/>
                    <w:jc w:val="left"/>
                  </w:pPr>
                  <w:r>
                    <w:t>Vietnam</w:t>
                  </w:r>
                </w:p>
              </w:tc>
              <w:tc>
                <w:tcPr>
                  <w:tcW w:w="1667" w:type="pct"/>
                </w:tcPr>
                <w:p w:rsidR="00AC2131" w:rsidRDefault="00AC2131" w:rsidP="00AC2131">
                  <w:pPr>
                    <w:pStyle w:val="TableUnitsRow"/>
                  </w:pPr>
                  <w:r>
                    <w:t>49</w:t>
                  </w:r>
                </w:p>
              </w:tc>
              <w:tc>
                <w:tcPr>
                  <w:tcW w:w="1666" w:type="pct"/>
                </w:tcPr>
                <w:p w:rsidR="00AC2131" w:rsidRDefault="00AC2131" w:rsidP="00AC2131">
                  <w:pPr>
                    <w:pStyle w:val="TableUnitsRow"/>
                    <w:ind w:right="28"/>
                  </w:pPr>
                  <w:r>
                    <w:t>40</w:t>
                  </w:r>
                </w:p>
              </w:tc>
            </w:tr>
            <w:tr w:rsidR="00AC2131" w:rsidTr="00AC2131">
              <w:tc>
                <w:tcPr>
                  <w:tcW w:w="1667" w:type="pct"/>
                </w:tcPr>
                <w:p w:rsidR="00AC2131" w:rsidRDefault="00AC2131" w:rsidP="00AC2131">
                  <w:pPr>
                    <w:pStyle w:val="TableUnitsRow"/>
                    <w:jc w:val="left"/>
                  </w:pPr>
                  <w:r>
                    <w:t>Indonesia</w:t>
                  </w:r>
                </w:p>
              </w:tc>
              <w:tc>
                <w:tcPr>
                  <w:tcW w:w="1667" w:type="pct"/>
                </w:tcPr>
                <w:p w:rsidR="00AC2131" w:rsidRDefault="00AC2131" w:rsidP="00AC2131">
                  <w:pPr>
                    <w:pStyle w:val="TableUnitsRow"/>
                  </w:pPr>
                  <w:r>
                    <w:t>59</w:t>
                  </w:r>
                </w:p>
              </w:tc>
              <w:tc>
                <w:tcPr>
                  <w:tcW w:w="1666" w:type="pct"/>
                </w:tcPr>
                <w:p w:rsidR="00AC2131" w:rsidRDefault="00AC2131" w:rsidP="00AC2131">
                  <w:pPr>
                    <w:pStyle w:val="TableUnitsRow"/>
                    <w:ind w:right="28"/>
                  </w:pPr>
                  <w:r>
                    <w:t>3</w:t>
                  </w:r>
                </w:p>
              </w:tc>
            </w:tr>
            <w:tr w:rsidR="00AC2131" w:rsidTr="00AC2131">
              <w:tc>
                <w:tcPr>
                  <w:tcW w:w="1667" w:type="pct"/>
                </w:tcPr>
                <w:p w:rsidR="00AC2131" w:rsidRDefault="00AC2131" w:rsidP="00AC2131">
                  <w:pPr>
                    <w:pStyle w:val="TableUnitsRow"/>
                    <w:jc w:val="left"/>
                  </w:pPr>
                  <w:r>
                    <w:t>Malaysia</w:t>
                  </w:r>
                </w:p>
              </w:tc>
              <w:tc>
                <w:tcPr>
                  <w:tcW w:w="1667" w:type="pct"/>
                </w:tcPr>
                <w:p w:rsidR="00AC2131" w:rsidRDefault="00AC2131" w:rsidP="00AC2131">
                  <w:pPr>
                    <w:pStyle w:val="TableUnitsRow"/>
                  </w:pPr>
                  <w:r>
                    <w:t>72</w:t>
                  </w:r>
                </w:p>
              </w:tc>
              <w:tc>
                <w:tcPr>
                  <w:tcW w:w="1666" w:type="pct"/>
                </w:tcPr>
                <w:p w:rsidR="00AC2131" w:rsidRDefault="00AC2131" w:rsidP="00AC2131">
                  <w:pPr>
                    <w:pStyle w:val="TableUnitsRow"/>
                    <w:ind w:right="28"/>
                    <w:rPr>
                      <w:i/>
                    </w:rPr>
                  </w:pPr>
                  <w:r>
                    <w:t>6</w:t>
                  </w:r>
                </w:p>
              </w:tc>
            </w:tr>
            <w:tr w:rsidR="00AC2131" w:rsidTr="00AC2131">
              <w:tc>
                <w:tcPr>
                  <w:tcW w:w="1667" w:type="pct"/>
                </w:tcPr>
                <w:p w:rsidR="00AC2131" w:rsidRDefault="00AC2131" w:rsidP="00AC2131">
                  <w:pPr>
                    <w:pStyle w:val="TableUnitsRow"/>
                    <w:jc w:val="left"/>
                  </w:pPr>
                  <w:r>
                    <w:t>Laos</w:t>
                  </w:r>
                </w:p>
              </w:tc>
              <w:tc>
                <w:tcPr>
                  <w:tcW w:w="1667" w:type="pct"/>
                </w:tcPr>
                <w:p w:rsidR="00AC2131" w:rsidRDefault="00AC2131" w:rsidP="00AC2131">
                  <w:pPr>
                    <w:pStyle w:val="TableUnitsRow"/>
                  </w:pPr>
                  <w:r>
                    <w:t>10</w:t>
                  </w:r>
                </w:p>
              </w:tc>
              <w:tc>
                <w:tcPr>
                  <w:tcW w:w="1666" w:type="pct"/>
                </w:tcPr>
                <w:p w:rsidR="00AC2131" w:rsidRDefault="00AC2131" w:rsidP="00AC2131">
                  <w:pPr>
                    <w:pStyle w:val="TableUnitsRow"/>
                    <w:ind w:right="28"/>
                    <w:rPr>
                      <w:i/>
                    </w:rPr>
                  </w:pPr>
                  <w:r>
                    <w:t>26</w:t>
                  </w:r>
                </w:p>
              </w:tc>
            </w:tr>
            <w:tr w:rsidR="00AC2131" w:rsidTr="00AC2131">
              <w:tc>
                <w:tcPr>
                  <w:tcW w:w="1667" w:type="pct"/>
                </w:tcPr>
                <w:p w:rsidR="00AC2131" w:rsidRDefault="00AC2131" w:rsidP="00AC2131">
                  <w:pPr>
                    <w:pStyle w:val="TableUnitsRow"/>
                    <w:jc w:val="left"/>
                  </w:pPr>
                  <w:r>
                    <w:t>Myanmar</w:t>
                  </w:r>
                </w:p>
              </w:tc>
              <w:tc>
                <w:tcPr>
                  <w:tcW w:w="1667" w:type="pct"/>
                </w:tcPr>
                <w:p w:rsidR="00AC2131" w:rsidRDefault="00AC2131" w:rsidP="00AC2131">
                  <w:pPr>
                    <w:pStyle w:val="TableUnitsRow"/>
                    <w:rPr>
                      <w:i/>
                    </w:rPr>
                  </w:pPr>
                  <w:r>
                    <w:t>22</w:t>
                  </w:r>
                </w:p>
              </w:tc>
              <w:tc>
                <w:tcPr>
                  <w:tcW w:w="1666" w:type="pct"/>
                </w:tcPr>
                <w:p w:rsidR="00AC2131" w:rsidRDefault="00AC2131" w:rsidP="00AC2131">
                  <w:pPr>
                    <w:pStyle w:val="TableUnitsRow"/>
                    <w:ind w:right="28"/>
                  </w:pPr>
                  <w:r>
                    <w:t>9</w:t>
                  </w:r>
                </w:p>
              </w:tc>
            </w:tr>
            <w:tr w:rsidR="00AC2131" w:rsidTr="00AC2131">
              <w:tc>
                <w:tcPr>
                  <w:tcW w:w="1667" w:type="pct"/>
                </w:tcPr>
                <w:p w:rsidR="00AC2131" w:rsidRDefault="00AC2131" w:rsidP="00AC2131">
                  <w:pPr>
                    <w:pStyle w:val="TableUnitsRow"/>
                    <w:jc w:val="left"/>
                  </w:pPr>
                  <w:r>
                    <w:t>Cambodia</w:t>
                  </w:r>
                </w:p>
              </w:tc>
              <w:tc>
                <w:tcPr>
                  <w:tcW w:w="1667" w:type="pct"/>
                </w:tcPr>
                <w:p w:rsidR="00AC2131" w:rsidRDefault="00AC2131" w:rsidP="00AC2131">
                  <w:pPr>
                    <w:pStyle w:val="TableUnitsRow"/>
                  </w:pPr>
                  <w:r>
                    <w:t>19</w:t>
                  </w:r>
                </w:p>
              </w:tc>
              <w:tc>
                <w:tcPr>
                  <w:tcW w:w="1666" w:type="pct"/>
                </w:tcPr>
                <w:p w:rsidR="00AC2131" w:rsidRDefault="00AC2131" w:rsidP="00AC2131">
                  <w:pPr>
                    <w:pStyle w:val="TableUnitsRow"/>
                    <w:ind w:right="28"/>
                    <w:rPr>
                      <w:i/>
                    </w:rPr>
                  </w:pPr>
                  <w:r>
                    <w:t>60</w:t>
                  </w:r>
                </w:p>
              </w:tc>
            </w:tr>
            <w:tr w:rsidR="00AC2131" w:rsidTr="00AC2131">
              <w:tc>
                <w:tcPr>
                  <w:tcW w:w="1667" w:type="pct"/>
                </w:tcPr>
                <w:p w:rsidR="00AC2131" w:rsidRDefault="00AC2131" w:rsidP="00AC2131">
                  <w:pPr>
                    <w:pStyle w:val="TableUnitsRow"/>
                    <w:jc w:val="left"/>
                  </w:pPr>
                  <w:r>
                    <w:t>Philippines</w:t>
                  </w:r>
                </w:p>
              </w:tc>
              <w:tc>
                <w:tcPr>
                  <w:tcW w:w="1667" w:type="pct"/>
                </w:tcPr>
                <w:p w:rsidR="00AC2131" w:rsidRDefault="00AC2131" w:rsidP="00AC2131">
                  <w:pPr>
                    <w:pStyle w:val="TableUnitsRow"/>
                  </w:pPr>
                  <w:r>
                    <w:t>56</w:t>
                  </w:r>
                </w:p>
              </w:tc>
              <w:tc>
                <w:tcPr>
                  <w:tcW w:w="1666" w:type="pct"/>
                </w:tcPr>
                <w:p w:rsidR="00AC2131" w:rsidRDefault="00AC2131" w:rsidP="00AC2131">
                  <w:pPr>
                    <w:pStyle w:val="TableUnitsRow"/>
                    <w:ind w:right="28"/>
                  </w:pPr>
                  <w:r>
                    <w:t>1</w:t>
                  </w:r>
                </w:p>
              </w:tc>
            </w:tr>
            <w:tr w:rsidR="00AC2131" w:rsidTr="00AC2131">
              <w:tc>
                <w:tcPr>
                  <w:tcW w:w="1667" w:type="pct"/>
                  <w:tcBorders>
                    <w:bottom w:val="single" w:sz="4" w:space="0" w:color="BFBFBF"/>
                  </w:tcBorders>
                </w:tcPr>
                <w:p w:rsidR="00AC2131" w:rsidRDefault="00AC2131" w:rsidP="00AC2131">
                  <w:pPr>
                    <w:pStyle w:val="TableUnitsRow"/>
                    <w:jc w:val="left"/>
                  </w:pPr>
                  <w:r>
                    <w:t>Brunei</w:t>
                  </w:r>
                </w:p>
              </w:tc>
              <w:tc>
                <w:tcPr>
                  <w:tcW w:w="1667" w:type="pct"/>
                  <w:tcBorders>
                    <w:bottom w:val="single" w:sz="4" w:space="0" w:color="BFBFBF"/>
                  </w:tcBorders>
                </w:tcPr>
                <w:p w:rsidR="00AC2131" w:rsidRDefault="00AC2131" w:rsidP="00AC2131">
                  <w:pPr>
                    <w:pStyle w:val="TableUnitsRow"/>
                  </w:pPr>
                  <w:r>
                    <w:t>22</w:t>
                  </w:r>
                </w:p>
              </w:tc>
              <w:tc>
                <w:tcPr>
                  <w:tcW w:w="1666" w:type="pct"/>
                  <w:tcBorders>
                    <w:bottom w:val="single" w:sz="4" w:space="0" w:color="BFBFBF"/>
                  </w:tcBorders>
                </w:tcPr>
                <w:p w:rsidR="00AC2131" w:rsidRDefault="00AC2131" w:rsidP="00AC2131">
                  <w:pPr>
                    <w:pStyle w:val="TableUnitsRow"/>
                    <w:ind w:right="28"/>
                  </w:pPr>
                  <w:r>
                    <w:t>1</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sidRPr="008E77FE">
              <w:rPr>
                <w:rStyle w:val="NoteLabel"/>
              </w:rPr>
              <w:t>a</w:t>
            </w:r>
            <w:r>
              <w:t xml:space="preserve"> Commitments are not made to a uniform classification. Hence, aggregation of restricted, unrestricted and unlisted items do not add to a common total across members. </w:t>
            </w:r>
            <w:r>
              <w:rPr>
                <w:rStyle w:val="NoteLabel"/>
              </w:rPr>
              <w:t>b</w:t>
            </w:r>
            <w:r>
              <w:t> The methodology used to construct this table involved an examination of the schedules of specific services commitments provided by individual ASEAN members as part of AANZFTA. Where countries indicated no market access or national treatment limitations on cross-border supply, consumption abroad or commercial presence, the relevant sector or sub-sector was categorised as unrestricted. Where some form of limitation was indicated, the relevant sector or sub-sector was categorised as restricted. Where no specific reference to a sector or sub-sector was made, that sector or sub-sector was not included as either a restricted or unrestricted category. Differences in individual country reporting practices means the combined number of restricted and unrestricted sectors differ across countries.</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 (see Appendix D).</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While this analysis sheds light on the number of restrictions across countries and their broad nature it does not indicate the degree of absolute or relative trade restrictiveness. Nor does it show how AANZFTA commitments compare to multilateral undertakings. Fully assessing the depth and quality of commitments is problematic (WTO 2011b). Nevertheless, partial assessments have been made by assigning scores to market access commitments depending on whether they involve ‘full’, ‘partial’ or ‘no liberalisation’. The resulting index calculated by weighting scores across trade categories, can then be used to compare the level of liberalisation across countries and across time.</w:t>
      </w:r>
    </w:p>
    <w:p w:rsidR="00AC2131" w:rsidRDefault="00AC2131" w:rsidP="00AC2131">
      <w:pPr>
        <w:pStyle w:val="BodyText"/>
      </w:pPr>
      <w:r>
        <w:t xml:space="preserve">Table 4.4 presents index scores for individual country commitments in AANZFTA which entered into force in 2010 and compares these with commitments made to the WTO General Agreement on Trade in Services (GATS) which entered into force in 1995. The table highlights and reinforces the significant disparity in services commitments across countries, the size of the gap between actual commitments and unrestricted services trade (a score of 100) and also the limited progress in further liberalising services trade in AANZFTA compared to the earlier GATS commitments. And while Australia ranks as the </w:t>
      </w:r>
      <w:r>
        <w:lastRenderedPageBreak/>
        <w:t>most open country relative to its AANZFTA partners, Australia’s services commitments in other preferential agreements are considerably more liberal. For example, in its bilateral agreement with the United States, Australia achieved an index score of 81.5 under the WTO index. This result is consistent with the observation that larger trading powers tend to receive more concessions in preferential trading agreements than other trading partners (WTO 2011b, p.8).</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4.</w:t>
            </w:r>
            <w:r>
              <w:rPr>
                <w:b w:val="0"/>
                <w:noProof/>
              </w:rPr>
              <w:t>4</w:t>
            </w:r>
            <w:r>
              <w:tab/>
              <w:t>Comparison of GATS and AANZFTA services commitments</w:t>
            </w:r>
            <w:r w:rsidRPr="00564B96">
              <w:rPr>
                <w:rStyle w:val="NoteLabel"/>
                <w:b/>
              </w:rPr>
              <w:t>a</w:t>
            </w:r>
          </w:p>
          <w:p w:rsidR="00AC2131" w:rsidRPr="00784A05" w:rsidRDefault="00AC2131" w:rsidP="00AC2131">
            <w:pPr>
              <w:pStyle w:val="Subtitle"/>
            </w:pPr>
            <w:r>
              <w:t>Index score out of 100</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47"/>
              <w:gridCol w:w="768"/>
              <w:gridCol w:w="900"/>
              <w:gridCol w:w="830"/>
              <w:gridCol w:w="990"/>
              <w:gridCol w:w="940"/>
              <w:gridCol w:w="810"/>
              <w:gridCol w:w="780"/>
              <w:gridCol w:w="820"/>
              <w:gridCol w:w="702"/>
            </w:tblGrid>
            <w:tr w:rsidR="00AC2131" w:rsidTr="00AC2131">
              <w:tc>
                <w:tcPr>
                  <w:tcW w:w="589" w:type="pct"/>
                  <w:tcBorders>
                    <w:top w:val="single" w:sz="6" w:space="0" w:color="BFBFBF"/>
                    <w:bottom w:val="single" w:sz="4" w:space="0" w:color="BFBFBF"/>
                  </w:tcBorders>
                  <w:shd w:val="clear" w:color="auto" w:fill="auto"/>
                  <w:tcMar>
                    <w:top w:w="28" w:type="dxa"/>
                  </w:tcMar>
                  <w:vAlign w:val="bottom"/>
                </w:tcPr>
                <w:p w:rsidR="00AC2131" w:rsidRDefault="00AC2131" w:rsidP="00AC2131">
                  <w:pPr>
                    <w:pStyle w:val="TableColumnHeading"/>
                  </w:pPr>
                </w:p>
              </w:tc>
              <w:tc>
                <w:tcPr>
                  <w:tcW w:w="483" w:type="pct"/>
                  <w:tcBorders>
                    <w:top w:val="single" w:sz="6" w:space="0" w:color="BFBFBF"/>
                    <w:bottom w:val="single" w:sz="4" w:space="0" w:color="BFBFBF"/>
                  </w:tcBorders>
                  <w:shd w:val="clear" w:color="auto" w:fill="auto"/>
                  <w:tcMar>
                    <w:top w:w="28" w:type="dxa"/>
                  </w:tcMar>
                  <w:vAlign w:val="bottom"/>
                </w:tcPr>
                <w:p w:rsidR="00AC2131" w:rsidRDefault="00AC2131" w:rsidP="00AC2131">
                  <w:pPr>
                    <w:pStyle w:val="TableColumnHeading"/>
                  </w:pPr>
                  <w:r>
                    <w:t>Brunei</w:t>
                  </w:r>
                </w:p>
              </w:tc>
              <w:tc>
                <w:tcPr>
                  <w:tcW w:w="483" w:type="pct"/>
                  <w:tcBorders>
                    <w:top w:val="single" w:sz="6" w:space="0" w:color="BFBFBF"/>
                    <w:bottom w:val="single" w:sz="4" w:space="0" w:color="BFBFBF"/>
                  </w:tcBorders>
                  <w:shd w:val="clear" w:color="auto" w:fill="auto"/>
                  <w:tcMar>
                    <w:top w:w="28" w:type="dxa"/>
                  </w:tcMar>
                  <w:vAlign w:val="bottom"/>
                </w:tcPr>
                <w:p w:rsidR="00AC2131" w:rsidRDefault="00AC2131" w:rsidP="00AC2131">
                  <w:pPr>
                    <w:pStyle w:val="TableColumnHeading"/>
                  </w:pPr>
                  <w:r>
                    <w:t>Indonesia</w:t>
                  </w:r>
                </w:p>
              </w:tc>
              <w:tc>
                <w:tcPr>
                  <w:tcW w:w="483" w:type="pct"/>
                  <w:tcBorders>
                    <w:top w:val="single" w:sz="6" w:space="0" w:color="BFBFBF"/>
                    <w:bottom w:val="single" w:sz="4" w:space="0" w:color="BFBFBF"/>
                  </w:tcBorders>
                  <w:vAlign w:val="bottom"/>
                </w:tcPr>
                <w:p w:rsidR="00AC2131" w:rsidRDefault="00AC2131" w:rsidP="00AC2131">
                  <w:pPr>
                    <w:pStyle w:val="TableColumnHeading"/>
                  </w:pPr>
                  <w:r>
                    <w:t>Malaysia</w:t>
                  </w:r>
                </w:p>
              </w:tc>
              <w:tc>
                <w:tcPr>
                  <w:tcW w:w="533" w:type="pct"/>
                  <w:tcBorders>
                    <w:top w:val="single" w:sz="6" w:space="0" w:color="BFBFBF"/>
                    <w:bottom w:val="single" w:sz="4" w:space="0" w:color="BFBFBF"/>
                  </w:tcBorders>
                  <w:vAlign w:val="bottom"/>
                </w:tcPr>
                <w:p w:rsidR="00AC2131" w:rsidRDefault="00AC2131" w:rsidP="00AC2131">
                  <w:pPr>
                    <w:pStyle w:val="TableColumnHeading"/>
                  </w:pPr>
                  <w:r>
                    <w:t>Philippines</w:t>
                  </w:r>
                </w:p>
              </w:tc>
              <w:tc>
                <w:tcPr>
                  <w:tcW w:w="504" w:type="pct"/>
                  <w:tcBorders>
                    <w:top w:val="single" w:sz="6" w:space="0" w:color="BFBFBF"/>
                    <w:bottom w:val="single" w:sz="4" w:space="0" w:color="BFBFBF"/>
                  </w:tcBorders>
                  <w:vAlign w:val="bottom"/>
                </w:tcPr>
                <w:p w:rsidR="00AC2131" w:rsidRDefault="00AC2131" w:rsidP="00AC2131">
                  <w:pPr>
                    <w:pStyle w:val="TableColumnHeading"/>
                  </w:pPr>
                  <w:r>
                    <w:t>Singapore</w:t>
                  </w:r>
                </w:p>
              </w:tc>
              <w:tc>
                <w:tcPr>
                  <w:tcW w:w="482" w:type="pct"/>
                  <w:tcBorders>
                    <w:top w:val="single" w:sz="6" w:space="0" w:color="BFBFBF"/>
                    <w:bottom w:val="single" w:sz="4" w:space="0" w:color="BFBFBF"/>
                  </w:tcBorders>
                  <w:vAlign w:val="bottom"/>
                </w:tcPr>
                <w:p w:rsidR="00AC2131" w:rsidRDefault="00AC2131" w:rsidP="00AC2131">
                  <w:pPr>
                    <w:pStyle w:val="TableColumnHeading"/>
                  </w:pPr>
                  <w:r>
                    <w:t>Thailand</w:t>
                  </w:r>
                </w:p>
              </w:tc>
              <w:tc>
                <w:tcPr>
                  <w:tcW w:w="483" w:type="pct"/>
                  <w:tcBorders>
                    <w:top w:val="single" w:sz="6" w:space="0" w:color="BFBFBF"/>
                    <w:bottom w:val="single" w:sz="4" w:space="0" w:color="BFBFBF"/>
                  </w:tcBorders>
                  <w:vAlign w:val="bottom"/>
                </w:tcPr>
                <w:p w:rsidR="00AC2131" w:rsidRDefault="00AC2131" w:rsidP="00AC2131">
                  <w:pPr>
                    <w:pStyle w:val="TableColumnHeading"/>
                  </w:pPr>
                  <w:r>
                    <w:t>Vietnam</w:t>
                  </w:r>
                </w:p>
              </w:tc>
              <w:tc>
                <w:tcPr>
                  <w:tcW w:w="483" w:type="pct"/>
                  <w:tcBorders>
                    <w:top w:val="single" w:sz="6" w:space="0" w:color="BFBFBF"/>
                    <w:bottom w:val="single" w:sz="4" w:space="0" w:color="BFBFBF"/>
                  </w:tcBorders>
                  <w:vAlign w:val="bottom"/>
                </w:tcPr>
                <w:p w:rsidR="00AC2131" w:rsidRDefault="00AC2131" w:rsidP="00AC2131">
                  <w:pPr>
                    <w:pStyle w:val="TableColumnHeading"/>
                  </w:pPr>
                  <w:r>
                    <w:t>Australia</w:t>
                  </w:r>
                </w:p>
              </w:tc>
              <w:tc>
                <w:tcPr>
                  <w:tcW w:w="480" w:type="pct"/>
                  <w:tcBorders>
                    <w:top w:val="single" w:sz="6" w:space="0" w:color="BFBFBF"/>
                    <w:bottom w:val="single" w:sz="4" w:space="0" w:color="BFBFBF"/>
                  </w:tcBorders>
                  <w:vAlign w:val="bottom"/>
                </w:tcPr>
                <w:p w:rsidR="00AC2131" w:rsidRDefault="00AC2131" w:rsidP="00AC2131">
                  <w:pPr>
                    <w:pStyle w:val="TableColumnHeading"/>
                    <w:ind w:right="28"/>
                  </w:pPr>
                  <w:r>
                    <w:t>New Zealand</w:t>
                  </w:r>
                </w:p>
              </w:tc>
            </w:tr>
            <w:tr w:rsidR="00AC2131" w:rsidTr="00AC2131">
              <w:tc>
                <w:tcPr>
                  <w:tcW w:w="589" w:type="pct"/>
                  <w:tcBorders>
                    <w:top w:val="single" w:sz="4" w:space="0" w:color="BFBFBF"/>
                  </w:tcBorders>
                </w:tcPr>
                <w:p w:rsidR="00AC2131" w:rsidRDefault="00AC2131" w:rsidP="00AC2131">
                  <w:pPr>
                    <w:pStyle w:val="TableUnitsRow"/>
                    <w:jc w:val="left"/>
                  </w:pPr>
                  <w:r>
                    <w:t>GATS</w:t>
                  </w:r>
                </w:p>
              </w:tc>
              <w:tc>
                <w:tcPr>
                  <w:tcW w:w="483" w:type="pct"/>
                  <w:tcBorders>
                    <w:top w:val="single" w:sz="4" w:space="0" w:color="BFBFBF"/>
                  </w:tcBorders>
                </w:tcPr>
                <w:p w:rsidR="00AC2131" w:rsidRDefault="00AC2131" w:rsidP="00AC2131">
                  <w:pPr>
                    <w:pStyle w:val="TableUnitsRow"/>
                  </w:pPr>
                  <w:r>
                    <w:t>7.99</w:t>
                  </w:r>
                </w:p>
              </w:tc>
              <w:tc>
                <w:tcPr>
                  <w:tcW w:w="483" w:type="pct"/>
                  <w:tcBorders>
                    <w:top w:val="single" w:sz="4" w:space="0" w:color="BFBFBF"/>
                  </w:tcBorders>
                </w:tcPr>
                <w:p w:rsidR="00AC2131" w:rsidRDefault="00AC2131" w:rsidP="00AC2131">
                  <w:pPr>
                    <w:pStyle w:val="TableUnitsRow"/>
                  </w:pPr>
                  <w:r>
                    <w:t>17.26</w:t>
                  </w:r>
                </w:p>
              </w:tc>
              <w:tc>
                <w:tcPr>
                  <w:tcW w:w="483" w:type="pct"/>
                  <w:tcBorders>
                    <w:top w:val="single" w:sz="4" w:space="0" w:color="BFBFBF"/>
                  </w:tcBorders>
                </w:tcPr>
                <w:p w:rsidR="00AC2131" w:rsidRDefault="00AC2131" w:rsidP="00AC2131">
                  <w:pPr>
                    <w:pStyle w:val="TableUnitsRow"/>
                  </w:pPr>
                  <w:r>
                    <w:t>27.47</w:t>
                  </w:r>
                </w:p>
              </w:tc>
              <w:tc>
                <w:tcPr>
                  <w:tcW w:w="533" w:type="pct"/>
                  <w:tcBorders>
                    <w:top w:val="single" w:sz="4" w:space="0" w:color="BFBFBF"/>
                  </w:tcBorders>
                </w:tcPr>
                <w:p w:rsidR="00AC2131" w:rsidRDefault="00AC2131" w:rsidP="00AC2131">
                  <w:pPr>
                    <w:pStyle w:val="TableUnitsRow"/>
                  </w:pPr>
                  <w:r>
                    <w:t>16.41</w:t>
                  </w:r>
                </w:p>
              </w:tc>
              <w:tc>
                <w:tcPr>
                  <w:tcW w:w="504" w:type="pct"/>
                  <w:tcBorders>
                    <w:top w:val="single" w:sz="4" w:space="0" w:color="BFBFBF"/>
                  </w:tcBorders>
                </w:tcPr>
                <w:p w:rsidR="00AC2131" w:rsidRDefault="00AC2131" w:rsidP="00AC2131">
                  <w:pPr>
                    <w:pStyle w:val="TableUnitsRow"/>
                  </w:pPr>
                  <w:r>
                    <w:t>37.59</w:t>
                  </w:r>
                </w:p>
              </w:tc>
              <w:tc>
                <w:tcPr>
                  <w:tcW w:w="482" w:type="pct"/>
                  <w:tcBorders>
                    <w:top w:val="single" w:sz="4" w:space="0" w:color="BFBFBF"/>
                  </w:tcBorders>
                </w:tcPr>
                <w:p w:rsidR="00AC2131" w:rsidRDefault="00AC2131" w:rsidP="00AC2131">
                  <w:pPr>
                    <w:pStyle w:val="TableUnitsRow"/>
                  </w:pPr>
                  <w:r>
                    <w:t>19.39</w:t>
                  </w:r>
                </w:p>
              </w:tc>
              <w:tc>
                <w:tcPr>
                  <w:tcW w:w="483" w:type="pct"/>
                  <w:tcBorders>
                    <w:top w:val="single" w:sz="4" w:space="0" w:color="BFBFBF"/>
                  </w:tcBorders>
                </w:tcPr>
                <w:p w:rsidR="00AC2131" w:rsidRDefault="00AC2131" w:rsidP="00AC2131">
                  <w:pPr>
                    <w:pStyle w:val="TableUnitsRow"/>
                  </w:pPr>
                  <w:r>
                    <w:t>34.18</w:t>
                  </w:r>
                </w:p>
              </w:tc>
              <w:tc>
                <w:tcPr>
                  <w:tcW w:w="483" w:type="pct"/>
                  <w:tcBorders>
                    <w:top w:val="single" w:sz="4" w:space="0" w:color="BFBFBF"/>
                  </w:tcBorders>
                </w:tcPr>
                <w:p w:rsidR="00AC2131" w:rsidRDefault="00AC2131" w:rsidP="00AC2131">
                  <w:pPr>
                    <w:pStyle w:val="TableUnitsRow"/>
                  </w:pPr>
                  <w:r>
                    <w:t>57.06</w:t>
                  </w:r>
                </w:p>
              </w:tc>
              <w:tc>
                <w:tcPr>
                  <w:tcW w:w="480" w:type="pct"/>
                  <w:tcBorders>
                    <w:top w:val="single" w:sz="4" w:space="0" w:color="BFBFBF"/>
                  </w:tcBorders>
                </w:tcPr>
                <w:p w:rsidR="00AC2131" w:rsidRDefault="00AC2131" w:rsidP="00AC2131">
                  <w:pPr>
                    <w:pStyle w:val="TableUnitsRow"/>
                    <w:ind w:right="28"/>
                  </w:pPr>
                  <w:r>
                    <w:t>54.42</w:t>
                  </w:r>
                </w:p>
              </w:tc>
            </w:tr>
            <w:tr w:rsidR="00AC2131" w:rsidTr="00AC2131">
              <w:tc>
                <w:tcPr>
                  <w:tcW w:w="589" w:type="pct"/>
                  <w:tcBorders>
                    <w:bottom w:val="single" w:sz="4" w:space="0" w:color="BFBFBF"/>
                  </w:tcBorders>
                </w:tcPr>
                <w:p w:rsidR="00AC2131" w:rsidRDefault="00AC2131" w:rsidP="00AC2131">
                  <w:pPr>
                    <w:pStyle w:val="TableBodyText"/>
                    <w:jc w:val="left"/>
                  </w:pPr>
                  <w:r>
                    <w:t>AANZFTA</w:t>
                  </w:r>
                </w:p>
              </w:tc>
              <w:tc>
                <w:tcPr>
                  <w:tcW w:w="483" w:type="pct"/>
                  <w:tcBorders>
                    <w:bottom w:val="single" w:sz="4" w:space="0" w:color="BFBFBF"/>
                  </w:tcBorders>
                </w:tcPr>
                <w:p w:rsidR="00AC2131" w:rsidRDefault="00AC2131" w:rsidP="00AC2131">
                  <w:pPr>
                    <w:pStyle w:val="TableBodyText"/>
                  </w:pPr>
                  <w:r>
                    <w:t>10.2</w:t>
                  </w:r>
                </w:p>
              </w:tc>
              <w:tc>
                <w:tcPr>
                  <w:tcW w:w="483" w:type="pct"/>
                  <w:tcBorders>
                    <w:bottom w:val="single" w:sz="4" w:space="0" w:color="BFBFBF"/>
                  </w:tcBorders>
                </w:tcPr>
                <w:p w:rsidR="00AC2131" w:rsidRDefault="00AC2131" w:rsidP="00AC2131">
                  <w:pPr>
                    <w:pStyle w:val="TableBodyText"/>
                  </w:pPr>
                  <w:r>
                    <w:t>22.3</w:t>
                  </w:r>
                </w:p>
              </w:tc>
              <w:tc>
                <w:tcPr>
                  <w:tcW w:w="483" w:type="pct"/>
                  <w:tcBorders>
                    <w:bottom w:val="single" w:sz="4" w:space="0" w:color="BFBFBF"/>
                  </w:tcBorders>
                </w:tcPr>
                <w:p w:rsidR="00AC2131" w:rsidRDefault="00AC2131" w:rsidP="00AC2131">
                  <w:pPr>
                    <w:pStyle w:val="TableBodyText"/>
                  </w:pPr>
                  <w:r>
                    <w:t>32.36</w:t>
                  </w:r>
                </w:p>
              </w:tc>
              <w:tc>
                <w:tcPr>
                  <w:tcW w:w="533" w:type="pct"/>
                  <w:tcBorders>
                    <w:bottom w:val="single" w:sz="4" w:space="0" w:color="BFBFBF"/>
                  </w:tcBorders>
                </w:tcPr>
                <w:p w:rsidR="00AC2131" w:rsidRDefault="00AC2131" w:rsidP="00AC2131">
                  <w:pPr>
                    <w:pStyle w:val="TableBodyText"/>
                  </w:pPr>
                  <w:r>
                    <w:t>21.47</w:t>
                  </w:r>
                </w:p>
              </w:tc>
              <w:tc>
                <w:tcPr>
                  <w:tcW w:w="504" w:type="pct"/>
                  <w:tcBorders>
                    <w:bottom w:val="single" w:sz="4" w:space="0" w:color="BFBFBF"/>
                  </w:tcBorders>
                </w:tcPr>
                <w:p w:rsidR="00AC2131" w:rsidRDefault="00AC2131" w:rsidP="00AC2131">
                  <w:pPr>
                    <w:pStyle w:val="TableBodyText"/>
                  </w:pPr>
                  <w:r>
                    <w:t>40.31</w:t>
                  </w:r>
                </w:p>
              </w:tc>
              <w:tc>
                <w:tcPr>
                  <w:tcW w:w="482" w:type="pct"/>
                  <w:tcBorders>
                    <w:bottom w:val="single" w:sz="4" w:space="0" w:color="BFBFBF"/>
                  </w:tcBorders>
                </w:tcPr>
                <w:p w:rsidR="00AC2131" w:rsidRDefault="00AC2131" w:rsidP="00AC2131">
                  <w:pPr>
                    <w:pStyle w:val="TableBodyText"/>
                  </w:pPr>
                  <w:r>
                    <w:t>19.69</w:t>
                  </w:r>
                </w:p>
              </w:tc>
              <w:tc>
                <w:tcPr>
                  <w:tcW w:w="483" w:type="pct"/>
                  <w:tcBorders>
                    <w:bottom w:val="single" w:sz="4" w:space="0" w:color="BFBFBF"/>
                  </w:tcBorders>
                </w:tcPr>
                <w:p w:rsidR="00AC2131" w:rsidRDefault="00AC2131" w:rsidP="00AC2131">
                  <w:pPr>
                    <w:pStyle w:val="TableBodyText"/>
                  </w:pPr>
                  <w:r>
                    <w:t>34.35</w:t>
                  </w:r>
                </w:p>
              </w:tc>
              <w:tc>
                <w:tcPr>
                  <w:tcW w:w="483" w:type="pct"/>
                  <w:tcBorders>
                    <w:bottom w:val="single" w:sz="4" w:space="0" w:color="BFBFBF"/>
                  </w:tcBorders>
                </w:tcPr>
                <w:p w:rsidR="00AC2131" w:rsidRDefault="00AC2131" w:rsidP="00AC2131">
                  <w:pPr>
                    <w:pStyle w:val="TableBodyText"/>
                  </w:pPr>
                  <w:r>
                    <w:t>57.06</w:t>
                  </w:r>
                </w:p>
              </w:tc>
              <w:tc>
                <w:tcPr>
                  <w:tcW w:w="480" w:type="pct"/>
                  <w:tcBorders>
                    <w:bottom w:val="single" w:sz="4" w:space="0" w:color="BFBFBF"/>
                  </w:tcBorders>
                </w:tcPr>
                <w:p w:rsidR="00AC2131" w:rsidRDefault="00AC2131" w:rsidP="00AC2131">
                  <w:pPr>
                    <w:pStyle w:val="TableBodyText"/>
                    <w:ind w:right="28"/>
                  </w:pPr>
                  <w:r>
                    <w:t>55.44</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Pr="00564B96" w:rsidRDefault="00AC2131" w:rsidP="00AC2131">
            <w:pPr>
              <w:pStyle w:val="Note"/>
            </w:pPr>
            <w:r w:rsidRPr="00ED14BD">
              <w:rPr>
                <w:rStyle w:val="NoteLabel"/>
              </w:rPr>
              <w:t>a</w:t>
            </w:r>
            <w:r w:rsidRPr="009539A6">
              <w:rPr>
                <w:rStyle w:val="NoteLabel"/>
                <w:b w:val="0"/>
                <w:position w:val="0"/>
              </w:rPr>
              <w:t xml:space="preserve"> </w:t>
            </w:r>
            <w:r>
              <w:rPr>
                <w:rStyle w:val="NoteLabel"/>
                <w:b w:val="0"/>
                <w:position w:val="0"/>
              </w:rPr>
              <w:t xml:space="preserve">A score of 100 represents full commitments in all subs-sectors and relevant modes of supply (cross border trade and commercial presence). For each sub-sector and mode of supply, a score of 1 is given for a full commitment, 0.5 for a partial commitment, and 0 for no commitment. Where a partial commitment improves on GATS, a score of 0.75 is awarded. The index implicitly assumes that all commitments with the same score are equivalent. This is a simplification which cannot substitute for a qualitative analysis of the depth and value of commitments undertaken. </w:t>
            </w:r>
          </w:p>
          <w:p w:rsidR="00AC2131" w:rsidRDefault="00AC2131" w:rsidP="00AC2131">
            <w:pPr>
              <w:pStyle w:val="TableBodyText"/>
              <w:keepNext w:val="0"/>
              <w:spacing w:before="80" w:after="0" w:line="220" w:lineRule="exact"/>
              <w:ind w:left="0" w:right="0"/>
              <w:jc w:val="both"/>
            </w:pPr>
            <w:r>
              <w:rPr>
                <w:i/>
              </w:rPr>
              <w:t>Source</w:t>
            </w:r>
            <w:r w:rsidRPr="00167F06">
              <w:t xml:space="preserve">: </w:t>
            </w:r>
            <w:r>
              <w:t>WTO (2011a).</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In addition, the relaxation of ownership and other restrictions in a number of agreements (especially those with non-English speaking countries) needs to be viewed in the context of cultural or institutional barriers that may limit the effective levels of services liberalisation. Language barriers; complex, unfamiliar legal systems; historical and cultural norms all present material impediments to Australian firms in markets covered by some recent bilateral agreements. In this context, it has been found that Australian services firms tend to enter markets with similar institutions, rules and regulations to those in Australia with Commonwealth countries providing notable examples (Findlay and Rammal 2013). An issue therefore in this context is whether the detailed provisions have any material effect on actual services trade between partner economies. The scale of commercial opportunities offered by offshore markets (particularly those in Asia) would provide a strong incentive for Australian firms to at least consider alternative means of accessing those markets.</w:t>
      </w:r>
    </w:p>
    <w:p w:rsidR="00AC2131" w:rsidRPr="007267E4" w:rsidRDefault="00AC2131" w:rsidP="00AC2131">
      <w:pPr>
        <w:pStyle w:val="BodyText"/>
        <w:rPr>
          <w:sz w:val="22"/>
        </w:rPr>
      </w:pPr>
      <w:r>
        <w:t xml:space="preserve">Prospects for expanded services trade as a result of specific agreements need to be considered in this overall light. In its report on Bilateral and Regional Trade Agreements, the Commission found that Australian firms had made little use of the services provisions in BRTAs negotiated up to that point (PC 2010a, p. 156). Reasons for not taking advantage of negotiated provisions for market access varied across service industries but in broad terms reflected the fact that the </w:t>
      </w:r>
      <w:r w:rsidRPr="003A5267">
        <w:rPr>
          <w:i/>
        </w:rPr>
        <w:t>actual</w:t>
      </w:r>
      <w:r>
        <w:t xml:space="preserve"> barriers to services trade existed beyond the sphere of government control and hence were not influenced as much by services provisions in trade agreements (although it was recognised they can serve as one possible catalyst for negotiations between sub-government service regulators) as other factors. For example, in professional services (such as legal, financial and architectural firms), the requirements for </w:t>
      </w:r>
      <w:r>
        <w:lastRenderedPageBreak/>
        <w:t>registration and professional practice are regulated by professional associations rather than jurisdictional governments.</w:t>
      </w:r>
    </w:p>
    <w:p w:rsidR="00AC2131" w:rsidRDefault="00AC2131" w:rsidP="00AC2131">
      <w:pPr>
        <w:pStyle w:val="BodyText"/>
      </w:pPr>
      <w:r>
        <w:t>Also, the incremental benefits of agreement provisions may not be as great as envisaged because the negotiated commitments have been rendered superfluous because firms had already found cost-effective ways to work around existing barriers behind the border. For example, where foreign ownership (in whole or part) of service providers has been limited or prohibited, Australian firms may forge strategic and other alliances (including networks) with local firms to circumvent such restrictions (PC 2010a, p. xxiv).</w:t>
      </w:r>
      <w:r>
        <w:rPr>
          <w:rStyle w:val="FootnoteReference"/>
        </w:rPr>
        <w:footnoteReference w:id="30"/>
      </w:r>
    </w:p>
    <w:p w:rsidR="00AC2131" w:rsidRDefault="00AC2131" w:rsidP="00AC2131">
      <w:pPr>
        <w:pStyle w:val="Heading2"/>
        <w:rPr>
          <w:lang w:val="en"/>
        </w:rPr>
      </w:pPr>
      <w:r>
        <w:rPr>
          <w:lang w:val="en"/>
        </w:rPr>
        <w:t>4.</w:t>
      </w:r>
      <w:r>
        <w:rPr>
          <w:noProof/>
          <w:lang w:val="en"/>
        </w:rPr>
        <w:t>3</w:t>
      </w:r>
      <w:r w:rsidRPr="009C7CF8">
        <w:rPr>
          <w:lang w:val="en"/>
        </w:rPr>
        <w:tab/>
      </w:r>
      <w:r w:rsidRPr="007267E4">
        <w:rPr>
          <w:lang w:val="en"/>
        </w:rPr>
        <w:t xml:space="preserve">Intellectual </w:t>
      </w:r>
      <w:r>
        <w:rPr>
          <w:lang w:val="en"/>
        </w:rPr>
        <w:t>p</w:t>
      </w:r>
      <w:r w:rsidRPr="007267E4">
        <w:rPr>
          <w:lang w:val="en"/>
        </w:rPr>
        <w:t xml:space="preserve">roperty </w:t>
      </w:r>
      <w:r>
        <w:rPr>
          <w:lang w:val="en"/>
        </w:rPr>
        <w:t>p</w:t>
      </w:r>
      <w:r w:rsidRPr="007267E4">
        <w:rPr>
          <w:lang w:val="en"/>
        </w:rPr>
        <w:t>rovisions</w:t>
      </w:r>
    </w:p>
    <w:p w:rsidR="00AC2131" w:rsidRDefault="00AC2131" w:rsidP="00AC2131">
      <w:pPr>
        <w:pStyle w:val="BodyText"/>
      </w:pPr>
      <w:r>
        <w:t>The protection of intellectual property (IP) rights has become a mainstream feature of trade agreements at the bilateral, regional and plurilateral level. While the WTO Trade Related Aspects of Intellectual Property Rights (TRIPS) Agreement set minimum standards for the scope, length of term, administration and enforcement of IP rights, some preferential agreements (including those to which Australia is a participant) have provided, or are seeking to provide, more stringent protections. For individual countries, the impact of these provisions will directly depend on whether they are net exporters or importers of different forms of IP material. More broadly, the impact of the provisions will depend on how they affect the level and growth in economic activity in partner economies.</w:t>
      </w:r>
    </w:p>
    <w:p w:rsidR="00AC2131" w:rsidRDefault="00AC2131" w:rsidP="00AC2131">
      <w:pPr>
        <w:pStyle w:val="BodyText"/>
      </w:pPr>
      <w:r>
        <w:t>While most of Australia’s bilateral trade agreements simply reaffirm commitments to the TRIPS Agreement, the agreement with the United States (a net IP exporter) and Chile (which has a similar agreement with the United States) have a wider coverage than either TRIPS or other bilateral agreements and impose more stringent provisions. For example, the term of copyright protection under the Australia-United States agreement was extended to the life of the author plus 70 years and compares with life plus 50 years under TRIPS. As discussed in the Commission’s report on Bilateral and Regional Trade Agreements, that extension is likely to have imposed a net cost on Australia (PC 2010a, p. 259).</w:t>
      </w:r>
      <w:r>
        <w:rPr>
          <w:rStyle w:val="FootnoteReference"/>
        </w:rPr>
        <w:footnoteReference w:id="31"/>
      </w:r>
      <w:r>
        <w:t xml:space="preserve"> Concerns have also been expressed about other features of AUSFTA. These include restrictions on circumventing technological protection measures (TPMs) which the Senate Committee examining the effects of the agreement viewed as anti-competitive (box 4.4).</w:t>
      </w:r>
      <w:r>
        <w:rPr>
          <w:rStyle w:val="FootnoteReference"/>
        </w:rPr>
        <w:footnoteReference w:id="32"/>
      </w:r>
    </w:p>
    <w:p w:rsidR="00AC2131" w:rsidRDefault="00AC2131" w:rsidP="00AC2131">
      <w:pPr>
        <w:pStyle w:val="Quote"/>
      </w:pPr>
      <w:r w:rsidRPr="00065B30">
        <w:t xml:space="preserve">However, copyright holders who are in the position to use TPMs can potentially create their own additional de facto monopoly rights by restricting access on their own terms. This could </w:t>
      </w:r>
      <w:r w:rsidRPr="00065B30">
        <w:lastRenderedPageBreak/>
        <w:t>lead to significant anti-competitive results, with increased costs and/or decreased choice for consumers. State sanctions against circumvention of TPMs substantially increase this risk. This is especially the case where the definition of TPM, for the purposes of the protection of the law, includes any measure which controls access to material, as AUSFTA requires, rather than merely preventing or inhibiting infringement, which is the current Australian position.</w:t>
      </w:r>
      <w:r w:rsidRPr="00065B30" w:rsidDel="00103A0F">
        <w:t xml:space="preserve"> </w:t>
      </w:r>
      <w:r w:rsidRPr="00065B30">
        <w:t>(SCFTAAUSA 2004, pp. 32-33).</w:t>
      </w:r>
    </w:p>
    <w:p w:rsidR="00AC2131" w:rsidRPr="00740745"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4.</w:t>
            </w:r>
            <w:r>
              <w:rPr>
                <w:b w:val="0"/>
                <w:noProof/>
              </w:rPr>
              <w:t>4</w:t>
            </w:r>
            <w:r>
              <w:rPr>
                <w:b w:val="0"/>
              </w:rPr>
              <w:tab/>
            </w:r>
            <w:r>
              <w:t>Article 17.4.7 AUSFTA: circumvention of technological protection measures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In order to provide adequate legal protection and effective legal remedies against the circumvention of effective technological measures that authors, performers, and producers of phonograms use in connection with the exercise of their rights and that restrict unauthorised acts in respect of their works, performances, and phonograms, each Party shall provide that any person who:</w:t>
            </w:r>
          </w:p>
          <w:p w:rsidR="00AC2131" w:rsidRDefault="00AC2131" w:rsidP="00AC2131">
            <w:pPr>
              <w:pStyle w:val="BoxListBullet2"/>
            </w:pPr>
            <w:r>
              <w:t>(i) knowingly, or having reasonable grounds to know, circumvents without authority any effective technological measure that controls access to a protected work, performance, or phonogram, or other subject matter, or</w:t>
            </w:r>
          </w:p>
          <w:p w:rsidR="00AC2131" w:rsidRDefault="00AC2131" w:rsidP="00AC2131">
            <w:pPr>
              <w:pStyle w:val="BoxListBullet2"/>
            </w:pPr>
            <w:r>
              <w:t>(ii) manufactures, imports, distributes, offers to the public, provides, or otherwise traffics in devices, products, or components, or offers to the public, or provides services that:</w:t>
            </w:r>
          </w:p>
          <w:p w:rsidR="00AC2131" w:rsidRDefault="00AC2131" w:rsidP="00AC2131">
            <w:pPr>
              <w:pStyle w:val="BoxListBullet2"/>
            </w:pPr>
            <w:r>
              <w:t>(A) are promoted, advertised, or marketed for the purpose of circumvention of any effective technological measure</w:t>
            </w:r>
          </w:p>
          <w:p w:rsidR="00AC2131" w:rsidRDefault="00AC2131" w:rsidP="00AC2131">
            <w:pPr>
              <w:pStyle w:val="BoxListBullet2"/>
            </w:pPr>
            <w:r>
              <w:t>(B) have only a limited commercially significant purpose or use other than to circumvent any effective technological measure, or</w:t>
            </w:r>
          </w:p>
          <w:p w:rsidR="00AC2131" w:rsidRDefault="00AC2131" w:rsidP="00AC2131">
            <w:pPr>
              <w:pStyle w:val="BoxListBullet2"/>
            </w:pPr>
            <w:r>
              <w:t>(C) are primarily designed, produced, or performed for the purpose of enabling or facilitating the circumvention of any effective technological measure</w:t>
            </w:r>
          </w:p>
          <w:p w:rsidR="00AC2131" w:rsidRDefault="00AC2131" w:rsidP="00AC2131">
            <w:pPr>
              <w:pStyle w:val="Box"/>
            </w:pPr>
            <w:r>
              <w:t>shall be liable and subject to the remedies specified in Article 17.11.13. Each Party shall provide for criminal procedures and penalties to be applied where any person is found to have engaged wilfully and for the purposes of commercial advantage or financial gain in any of the above activities. Each Party may provide that such criminal procedures and penalties do not apply to a non-profit library, archive, educational institution, or public non-commercial broadcasting entity.</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rPr>
                <w:i/>
              </w:rPr>
            </w:pPr>
            <w:r>
              <w:rPr>
                <w:i/>
              </w:rPr>
              <w:t>Source</w:t>
            </w:r>
            <w:r w:rsidRPr="00167F06">
              <w:t xml:space="preserve">: </w:t>
            </w:r>
            <w:r>
              <w:t>AUSFTA (2005).</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The relevance of trade related IP issues for Australia has gained even greater prominence because of the potential reach of the proposed TPP in this area. Potentially, the IP chapter in the TPP could be extensive and go beyond the provisions contained in the TRIPS Agreement and AUSFTA. For example, based on US media access to the current draft text, it appears likely that the TPP will include obligations on pharmaceutical price-determination arrangements in Australia and other TPP members, of an uncertain character and intent. The history of IP arrangements being addressed in preferential trade deals is not good. Indeed, to the extent that the return to IP holders awarded by more stringent IP laws outweighed the benefits to the broader economy, the provision would also impose a net cost on both partners, lowering trading and growth potential across the bloc.</w:t>
      </w:r>
    </w:p>
    <w:p w:rsidR="00AC2131" w:rsidRDefault="00AC2131" w:rsidP="00AC2131">
      <w:pPr>
        <w:pStyle w:val="BodyText"/>
        <w:keepNext/>
        <w:keepLines/>
      </w:pPr>
      <w:r>
        <w:lastRenderedPageBreak/>
        <w:t>For such reasons, the Commission has previously recommended that:</w:t>
      </w:r>
    </w:p>
    <w:p w:rsidR="00AC2131" w:rsidRDefault="00AC2131" w:rsidP="00AC2131">
      <w:pPr>
        <w:pStyle w:val="Quote"/>
      </w:pPr>
      <w:r>
        <w:t>… Australia’s participation in international negotiations in relation to IP laws should focus on plurilateral or multilateral settings, and that its support for any measures to alter the extent and enforcement of IP rights should be informed by a robust economic analysis of size and distribution of the resultant benefits and costs. (PC 2010a, p. 264)</w:t>
      </w:r>
    </w:p>
    <w:p w:rsidR="00AC2131" w:rsidRPr="0046315F" w:rsidRDefault="00AC2131" w:rsidP="00AC2131">
      <w:pPr>
        <w:pStyle w:val="BodyText"/>
      </w:pPr>
      <w:r>
        <w:t>More recently, the Australian Government’s</w:t>
      </w:r>
      <w:r w:rsidRPr="007011B0">
        <w:t xml:space="preserve"> </w:t>
      </w:r>
      <w:r>
        <w:t>Competition Policy Review (Harper 2015) recommended that an overarching review of intellectual property be conducted by an independent body. Amongst other things, it recommended that the review cover the incorporation of intellectual property provisions in international trade agreements.</w:t>
      </w:r>
    </w:p>
    <w:p w:rsidR="00AC2131" w:rsidRDefault="00AC2131" w:rsidP="00AC2131">
      <w:pPr>
        <w:pStyle w:val="Heading2"/>
      </w:pPr>
      <w:r>
        <w:t>4.</w:t>
      </w:r>
      <w:r>
        <w:rPr>
          <w:noProof/>
        </w:rPr>
        <w:t>4</w:t>
      </w:r>
      <w:r>
        <w:tab/>
        <w:t>Dispute settlement</w:t>
      </w:r>
    </w:p>
    <w:p w:rsidR="00AC2131" w:rsidRDefault="00AC2131" w:rsidP="00AC2131">
      <w:pPr>
        <w:pStyle w:val="BodyText"/>
      </w:pPr>
      <w:r>
        <w:t>Some trade agreements and investment treaties entered into by the Australian Government contain investor-state dispute settlement (ISDS) provisions for settling disputes between an investor of one party to the agreement and the government of the other party. Under the provisions, dispute settlement options can include third-party arbitration. For example, the ISDS provisions in the Bilateral Investment Treaty between Australia and Hong Kong were used by Philip Morris Asia to initiate third party arbitration in relation to Australia’s tobacco plain packaging laws (chapter 7).</w:t>
      </w:r>
    </w:p>
    <w:p w:rsidR="00AC2131" w:rsidRDefault="00AC2131" w:rsidP="00AC2131">
      <w:pPr>
        <w:pStyle w:val="Heading3"/>
      </w:pPr>
      <w:r>
        <w:t>Trends in international ISDS cases</w:t>
      </w:r>
    </w:p>
    <w:p w:rsidR="00AC2131" w:rsidRDefault="00AC2131" w:rsidP="00AC2131">
      <w:pPr>
        <w:pStyle w:val="BodyText"/>
      </w:pPr>
      <w:r>
        <w:t>There has been a growing number of ISDS cases in recent years with 42 new claims in 2014 (figure 4.2). While claims have historically been dominated by initiations against developing and transitional States, recent years have witnessed an unusually high number of cases against developed economies (around 40 per cent of the total for 2014). A broad range of government measures have been challenged in recent years including changes related to investment incentive schemes, cancellation or alleged breaches of contracts, revocation or denial of licenses and alleged direct or de facto expropriation (in part, the issue at the heart of Philip Morris Asia’s claim against the Australian Government).</w:t>
      </w:r>
    </w:p>
    <w:p w:rsidR="00AC2131" w:rsidRDefault="00AC2131" w:rsidP="00AC2131">
      <w:pPr>
        <w:pStyle w:val="BodyText"/>
      </w:pPr>
      <w:r>
        <w:t>In terms of case outcomes, for those ISDS claims decided by arbitration or settled prior to arbitration (which together account for about half the cases shown in figure 4.2), around 37 per cent were ruled in favour of the State, 25 per cent were ruled in favour of the investor and 28 per cent were settled prior to arbitration. While information on the amount of compensation sought by applicant investors is scarce, the amounts claimed ranged from US</w:t>
      </w:r>
      <w:r w:rsidR="00934C1B">
        <w:t>$</w:t>
      </w:r>
      <w:r>
        <w:t>8 million to US</w:t>
      </w:r>
      <w:r w:rsidR="00934C1B">
        <w:t>$</w:t>
      </w:r>
      <w:r>
        <w:t>2.5 billion for cases where this information was reported (UNCTAD 2015a). However, a combined award of US</w:t>
      </w:r>
      <w:r w:rsidR="00934C1B">
        <w:t>$</w:t>
      </w:r>
      <w:r>
        <w:t>50 billion to investors in three closely related cases in 2014 was the highest known award on record.</w:t>
      </w:r>
      <w:r>
        <w:rPr>
          <w:rStyle w:val="FootnoteReference"/>
        </w:rPr>
        <w:footnoteReference w:id="33"/>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4.</w:t>
            </w:r>
            <w:r>
              <w:rPr>
                <w:b w:val="0"/>
                <w:noProof/>
              </w:rPr>
              <w:t>2</w:t>
            </w:r>
            <w:r>
              <w:tab/>
            </w:r>
            <w:r w:rsidRPr="004D29C2">
              <w:t>Known ISDS cases</w:t>
            </w:r>
            <w:r>
              <w:t>,</w:t>
            </w:r>
            <w:r w:rsidRPr="004D29C2">
              <w:t xml:space="preserve"> 1987 to 2014</w:t>
            </w:r>
          </w:p>
          <w:p w:rsidR="00AC2131" w:rsidRPr="00176D3F" w:rsidRDefault="00AC2131" w:rsidP="00AC2131">
            <w:pPr>
              <w:pStyle w:val="Subtitle"/>
            </w:pPr>
            <w:r>
              <w:t>Number of cases</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21DEFEA1" wp14:editId="02DB364A">
                        <wp:extent cx="5400040" cy="2880995"/>
                        <wp:effectExtent l="0" t="0" r="0" b="0"/>
                        <wp:docPr id="18" name="Picture 18" descr="Figure 4.2 presents known ISDS cases from 1987 to 2014. The figure shows the number of annual cases increasing in most years. Total cases now tally around 600.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Pr>
                <w:i/>
              </w:rPr>
              <w:t>s</w:t>
            </w:r>
            <w:r w:rsidRPr="00176D3F">
              <w:t xml:space="preserve">: </w:t>
            </w:r>
            <w:r>
              <w:t>UNCTAD 2015a, 2015b.</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As noted, the Australian Government is currently defending an ISDS case bought by Philip Morris Asia over Australia’s introduction of tobacco plain packaging laws in 2011 (chapter 7). While the amount of compensation sought by Philip Morris in its claim against the Australian Government has not been publicly disclosed, the company has stated it will be seeking substantial remedies and that financial losses that</w:t>
      </w:r>
      <w:r w:rsidRPr="00DF0F9A">
        <w:t xml:space="preserve"> </w:t>
      </w:r>
      <w:r>
        <w:t>have resulted from the plain packaging laws. While the potential risk to future budget outcomes from this case was disclosed (for the first time) in the Australian Government’s 2014-15 Budget Papers, the size of the risk has not been quantified nor provisioned in any substantive way. In reporting on this issue, the Australian Government said:</w:t>
      </w:r>
    </w:p>
    <w:p w:rsidR="00AC2131" w:rsidRDefault="00AC2131" w:rsidP="00AC2131">
      <w:pPr>
        <w:pStyle w:val="Quote"/>
      </w:pPr>
      <w:r>
        <w:rPr>
          <w:shd w:val="clear" w:color="auto" w:fill="FFFFFF"/>
        </w:rPr>
        <w:t>In 2014</w:t>
      </w:r>
      <w:r>
        <w:rPr>
          <w:shd w:val="clear" w:color="auto" w:fill="FFFFFF"/>
        </w:rPr>
        <w:noBreakHyphen/>
        <w:t xml:space="preserve">15, the Government will continue to fund the defence of legal challenges to the tobacco plain packaging legislation in international forums. Further information about these cases has not been disclosed on the grounds that it may prejudice the outcomes of these cases or may relate to commercial information. </w:t>
      </w:r>
      <w:r>
        <w:t>(Australian Government 2014c)</w:t>
      </w:r>
    </w:p>
    <w:p w:rsidR="00AC2131" w:rsidRDefault="00AC2131" w:rsidP="00AC2131">
      <w:pPr>
        <w:pStyle w:val="Heading3"/>
      </w:pPr>
      <w:r>
        <w:t>The inclusion of ISDS provisions is contentious</w:t>
      </w:r>
    </w:p>
    <w:p w:rsidR="00AC2131" w:rsidRDefault="00AC2131" w:rsidP="00AC2131">
      <w:pPr>
        <w:pStyle w:val="BodyText"/>
      </w:pPr>
      <w:r>
        <w:t xml:space="preserve">The inclusion of investor-state dispute settlement provisions in Australia’s preferential trade agreements and investment treaties has become a contentious issue. In response to </w:t>
      </w:r>
      <w:r>
        <w:lastRenderedPageBreak/>
        <w:t xml:space="preserve">concerns about these provisions, the Senate Foreign Affairs, Defence and Trade Legislation Committee (SFADTLC) conducted an inquiry into a bill proposing the Commonwealth be prevented from entering into agreements that include ISDS provisions. The Committee released its final report in August 2014. </w:t>
      </w:r>
    </w:p>
    <w:p w:rsidR="00AC2131" w:rsidRDefault="00AC2131" w:rsidP="00AC2131">
      <w:pPr>
        <w:pStyle w:val="BodyText"/>
      </w:pPr>
      <w:r>
        <w:t>The Committee noted that the majority of submissions supported the intention of the bill for reasons which included:</w:t>
      </w:r>
    </w:p>
    <w:p w:rsidR="00AC2131" w:rsidRDefault="00AC2131" w:rsidP="00AC2131">
      <w:pPr>
        <w:pStyle w:val="ListBullet"/>
      </w:pPr>
      <w:r>
        <w:t>growth in the number of ISDS cases brought internationally</w:t>
      </w:r>
    </w:p>
    <w:p w:rsidR="00AC2131" w:rsidRDefault="00AC2131" w:rsidP="00AC2131">
      <w:pPr>
        <w:pStyle w:val="ListBullet"/>
      </w:pPr>
      <w:r>
        <w:t>extension of substantive appeal rights available to foreigners not available to domestic firms</w:t>
      </w:r>
    </w:p>
    <w:p w:rsidR="00AC2131" w:rsidRDefault="00AC2131" w:rsidP="00AC2131">
      <w:pPr>
        <w:pStyle w:val="ListBullet"/>
      </w:pPr>
      <w:r>
        <w:t>risk of regulatory chill</w:t>
      </w:r>
    </w:p>
    <w:p w:rsidR="00AC2131" w:rsidRDefault="00AC2131" w:rsidP="00AC2131">
      <w:pPr>
        <w:pStyle w:val="ListBullet"/>
      </w:pPr>
      <w:r>
        <w:t xml:space="preserve">effectiveness of safeguards and carve-outs </w:t>
      </w:r>
    </w:p>
    <w:p w:rsidR="00AC2131" w:rsidRDefault="00AC2131" w:rsidP="00AC2131">
      <w:pPr>
        <w:pStyle w:val="ListBullet"/>
      </w:pPr>
      <w:r>
        <w:t>lack of transparency and inadequate parliamentary scrutiny of ISDS (and other) provisions.</w:t>
      </w:r>
    </w:p>
    <w:p w:rsidR="00AC2131" w:rsidRPr="008F1357" w:rsidRDefault="00AC2131" w:rsidP="00AC2131">
      <w:pPr>
        <w:pStyle w:val="BodyText"/>
      </w:pPr>
      <w:r>
        <w:t>Those not supporting the bill primarily argued it would prevent the negotiation of future international agreements including plurilateral agreements such as the TPP, would disadvantage Australian companies investing in countries with high sovereign risk</w:t>
      </w:r>
      <w:r w:rsidRPr="00114BB3">
        <w:t xml:space="preserve"> </w:t>
      </w:r>
      <w:r>
        <w:t>and that existing safeguards were sufficient to protect the public interest. The Committee concluded that ISDS issues should be assessed on a case-by-case basis and therefore did not support the bill. In reaching its conclusion, the Committee said:</w:t>
      </w:r>
    </w:p>
    <w:p w:rsidR="00AC2131" w:rsidRDefault="00AC2131" w:rsidP="00AC2131">
      <w:pPr>
        <w:pStyle w:val="Quote"/>
      </w:pPr>
      <w:r w:rsidRPr="008F1357">
        <w:t xml:space="preserve">The committee is of the view that a blanket ban on ISDS would impose a significant constraint on the ability of Australian governments to negotiate trade agreements that benefit Australian business. It is for this reason that the committee considers the current case-by-case approach to </w:t>
      </w:r>
      <w:r>
        <w:t>ISDS is in Australia's long-term</w:t>
      </w:r>
      <w:r w:rsidRPr="008F1357">
        <w:t xml:space="preserve"> national interest and a sound policy for weighing the risks and benefits of ISDS provisions in trade agreements. </w:t>
      </w:r>
      <w:r>
        <w:t>(SFADTLC 2014, p. 17)</w:t>
      </w:r>
    </w:p>
    <w:p w:rsidR="00AC2131" w:rsidRDefault="00AC2131" w:rsidP="00AC2131">
      <w:pPr>
        <w:pStyle w:val="BodyText"/>
      </w:pPr>
      <w:r>
        <w:t>Another argument advanced in favour of ISDS provisions is that they can be used as a negotiating mechanism to trade-off against other elements of an agreement that are viewed as more important. However, such an approach would appear to be a very high risk strategy of achieving market access objectives especially given the potential size of compensation claims involved and the unfunded nature of those claims (discussed above).</w:t>
      </w:r>
    </w:p>
    <w:p w:rsidR="00AC2131" w:rsidRDefault="00AC2131" w:rsidP="00AC2131">
      <w:pPr>
        <w:pStyle w:val="BodyText"/>
      </w:pPr>
      <w:r>
        <w:t>Commenting separately on the ISDS issue, the Chief Justice of the High Court recently cautioned against any potential undermining of the authority of domestic courts by ISDS arbitration. He argued that as trade agreements and bilateral investment treaties were long-lived, and resort to ISDS had increased significantly over time, it was not sufficient to argue that because Australia had only been subject to one ISDS claim (that bought by Philip Morris Asia under the Hong Kong IPPA) that the risks posed by ISDS were overstated. The Chief Justice suggested the primacy of domestic courts be maintained:</w:t>
      </w:r>
    </w:p>
    <w:p w:rsidR="00AC2131" w:rsidRDefault="00AC2131" w:rsidP="00AC2131">
      <w:pPr>
        <w:pStyle w:val="Quote"/>
      </w:pPr>
      <w:r>
        <w:t xml:space="preserve">An approach designed to protect the finality and authority of domestic judicial decisions could consider a limitation on ISDS mechanisms applicable to Australia which would preclude any challenge to the decision of an Australian domestic court as constituting a breach of the </w:t>
      </w:r>
      <w:r>
        <w:lastRenderedPageBreak/>
        <w:t>relevant BIT or FTA clauses. Such an approach could also consider precluding the canvassing in an arbitral claim of the correctness of a decision of an Australian domestic court and in particular, decisions on questions of law binding on lower courts. (French 2014, p. 11)</w:t>
      </w:r>
    </w:p>
    <w:p w:rsidR="00AC2131" w:rsidRDefault="00AC2131" w:rsidP="00AC2131">
      <w:pPr>
        <w:pStyle w:val="BodyText"/>
      </w:pPr>
      <w:r>
        <w:t xml:space="preserve">Australia is not the only country to be considering the appropriateness of ISDS provisions with France and Germany both opposed to the inclusion of such provisions in the European Union-United States trade agreement known as the Trans-Atlantic Trade and Investment Partnership which is </w:t>
      </w:r>
      <w:r w:rsidRPr="00DD06D0">
        <w:t>currently being negotiated.</w:t>
      </w:r>
      <w:r w:rsidRPr="002461CE">
        <w:t xml:space="preserve"> Germany has also indicated it will not </w:t>
      </w:r>
      <w:r w:rsidRPr="00477235">
        <w:t xml:space="preserve">ratify </w:t>
      </w:r>
      <w:r w:rsidRPr="008C6BC2">
        <w:t>the recently</w:t>
      </w:r>
      <w:r w:rsidRPr="0097189C">
        <w:t xml:space="preserve"> signed E</w:t>
      </w:r>
      <w:r>
        <w:t xml:space="preserve">uropean </w:t>
      </w:r>
      <w:r w:rsidRPr="0097189C">
        <w:t>U</w:t>
      </w:r>
      <w:r>
        <w:t>nion</w:t>
      </w:r>
      <w:r w:rsidRPr="0097189C">
        <w:t>-</w:t>
      </w:r>
      <w:r w:rsidRPr="00253A54">
        <w:t xml:space="preserve">Canada </w:t>
      </w:r>
      <w:r w:rsidRPr="00F86A19">
        <w:t xml:space="preserve">agreement </w:t>
      </w:r>
      <w:r w:rsidRPr="00366C80">
        <w:t>(known as the Comprehensi</w:t>
      </w:r>
      <w:r w:rsidRPr="00046078">
        <w:t>ve Economic and Trade Agreement</w:t>
      </w:r>
      <w:r>
        <w:t xml:space="preserve">) </w:t>
      </w:r>
      <w:r w:rsidRPr="00DD06D0">
        <w:t>which contains ISDS clauses</w:t>
      </w:r>
      <w:r>
        <w:t xml:space="preserve"> reportedly on the grounds that:</w:t>
      </w:r>
    </w:p>
    <w:p w:rsidR="00AC2131" w:rsidRPr="00BF4CC3" w:rsidRDefault="00AC2131" w:rsidP="00AC2131">
      <w:pPr>
        <w:pStyle w:val="Quote"/>
      </w:pPr>
      <w:r>
        <w:rPr>
          <w:lang w:val="en"/>
        </w:rPr>
        <w:t>It must not be that international investors have rights and influence before arbitration tribunals, which national enterprises don’t have in their own country. (ICTSD 2014)</w:t>
      </w:r>
    </w:p>
    <w:p w:rsidR="00AC2131" w:rsidRDefault="00AC2131" w:rsidP="00AC2131">
      <w:pPr>
        <w:pStyle w:val="BodyText"/>
      </w:pPr>
      <w:r>
        <w:t>The possible inclusion of an ISDS mechanism in the TPP could similarly allow investors to bring claims for private arbitration directly against governments and potentially undermine the role of domestic courts and freedom of governments to regulate in the public interest. The greater the stringency of specific provisions, the greater the risk of ISDS actions against government as firms have more at stake in relation to government decisions that directly or indirectly affect their commercial interests. Similarly, where interpretation of the negotiated text may be subject to dispute, understandings or expectations between TPP members over how these provisions will be interpreted may not necessarily be taken into account by an international tribunal hearing a claim bought by a private company.</w:t>
      </w:r>
      <w:r>
        <w:rPr>
          <w:rStyle w:val="FootnoteReference"/>
        </w:rPr>
        <w:footnoteReference w:id="34"/>
      </w:r>
    </w:p>
    <w:p w:rsidR="00AC2131" w:rsidRDefault="00AC2131" w:rsidP="00AC2131">
      <w:pPr>
        <w:pStyle w:val="BodyText"/>
      </w:pPr>
      <w:r>
        <w:t>Given the persistent and unresolved debate surrounding this issue, a relevant question to be considered is what impact existing ISDS provisions (or their absence) have had on investment flows and whether those impacts deem ISDS provisions necessary. Australia has included ISDS clauses in six of its bilateral trade agreements — Singapore (2003), Thailand (2005), Chile (2009), ASEAN and New Zealand (2010), Korea (2014) and China (not yet in force). Australia currently also has ISDS provisions in its 21 Investment Protection and Promotion Agreements (IPPAs) signed over the last three decades with Argentina, China, Czech Republic, Egypt, Hong Kong, Hungary, India, Indonesia, Laos, Lithuania, Mexico, Pakistan, Papua New Guinea, Peru, Philippines, Poland, Romania, Sri Lanka, Turkey, Uruguay and Vietnam.</w:t>
      </w:r>
    </w:p>
    <w:p w:rsidR="00AC2131" w:rsidRDefault="00AC2131" w:rsidP="00AC2131">
      <w:pPr>
        <w:pStyle w:val="BodyText"/>
        <w:rPr>
          <w:iCs/>
        </w:rPr>
      </w:pPr>
      <w:r w:rsidRPr="00404743">
        <w:t>A</w:t>
      </w:r>
      <w:r>
        <w:t xml:space="preserve">n examination </w:t>
      </w:r>
      <w:r w:rsidRPr="00404743">
        <w:t xml:space="preserve">of </w:t>
      </w:r>
      <w:r>
        <w:t xml:space="preserve">foreign investment trends with </w:t>
      </w:r>
      <w:r w:rsidRPr="00404743">
        <w:t xml:space="preserve">Australia’s </w:t>
      </w:r>
      <w:r>
        <w:t xml:space="preserve">main </w:t>
      </w:r>
      <w:r w:rsidRPr="00404743">
        <w:t xml:space="preserve">foreign investment </w:t>
      </w:r>
      <w:r>
        <w:t>partners</w:t>
      </w:r>
      <w:r w:rsidRPr="00404743">
        <w:t xml:space="preserve"> suggests that ISDS provisions </w:t>
      </w:r>
      <w:r>
        <w:t>are unlikely to have</w:t>
      </w:r>
      <w:r w:rsidRPr="00404743">
        <w:t xml:space="preserve"> been relevant considerations in the investment decisions of Australian firms investing abroad or foreign firms i</w:t>
      </w:r>
      <w:r>
        <w:t xml:space="preserve">nvesting in Australia. </w:t>
      </w:r>
      <w:r w:rsidRPr="00404743">
        <w:rPr>
          <w:iCs/>
        </w:rPr>
        <w:t>Inward and outward foreign investment stocks are dominated by a small number of developed countries with the United States and United Kingdom accounting for 49.6</w:t>
      </w:r>
      <w:r>
        <w:rPr>
          <w:iCs/>
        </w:rPr>
        <w:t> </w:t>
      </w:r>
      <w:r w:rsidRPr="00404743">
        <w:rPr>
          <w:iCs/>
        </w:rPr>
        <w:t xml:space="preserve">per </w:t>
      </w:r>
      <w:r w:rsidRPr="00404743">
        <w:rPr>
          <w:iCs/>
        </w:rPr>
        <w:lastRenderedPageBreak/>
        <w:t>cent and 44.6</w:t>
      </w:r>
      <w:r>
        <w:rPr>
          <w:iCs/>
        </w:rPr>
        <w:t> </w:t>
      </w:r>
      <w:r w:rsidRPr="00404743">
        <w:rPr>
          <w:iCs/>
        </w:rPr>
        <w:t>per cent of total inward and outward stocks respectively in 2013</w:t>
      </w:r>
      <w:r>
        <w:rPr>
          <w:iCs/>
        </w:rPr>
        <w:t xml:space="preserve"> </w:t>
      </w:r>
      <w:r>
        <w:t>(table 4.5</w:t>
      </w:r>
      <w:r w:rsidRPr="00404743">
        <w:t>)</w:t>
      </w:r>
      <w:r w:rsidRPr="00404743">
        <w:rPr>
          <w:iCs/>
        </w:rPr>
        <w:t xml:space="preserve">. Only two </w:t>
      </w:r>
      <w:r>
        <w:rPr>
          <w:iCs/>
        </w:rPr>
        <w:t xml:space="preserve">of the </w:t>
      </w:r>
      <w:r w:rsidRPr="00404743">
        <w:rPr>
          <w:iCs/>
        </w:rPr>
        <w:t xml:space="preserve">top ten source and destination countries (Hong Kong and Singapore) had signed a </w:t>
      </w:r>
      <w:r>
        <w:rPr>
          <w:iCs/>
        </w:rPr>
        <w:t xml:space="preserve">preferential </w:t>
      </w:r>
      <w:r w:rsidRPr="00404743">
        <w:rPr>
          <w:iCs/>
        </w:rPr>
        <w:t xml:space="preserve">trade </w:t>
      </w:r>
      <w:r>
        <w:rPr>
          <w:iCs/>
        </w:rPr>
        <w:t xml:space="preserve">agreement </w:t>
      </w:r>
      <w:r w:rsidRPr="00404743">
        <w:rPr>
          <w:iCs/>
        </w:rPr>
        <w:t xml:space="preserve">or </w:t>
      </w:r>
      <w:r>
        <w:rPr>
          <w:iCs/>
        </w:rPr>
        <w:t>IPPA</w:t>
      </w:r>
      <w:r w:rsidRPr="00404743">
        <w:rPr>
          <w:iCs/>
        </w:rPr>
        <w:t xml:space="preserve"> </w:t>
      </w:r>
      <w:r>
        <w:rPr>
          <w:iCs/>
        </w:rPr>
        <w:t>containing</w:t>
      </w:r>
      <w:r w:rsidRPr="00404743">
        <w:rPr>
          <w:iCs/>
        </w:rPr>
        <w:t xml:space="preserve"> investor</w:t>
      </w:r>
      <w:r>
        <w:rPr>
          <w:iCs/>
        </w:rPr>
        <w:t>-</w:t>
      </w:r>
      <w:r w:rsidRPr="00404743">
        <w:rPr>
          <w:iCs/>
        </w:rPr>
        <w:t>state dispute provisions</w:t>
      </w:r>
      <w:r>
        <w:rPr>
          <w:iCs/>
        </w:rPr>
        <w:t xml:space="preserve"> with Australia</w:t>
      </w:r>
      <w:r w:rsidRPr="00404743">
        <w:rPr>
          <w:iCs/>
        </w:rPr>
        <w:t>. These two countries accounted for just 4.6</w:t>
      </w:r>
      <w:r>
        <w:rPr>
          <w:iCs/>
        </w:rPr>
        <w:t> </w:t>
      </w:r>
      <w:r w:rsidRPr="00404743">
        <w:rPr>
          <w:iCs/>
        </w:rPr>
        <w:t xml:space="preserve">per cent of Australia’s inward </w:t>
      </w:r>
      <w:r>
        <w:rPr>
          <w:iCs/>
        </w:rPr>
        <w:t>foreign investment</w:t>
      </w:r>
      <w:r w:rsidRPr="00404743">
        <w:rPr>
          <w:iCs/>
        </w:rPr>
        <w:t xml:space="preserve"> stock and 2.2</w:t>
      </w:r>
      <w:r>
        <w:rPr>
          <w:iCs/>
        </w:rPr>
        <w:t> </w:t>
      </w:r>
      <w:r w:rsidRPr="00404743">
        <w:rPr>
          <w:iCs/>
        </w:rPr>
        <w:t>per cent of Australia’s stock of investment abroad in 2013</w:t>
      </w:r>
      <w:r>
        <w:rPr>
          <w:iCs/>
        </w:rPr>
        <w:t xml:space="preserve"> (largely unchanged from the shares in 2003)</w:t>
      </w:r>
      <w:r w:rsidRPr="00404743">
        <w:rPr>
          <w:iCs/>
        </w:rPr>
        <w:t xml:space="preserve">. These features suggest ISDS protections are not necessary or sufficient to foster investment flows between developed countries </w:t>
      </w:r>
      <w:r>
        <w:rPr>
          <w:iCs/>
        </w:rPr>
        <w:t>with</w:t>
      </w:r>
      <w:r w:rsidRPr="00404743">
        <w:rPr>
          <w:iCs/>
        </w:rPr>
        <w:t xml:space="preserve"> trans</w:t>
      </w:r>
      <w:r>
        <w:rPr>
          <w:iCs/>
        </w:rPr>
        <w:t xml:space="preserve">parent and well-functioning legal systems.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4.</w:t>
            </w:r>
            <w:r>
              <w:rPr>
                <w:b w:val="0"/>
                <w:noProof/>
              </w:rPr>
              <w:t>5</w:t>
            </w:r>
            <w:r>
              <w:tab/>
              <w:t>Australia’s major foreign investment relationships</w:t>
            </w:r>
            <w:r w:rsidRPr="00305C72">
              <w:rPr>
                <w:rStyle w:val="NoteLabel"/>
                <w:b/>
              </w:rPr>
              <w:t>a</w:t>
            </w:r>
          </w:p>
          <w:p w:rsidR="00AC2131" w:rsidRPr="00784A05" w:rsidRDefault="00AC2131" w:rsidP="00AC2131">
            <w:pPr>
              <w:pStyle w:val="Subtitle"/>
            </w:pPr>
            <w:r>
              <w:t>Stocks of inward and outward foreign investment</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538"/>
              <w:gridCol w:w="1132"/>
              <w:gridCol w:w="1419"/>
              <w:gridCol w:w="285"/>
              <w:gridCol w:w="1558"/>
              <w:gridCol w:w="1365"/>
              <w:gridCol w:w="1190"/>
            </w:tblGrid>
            <w:tr w:rsidR="00AC2131" w:rsidTr="00AC2131">
              <w:tc>
                <w:tcPr>
                  <w:tcW w:w="906" w:type="pct"/>
                  <w:tcBorders>
                    <w:top w:val="single" w:sz="6" w:space="0" w:color="BFBFBF"/>
                  </w:tcBorders>
                  <w:shd w:val="clear" w:color="auto" w:fill="auto"/>
                  <w:tcMar>
                    <w:top w:w="28" w:type="dxa"/>
                  </w:tcMar>
                </w:tcPr>
                <w:p w:rsidR="00AC2131" w:rsidRDefault="00AC2131" w:rsidP="00AC2131">
                  <w:pPr>
                    <w:pStyle w:val="TableColumnHeading"/>
                    <w:jc w:val="left"/>
                  </w:pPr>
                </w:p>
              </w:tc>
              <w:tc>
                <w:tcPr>
                  <w:tcW w:w="1503" w:type="pct"/>
                  <w:gridSpan w:val="2"/>
                  <w:tcBorders>
                    <w:top w:val="single" w:sz="6" w:space="0" w:color="BFBFBF"/>
                    <w:bottom w:val="single" w:sz="6" w:space="0" w:color="BFBFBF"/>
                  </w:tcBorders>
                  <w:shd w:val="clear" w:color="auto" w:fill="auto"/>
                  <w:tcMar>
                    <w:top w:w="28" w:type="dxa"/>
                  </w:tcMar>
                </w:tcPr>
                <w:p w:rsidR="00AC2131" w:rsidRDefault="00AC2131" w:rsidP="00AC2131">
                  <w:pPr>
                    <w:pStyle w:val="TableColumnHeading"/>
                  </w:pPr>
                  <w:r>
                    <w:t>Inward stock (%)</w:t>
                  </w:r>
                </w:p>
              </w:tc>
              <w:tc>
                <w:tcPr>
                  <w:tcW w:w="168" w:type="pct"/>
                  <w:tcBorders>
                    <w:top w:val="single" w:sz="6" w:space="0" w:color="BFBFBF"/>
                  </w:tcBorders>
                </w:tcPr>
                <w:p w:rsidR="00AC2131" w:rsidRDefault="00AC2131" w:rsidP="00AC2131">
                  <w:pPr>
                    <w:pStyle w:val="TableColumnHeading"/>
                    <w:ind w:left="113" w:right="28"/>
                    <w:jc w:val="left"/>
                  </w:pPr>
                </w:p>
              </w:tc>
              <w:tc>
                <w:tcPr>
                  <w:tcW w:w="918" w:type="pct"/>
                  <w:tcBorders>
                    <w:top w:val="single" w:sz="6" w:space="0" w:color="BFBFBF"/>
                  </w:tcBorders>
                </w:tcPr>
                <w:p w:rsidR="00AC2131" w:rsidRDefault="00AC2131" w:rsidP="00AC2131">
                  <w:pPr>
                    <w:pStyle w:val="TableColumnHeading"/>
                    <w:ind w:left="113" w:right="28"/>
                    <w:jc w:val="left"/>
                  </w:pPr>
                </w:p>
              </w:tc>
              <w:tc>
                <w:tcPr>
                  <w:tcW w:w="1505" w:type="pct"/>
                  <w:gridSpan w:val="2"/>
                  <w:tcBorders>
                    <w:top w:val="single" w:sz="6" w:space="0" w:color="BFBFBF"/>
                    <w:bottom w:val="single" w:sz="6" w:space="0" w:color="BFBFBF"/>
                  </w:tcBorders>
                </w:tcPr>
                <w:p w:rsidR="00AC2131" w:rsidRDefault="00AC2131" w:rsidP="00AC2131">
                  <w:pPr>
                    <w:pStyle w:val="TableColumnHeading"/>
                    <w:ind w:right="28"/>
                  </w:pPr>
                  <w:r>
                    <w:t>Outward stock (%)</w:t>
                  </w:r>
                </w:p>
              </w:tc>
            </w:tr>
            <w:tr w:rsidR="00AC2131" w:rsidTr="00AC2131">
              <w:tc>
                <w:tcPr>
                  <w:tcW w:w="906" w:type="pct"/>
                  <w:tcBorders>
                    <w:bottom w:val="single" w:sz="6" w:space="0" w:color="BFBFBF"/>
                  </w:tcBorders>
                </w:tcPr>
                <w:p w:rsidR="00AC2131" w:rsidRDefault="00AC2131" w:rsidP="00AC2131">
                  <w:pPr>
                    <w:pStyle w:val="TableUnitsRow"/>
                    <w:jc w:val="left"/>
                  </w:pPr>
                  <w:r>
                    <w:t>Country</w:t>
                  </w:r>
                </w:p>
              </w:tc>
              <w:tc>
                <w:tcPr>
                  <w:tcW w:w="667" w:type="pct"/>
                  <w:tcBorders>
                    <w:top w:val="single" w:sz="6" w:space="0" w:color="BFBFBF"/>
                    <w:bottom w:val="single" w:sz="6" w:space="0" w:color="BFBFBF"/>
                  </w:tcBorders>
                </w:tcPr>
                <w:p w:rsidR="00AC2131" w:rsidRDefault="00AC2131" w:rsidP="00AC2131">
                  <w:pPr>
                    <w:pStyle w:val="TableColumnHeading"/>
                  </w:pPr>
                  <w:r>
                    <w:t>2003</w:t>
                  </w:r>
                </w:p>
              </w:tc>
              <w:tc>
                <w:tcPr>
                  <w:tcW w:w="836" w:type="pct"/>
                  <w:tcBorders>
                    <w:top w:val="single" w:sz="6" w:space="0" w:color="BFBFBF"/>
                    <w:bottom w:val="single" w:sz="6" w:space="0" w:color="BFBFBF"/>
                  </w:tcBorders>
                </w:tcPr>
                <w:p w:rsidR="00AC2131" w:rsidRDefault="00AC2131" w:rsidP="00AC2131">
                  <w:pPr>
                    <w:pStyle w:val="TableColumnHeading"/>
                    <w:ind w:left="-57"/>
                  </w:pPr>
                  <w:r>
                    <w:t>2013</w:t>
                  </w:r>
                </w:p>
              </w:tc>
              <w:tc>
                <w:tcPr>
                  <w:tcW w:w="168" w:type="pct"/>
                  <w:tcBorders>
                    <w:bottom w:val="single" w:sz="6" w:space="0" w:color="BFBFBF"/>
                  </w:tcBorders>
                </w:tcPr>
                <w:p w:rsidR="00AC2131" w:rsidRDefault="00AC2131" w:rsidP="00AC2131">
                  <w:pPr>
                    <w:pStyle w:val="TableColumnHeading"/>
                  </w:pPr>
                </w:p>
              </w:tc>
              <w:tc>
                <w:tcPr>
                  <w:tcW w:w="918" w:type="pct"/>
                  <w:tcBorders>
                    <w:bottom w:val="single" w:sz="6" w:space="0" w:color="BFBFBF"/>
                  </w:tcBorders>
                </w:tcPr>
                <w:p w:rsidR="00AC2131" w:rsidRDefault="00AC2131" w:rsidP="00AC2131">
                  <w:pPr>
                    <w:pStyle w:val="TableColumnHeading"/>
                    <w:jc w:val="left"/>
                  </w:pPr>
                  <w:r>
                    <w:t>Country</w:t>
                  </w:r>
                </w:p>
              </w:tc>
              <w:tc>
                <w:tcPr>
                  <w:tcW w:w="804" w:type="pct"/>
                  <w:tcBorders>
                    <w:top w:val="single" w:sz="6" w:space="0" w:color="BFBFBF"/>
                    <w:bottom w:val="single" w:sz="6" w:space="0" w:color="BFBFBF"/>
                  </w:tcBorders>
                </w:tcPr>
                <w:p w:rsidR="00AC2131" w:rsidRDefault="00AC2131" w:rsidP="00AC2131">
                  <w:pPr>
                    <w:pStyle w:val="TableColumnHeading"/>
                  </w:pPr>
                  <w:r>
                    <w:t>2003</w:t>
                  </w:r>
                </w:p>
              </w:tc>
              <w:tc>
                <w:tcPr>
                  <w:tcW w:w="701" w:type="pct"/>
                  <w:tcBorders>
                    <w:top w:val="single" w:sz="6" w:space="0" w:color="BFBFBF"/>
                    <w:bottom w:val="single" w:sz="6" w:space="0" w:color="BFBFBF"/>
                  </w:tcBorders>
                </w:tcPr>
                <w:p w:rsidR="00AC2131" w:rsidRDefault="00AC2131" w:rsidP="00AC2131">
                  <w:pPr>
                    <w:pStyle w:val="TableColumnHeading"/>
                  </w:pPr>
                  <w:r>
                    <w:t>2013</w:t>
                  </w:r>
                </w:p>
              </w:tc>
            </w:tr>
            <w:tr w:rsidR="00AC2131" w:rsidTr="00AC2131">
              <w:tc>
                <w:tcPr>
                  <w:tcW w:w="906" w:type="pct"/>
                  <w:tcBorders>
                    <w:top w:val="single" w:sz="6" w:space="0" w:color="BFBFBF"/>
                  </w:tcBorders>
                </w:tcPr>
                <w:p w:rsidR="00AC2131" w:rsidRDefault="00AC2131" w:rsidP="00AC2131">
                  <w:pPr>
                    <w:pStyle w:val="TableBodyText"/>
                    <w:jc w:val="left"/>
                  </w:pPr>
                  <w:r>
                    <w:t>United States</w:t>
                  </w:r>
                </w:p>
              </w:tc>
              <w:tc>
                <w:tcPr>
                  <w:tcW w:w="667" w:type="pct"/>
                  <w:tcBorders>
                    <w:top w:val="single" w:sz="6" w:space="0" w:color="BFBFBF"/>
                  </w:tcBorders>
                </w:tcPr>
                <w:p w:rsidR="00AC2131" w:rsidRDefault="00AC2131" w:rsidP="00AC2131">
                  <w:pPr>
                    <w:pStyle w:val="TableBodyText"/>
                  </w:pPr>
                  <w:r>
                    <w:t>27.5</w:t>
                  </w:r>
                </w:p>
              </w:tc>
              <w:tc>
                <w:tcPr>
                  <w:tcW w:w="836" w:type="pct"/>
                  <w:tcBorders>
                    <w:top w:val="single" w:sz="6" w:space="0" w:color="BFBFBF"/>
                  </w:tcBorders>
                </w:tcPr>
                <w:p w:rsidR="00AC2131" w:rsidRDefault="00AC2131" w:rsidP="00AC2131">
                  <w:pPr>
                    <w:pStyle w:val="TableBodyText"/>
                    <w:ind w:left="0" w:right="28"/>
                  </w:pPr>
                  <w:r>
                    <w:t>26.7</w:t>
                  </w:r>
                </w:p>
              </w:tc>
              <w:tc>
                <w:tcPr>
                  <w:tcW w:w="168" w:type="pct"/>
                  <w:tcBorders>
                    <w:top w:val="single" w:sz="6" w:space="0" w:color="BFBFBF"/>
                  </w:tcBorders>
                </w:tcPr>
                <w:p w:rsidR="00AC2131" w:rsidRDefault="00AC2131" w:rsidP="00AC2131">
                  <w:pPr>
                    <w:pStyle w:val="TableBodyText"/>
                    <w:ind w:left="113"/>
                    <w:jc w:val="left"/>
                  </w:pPr>
                </w:p>
              </w:tc>
              <w:tc>
                <w:tcPr>
                  <w:tcW w:w="918" w:type="pct"/>
                  <w:tcBorders>
                    <w:top w:val="single" w:sz="6" w:space="0" w:color="BFBFBF"/>
                  </w:tcBorders>
                </w:tcPr>
                <w:p w:rsidR="00AC2131" w:rsidRDefault="00AC2131" w:rsidP="00AC2131">
                  <w:pPr>
                    <w:pStyle w:val="TableBodyText"/>
                    <w:ind w:left="113"/>
                    <w:jc w:val="left"/>
                  </w:pPr>
                  <w:r>
                    <w:t>United States</w:t>
                  </w:r>
                </w:p>
              </w:tc>
              <w:tc>
                <w:tcPr>
                  <w:tcW w:w="804" w:type="pct"/>
                  <w:tcBorders>
                    <w:top w:val="single" w:sz="6" w:space="0" w:color="BFBFBF"/>
                  </w:tcBorders>
                </w:tcPr>
                <w:p w:rsidR="00AC2131" w:rsidRDefault="00AC2131" w:rsidP="00AC2131">
                  <w:pPr>
                    <w:pStyle w:val="TableBodyText"/>
                    <w:ind w:right="28"/>
                  </w:pPr>
                  <w:r>
                    <w:t>38.1</w:t>
                  </w:r>
                </w:p>
              </w:tc>
              <w:tc>
                <w:tcPr>
                  <w:tcW w:w="701" w:type="pct"/>
                  <w:tcBorders>
                    <w:top w:val="single" w:sz="6" w:space="0" w:color="BFBFBF"/>
                  </w:tcBorders>
                </w:tcPr>
                <w:p w:rsidR="00AC2131" w:rsidRDefault="00AC2131" w:rsidP="00AC2131">
                  <w:pPr>
                    <w:pStyle w:val="TableBodyText"/>
                    <w:ind w:right="28"/>
                  </w:pPr>
                  <w:r>
                    <w:t>28.9</w:t>
                  </w:r>
                </w:p>
              </w:tc>
            </w:tr>
            <w:tr w:rsidR="00AC2131" w:rsidTr="00AC2131">
              <w:tc>
                <w:tcPr>
                  <w:tcW w:w="906" w:type="pct"/>
                </w:tcPr>
                <w:p w:rsidR="00AC2131" w:rsidRDefault="00AC2131" w:rsidP="00AC2131">
                  <w:pPr>
                    <w:pStyle w:val="TableBodyText"/>
                    <w:jc w:val="left"/>
                  </w:pPr>
                  <w:r>
                    <w:t>United Kingdom</w:t>
                  </w:r>
                </w:p>
              </w:tc>
              <w:tc>
                <w:tcPr>
                  <w:tcW w:w="667" w:type="pct"/>
                </w:tcPr>
                <w:p w:rsidR="00AC2131" w:rsidRDefault="00AC2131" w:rsidP="00AC2131">
                  <w:pPr>
                    <w:pStyle w:val="TableBodyText"/>
                  </w:pPr>
                  <w:r>
                    <w:t>24.9</w:t>
                  </w:r>
                </w:p>
              </w:tc>
              <w:tc>
                <w:tcPr>
                  <w:tcW w:w="836" w:type="pct"/>
                </w:tcPr>
                <w:p w:rsidR="00AC2131" w:rsidRDefault="00AC2131" w:rsidP="00AC2131">
                  <w:pPr>
                    <w:pStyle w:val="TableBodyText"/>
                    <w:ind w:right="28"/>
                  </w:pPr>
                  <w:r>
                    <w:t>22.9</w:t>
                  </w:r>
                </w:p>
              </w:tc>
              <w:tc>
                <w:tcPr>
                  <w:tcW w:w="168" w:type="pct"/>
                </w:tcPr>
                <w:p w:rsidR="00AC2131" w:rsidRDefault="00AC2131" w:rsidP="00AC2131">
                  <w:pPr>
                    <w:pStyle w:val="TableBodyText"/>
                    <w:ind w:left="113"/>
                    <w:jc w:val="left"/>
                  </w:pPr>
                </w:p>
              </w:tc>
              <w:tc>
                <w:tcPr>
                  <w:tcW w:w="918" w:type="pct"/>
                </w:tcPr>
                <w:p w:rsidR="00AC2131" w:rsidRDefault="00AC2131" w:rsidP="00AC2131">
                  <w:pPr>
                    <w:pStyle w:val="TableBodyText"/>
                    <w:ind w:left="113"/>
                    <w:jc w:val="left"/>
                  </w:pPr>
                  <w:r>
                    <w:t>United Kingdom</w:t>
                  </w:r>
                </w:p>
              </w:tc>
              <w:tc>
                <w:tcPr>
                  <w:tcW w:w="804" w:type="pct"/>
                </w:tcPr>
                <w:p w:rsidR="00AC2131" w:rsidRDefault="00AC2131" w:rsidP="00AC2131">
                  <w:pPr>
                    <w:pStyle w:val="TableBodyText"/>
                    <w:ind w:right="28"/>
                  </w:pPr>
                  <w:r>
                    <w:t>15.7</w:t>
                  </w:r>
                </w:p>
              </w:tc>
              <w:tc>
                <w:tcPr>
                  <w:tcW w:w="701" w:type="pct"/>
                </w:tcPr>
                <w:p w:rsidR="00AC2131" w:rsidRDefault="00AC2131" w:rsidP="00AC2131">
                  <w:pPr>
                    <w:pStyle w:val="TableBodyText"/>
                    <w:ind w:right="28"/>
                  </w:pPr>
                  <w:r>
                    <w:t>15.7</w:t>
                  </w:r>
                </w:p>
              </w:tc>
            </w:tr>
            <w:tr w:rsidR="00AC2131" w:rsidTr="00AC2131">
              <w:tc>
                <w:tcPr>
                  <w:tcW w:w="906" w:type="pct"/>
                </w:tcPr>
                <w:p w:rsidR="00AC2131" w:rsidRDefault="00AC2131" w:rsidP="00AC2131">
                  <w:pPr>
                    <w:pStyle w:val="TableBodyText"/>
                    <w:jc w:val="left"/>
                  </w:pPr>
                  <w:r>
                    <w:t>Japan</w:t>
                  </w:r>
                </w:p>
              </w:tc>
              <w:tc>
                <w:tcPr>
                  <w:tcW w:w="667" w:type="pct"/>
                </w:tcPr>
                <w:p w:rsidR="00AC2131" w:rsidRDefault="00AC2131" w:rsidP="00AC2131">
                  <w:pPr>
                    <w:pStyle w:val="TableBodyText"/>
                  </w:pPr>
                  <w:r>
                    <w:t>4.4</w:t>
                  </w:r>
                </w:p>
              </w:tc>
              <w:tc>
                <w:tcPr>
                  <w:tcW w:w="836" w:type="pct"/>
                </w:tcPr>
                <w:p w:rsidR="00AC2131" w:rsidRDefault="00AC2131" w:rsidP="00AC2131">
                  <w:pPr>
                    <w:pStyle w:val="TableBodyText"/>
                    <w:ind w:right="28"/>
                  </w:pPr>
                  <w:r>
                    <w:t>5.3</w:t>
                  </w:r>
                </w:p>
              </w:tc>
              <w:tc>
                <w:tcPr>
                  <w:tcW w:w="168" w:type="pct"/>
                </w:tcPr>
                <w:p w:rsidR="00AC2131" w:rsidRDefault="00AC2131" w:rsidP="00AC2131">
                  <w:pPr>
                    <w:pStyle w:val="TableBodyText"/>
                    <w:ind w:left="113"/>
                    <w:jc w:val="left"/>
                  </w:pPr>
                </w:p>
              </w:tc>
              <w:tc>
                <w:tcPr>
                  <w:tcW w:w="918" w:type="pct"/>
                </w:tcPr>
                <w:p w:rsidR="00AC2131" w:rsidRDefault="00AC2131" w:rsidP="00AC2131">
                  <w:pPr>
                    <w:pStyle w:val="TableBodyText"/>
                    <w:ind w:left="113"/>
                    <w:jc w:val="left"/>
                  </w:pPr>
                  <w:r>
                    <w:t>New Zealand</w:t>
                  </w:r>
                </w:p>
              </w:tc>
              <w:tc>
                <w:tcPr>
                  <w:tcW w:w="804" w:type="pct"/>
                </w:tcPr>
                <w:p w:rsidR="00AC2131" w:rsidRDefault="00AC2131" w:rsidP="00AC2131">
                  <w:pPr>
                    <w:pStyle w:val="TableBodyText"/>
                    <w:ind w:right="28"/>
                  </w:pPr>
                  <w:r>
                    <w:t>6.7</w:t>
                  </w:r>
                </w:p>
              </w:tc>
              <w:tc>
                <w:tcPr>
                  <w:tcW w:w="701" w:type="pct"/>
                </w:tcPr>
                <w:p w:rsidR="00AC2131" w:rsidRDefault="00AC2131" w:rsidP="00AC2131">
                  <w:pPr>
                    <w:pStyle w:val="TableBodyText"/>
                    <w:ind w:right="28"/>
                  </w:pPr>
                  <w:r>
                    <w:t>5.0</w:t>
                  </w:r>
                </w:p>
              </w:tc>
            </w:tr>
            <w:tr w:rsidR="00AC2131" w:rsidTr="00AC2131">
              <w:tc>
                <w:tcPr>
                  <w:tcW w:w="906" w:type="pct"/>
                </w:tcPr>
                <w:p w:rsidR="00AC2131" w:rsidRDefault="00AC2131" w:rsidP="00AC2131">
                  <w:pPr>
                    <w:pStyle w:val="TableBodyText"/>
                    <w:jc w:val="left"/>
                  </w:pPr>
                  <w:r>
                    <w:t>Singapore*</w:t>
                  </w:r>
                </w:p>
              </w:tc>
              <w:tc>
                <w:tcPr>
                  <w:tcW w:w="667" w:type="pct"/>
                </w:tcPr>
                <w:p w:rsidR="00AC2131" w:rsidRDefault="00AC2131" w:rsidP="00AC2131">
                  <w:pPr>
                    <w:pStyle w:val="TableBodyText"/>
                  </w:pPr>
                  <w:r>
                    <w:t>2.1</w:t>
                  </w:r>
                </w:p>
              </w:tc>
              <w:tc>
                <w:tcPr>
                  <w:tcW w:w="836" w:type="pct"/>
                </w:tcPr>
                <w:p w:rsidR="00AC2131" w:rsidRDefault="00AC2131" w:rsidP="00AC2131">
                  <w:pPr>
                    <w:pStyle w:val="TableBodyText"/>
                    <w:ind w:right="28"/>
                  </w:pPr>
                  <w:r>
                    <w:t>2.5</w:t>
                  </w:r>
                </w:p>
              </w:tc>
              <w:tc>
                <w:tcPr>
                  <w:tcW w:w="168" w:type="pct"/>
                </w:tcPr>
                <w:p w:rsidR="00AC2131" w:rsidRDefault="00AC2131" w:rsidP="00AC2131">
                  <w:pPr>
                    <w:pStyle w:val="TableBodyText"/>
                    <w:ind w:left="113" w:right="28"/>
                    <w:jc w:val="left"/>
                  </w:pPr>
                </w:p>
              </w:tc>
              <w:tc>
                <w:tcPr>
                  <w:tcW w:w="918" w:type="pct"/>
                </w:tcPr>
                <w:p w:rsidR="00AC2131" w:rsidRDefault="00AC2131" w:rsidP="00AC2131">
                  <w:pPr>
                    <w:pStyle w:val="TableBodyText"/>
                    <w:ind w:left="113" w:right="28"/>
                    <w:jc w:val="left"/>
                  </w:pPr>
                  <w:r>
                    <w:t>Germany</w:t>
                  </w:r>
                </w:p>
              </w:tc>
              <w:tc>
                <w:tcPr>
                  <w:tcW w:w="804" w:type="pct"/>
                </w:tcPr>
                <w:p w:rsidR="00AC2131" w:rsidRDefault="00AC2131" w:rsidP="00AC2131">
                  <w:pPr>
                    <w:pStyle w:val="TableBodyText"/>
                    <w:ind w:right="28"/>
                  </w:pPr>
                  <w:r>
                    <w:t>1.7</w:t>
                  </w:r>
                </w:p>
              </w:tc>
              <w:tc>
                <w:tcPr>
                  <w:tcW w:w="701" w:type="pct"/>
                </w:tcPr>
                <w:p w:rsidR="00AC2131" w:rsidRDefault="00AC2131" w:rsidP="00AC2131">
                  <w:pPr>
                    <w:pStyle w:val="TableBodyText"/>
                    <w:ind w:right="28"/>
                  </w:pPr>
                  <w:r>
                    <w:t>3.5</w:t>
                  </w:r>
                </w:p>
              </w:tc>
            </w:tr>
            <w:tr w:rsidR="00AC2131" w:rsidTr="00AC2131">
              <w:tc>
                <w:tcPr>
                  <w:tcW w:w="906" w:type="pct"/>
                </w:tcPr>
                <w:p w:rsidR="00AC2131" w:rsidRDefault="00AC2131" w:rsidP="00AC2131">
                  <w:pPr>
                    <w:pStyle w:val="TableBodyText"/>
                    <w:jc w:val="left"/>
                  </w:pPr>
                  <w:r>
                    <w:t>Hong Kong*</w:t>
                  </w:r>
                </w:p>
              </w:tc>
              <w:tc>
                <w:tcPr>
                  <w:tcW w:w="667" w:type="pct"/>
                </w:tcPr>
                <w:p w:rsidR="00AC2131" w:rsidRDefault="00AC2131" w:rsidP="00AC2131">
                  <w:pPr>
                    <w:pStyle w:val="TableBodyText"/>
                  </w:pPr>
                  <w:r>
                    <w:t>2.7</w:t>
                  </w:r>
                </w:p>
              </w:tc>
              <w:tc>
                <w:tcPr>
                  <w:tcW w:w="836" w:type="pct"/>
                </w:tcPr>
                <w:p w:rsidR="00AC2131" w:rsidRDefault="00AC2131" w:rsidP="00AC2131">
                  <w:pPr>
                    <w:pStyle w:val="TableBodyText"/>
                    <w:ind w:right="28"/>
                  </w:pPr>
                  <w:r>
                    <w:t>2.1</w:t>
                  </w:r>
                </w:p>
              </w:tc>
              <w:tc>
                <w:tcPr>
                  <w:tcW w:w="168" w:type="pct"/>
                </w:tcPr>
                <w:p w:rsidR="00AC2131" w:rsidRDefault="00AC2131" w:rsidP="00AC2131">
                  <w:pPr>
                    <w:pStyle w:val="TableBodyText"/>
                    <w:ind w:left="113" w:right="28"/>
                    <w:jc w:val="left"/>
                  </w:pPr>
                </w:p>
              </w:tc>
              <w:tc>
                <w:tcPr>
                  <w:tcW w:w="918" w:type="pct"/>
                </w:tcPr>
                <w:p w:rsidR="00AC2131" w:rsidRDefault="00AC2131" w:rsidP="00AC2131">
                  <w:pPr>
                    <w:pStyle w:val="TableBodyText"/>
                    <w:ind w:left="113" w:right="28"/>
                    <w:jc w:val="left"/>
                  </w:pPr>
                  <w:r>
                    <w:t>Canada</w:t>
                  </w:r>
                </w:p>
              </w:tc>
              <w:tc>
                <w:tcPr>
                  <w:tcW w:w="804" w:type="pct"/>
                </w:tcPr>
                <w:p w:rsidR="00AC2131" w:rsidRDefault="00AC2131" w:rsidP="00AC2131">
                  <w:pPr>
                    <w:pStyle w:val="TableBodyText"/>
                    <w:ind w:right="28"/>
                  </w:pPr>
                  <w:r>
                    <w:t>1.0</w:t>
                  </w:r>
                </w:p>
              </w:tc>
              <w:tc>
                <w:tcPr>
                  <w:tcW w:w="701" w:type="pct"/>
                </w:tcPr>
                <w:p w:rsidR="00AC2131" w:rsidRDefault="00AC2131" w:rsidP="00AC2131">
                  <w:pPr>
                    <w:pStyle w:val="TableBodyText"/>
                    <w:ind w:right="28"/>
                  </w:pPr>
                  <w:r>
                    <w:t>3.3</w:t>
                  </w:r>
                </w:p>
              </w:tc>
            </w:tr>
            <w:tr w:rsidR="00AC2131" w:rsidTr="00AC2131">
              <w:tc>
                <w:tcPr>
                  <w:tcW w:w="906" w:type="pct"/>
                </w:tcPr>
                <w:p w:rsidR="00AC2131" w:rsidRDefault="00AC2131" w:rsidP="00AC2131">
                  <w:pPr>
                    <w:pStyle w:val="TableBodyText"/>
                    <w:jc w:val="left"/>
                  </w:pPr>
                  <w:r>
                    <w:t>Switzerland</w:t>
                  </w:r>
                </w:p>
              </w:tc>
              <w:tc>
                <w:tcPr>
                  <w:tcW w:w="667" w:type="pct"/>
                </w:tcPr>
                <w:p w:rsidR="00AC2131" w:rsidRDefault="00AC2131" w:rsidP="00AC2131">
                  <w:pPr>
                    <w:pStyle w:val="TableBodyText"/>
                  </w:pPr>
                  <w:r>
                    <w:t>2.0</w:t>
                  </w:r>
                </w:p>
              </w:tc>
              <w:tc>
                <w:tcPr>
                  <w:tcW w:w="836" w:type="pct"/>
                </w:tcPr>
                <w:p w:rsidR="00AC2131" w:rsidRDefault="00AC2131" w:rsidP="00AC2131">
                  <w:pPr>
                    <w:pStyle w:val="TableBodyText"/>
                    <w:ind w:right="28"/>
                  </w:pPr>
                  <w:r>
                    <w:t>1.9</w:t>
                  </w:r>
                </w:p>
              </w:tc>
              <w:tc>
                <w:tcPr>
                  <w:tcW w:w="168" w:type="pct"/>
                </w:tcPr>
                <w:p w:rsidR="00AC2131" w:rsidRDefault="00AC2131" w:rsidP="00AC2131">
                  <w:pPr>
                    <w:pStyle w:val="TableBodyText"/>
                    <w:ind w:left="113" w:right="28"/>
                    <w:jc w:val="left"/>
                  </w:pPr>
                </w:p>
              </w:tc>
              <w:tc>
                <w:tcPr>
                  <w:tcW w:w="918" w:type="pct"/>
                </w:tcPr>
                <w:p w:rsidR="00AC2131" w:rsidRDefault="00AC2131" w:rsidP="00AC2131">
                  <w:pPr>
                    <w:pStyle w:val="TableBodyText"/>
                    <w:ind w:left="113" w:right="28"/>
                    <w:jc w:val="left"/>
                  </w:pPr>
                  <w:r>
                    <w:t>Japan</w:t>
                  </w:r>
                </w:p>
              </w:tc>
              <w:tc>
                <w:tcPr>
                  <w:tcW w:w="804" w:type="pct"/>
                </w:tcPr>
                <w:p w:rsidR="00AC2131" w:rsidRDefault="00AC2131" w:rsidP="00AC2131">
                  <w:pPr>
                    <w:pStyle w:val="TableBodyText"/>
                    <w:ind w:right="28"/>
                  </w:pPr>
                  <w:r>
                    <w:t>3.6</w:t>
                  </w:r>
                </w:p>
              </w:tc>
              <w:tc>
                <w:tcPr>
                  <w:tcW w:w="701" w:type="pct"/>
                </w:tcPr>
                <w:p w:rsidR="00AC2131" w:rsidRDefault="00AC2131" w:rsidP="00AC2131">
                  <w:pPr>
                    <w:pStyle w:val="TableBodyText"/>
                    <w:ind w:right="28"/>
                  </w:pPr>
                  <w:r>
                    <w:t>3.1</w:t>
                  </w:r>
                </w:p>
              </w:tc>
            </w:tr>
            <w:tr w:rsidR="00AC2131" w:rsidTr="00AC2131">
              <w:tc>
                <w:tcPr>
                  <w:tcW w:w="906" w:type="pct"/>
                </w:tcPr>
                <w:p w:rsidR="00AC2131" w:rsidRDefault="00AC2131" w:rsidP="00AC2131">
                  <w:pPr>
                    <w:pStyle w:val="TableBodyText"/>
                    <w:jc w:val="left"/>
                  </w:pPr>
                  <w:r>
                    <w:t>Netherlands</w:t>
                  </w:r>
                </w:p>
              </w:tc>
              <w:tc>
                <w:tcPr>
                  <w:tcW w:w="667" w:type="pct"/>
                </w:tcPr>
                <w:p w:rsidR="00AC2131" w:rsidRDefault="00AC2131" w:rsidP="00AC2131">
                  <w:pPr>
                    <w:pStyle w:val="TableBodyText"/>
                  </w:pPr>
                  <w:r>
                    <w:t>2.1</w:t>
                  </w:r>
                </w:p>
              </w:tc>
              <w:tc>
                <w:tcPr>
                  <w:tcW w:w="836" w:type="pct"/>
                </w:tcPr>
                <w:p w:rsidR="00AC2131" w:rsidRDefault="00AC2131" w:rsidP="00AC2131">
                  <w:pPr>
                    <w:pStyle w:val="TableBodyText"/>
                    <w:ind w:right="28"/>
                  </w:pPr>
                  <w:r>
                    <w:t>1.5</w:t>
                  </w:r>
                </w:p>
              </w:tc>
              <w:tc>
                <w:tcPr>
                  <w:tcW w:w="168" w:type="pct"/>
                </w:tcPr>
                <w:p w:rsidR="00AC2131" w:rsidRDefault="00AC2131" w:rsidP="00AC2131">
                  <w:pPr>
                    <w:pStyle w:val="TableBodyText"/>
                    <w:ind w:left="113" w:right="28"/>
                    <w:jc w:val="left"/>
                  </w:pPr>
                </w:p>
              </w:tc>
              <w:tc>
                <w:tcPr>
                  <w:tcW w:w="918" w:type="pct"/>
                </w:tcPr>
                <w:p w:rsidR="00AC2131" w:rsidRDefault="00AC2131" w:rsidP="00AC2131">
                  <w:pPr>
                    <w:pStyle w:val="TableBodyText"/>
                    <w:ind w:left="113" w:right="28"/>
                    <w:jc w:val="left"/>
                  </w:pPr>
                  <w:r>
                    <w:t>Switzerland</w:t>
                  </w:r>
                </w:p>
              </w:tc>
              <w:tc>
                <w:tcPr>
                  <w:tcW w:w="804" w:type="pct"/>
                </w:tcPr>
                <w:p w:rsidR="00AC2131" w:rsidRDefault="00AC2131" w:rsidP="00AC2131">
                  <w:pPr>
                    <w:pStyle w:val="TableBodyText"/>
                    <w:ind w:right="28"/>
                  </w:pPr>
                  <w:r>
                    <w:t>1.1</w:t>
                  </w:r>
                </w:p>
              </w:tc>
              <w:tc>
                <w:tcPr>
                  <w:tcW w:w="701" w:type="pct"/>
                </w:tcPr>
                <w:p w:rsidR="00AC2131" w:rsidRDefault="00AC2131" w:rsidP="00AC2131">
                  <w:pPr>
                    <w:pStyle w:val="TableBodyText"/>
                    <w:ind w:right="28"/>
                  </w:pPr>
                  <w:r>
                    <w:t>2.3</w:t>
                  </w:r>
                </w:p>
              </w:tc>
            </w:tr>
            <w:tr w:rsidR="00AC2131" w:rsidTr="00AC2131">
              <w:tc>
                <w:tcPr>
                  <w:tcW w:w="906" w:type="pct"/>
                </w:tcPr>
                <w:p w:rsidR="00AC2131" w:rsidRDefault="00AC2131" w:rsidP="00AC2131">
                  <w:pPr>
                    <w:pStyle w:val="TableBodyText"/>
                    <w:jc w:val="left"/>
                  </w:pPr>
                  <w:r>
                    <w:t>China*</w:t>
                  </w:r>
                </w:p>
              </w:tc>
              <w:tc>
                <w:tcPr>
                  <w:tcW w:w="667" w:type="pct"/>
                </w:tcPr>
                <w:p w:rsidR="00AC2131" w:rsidRDefault="00AC2131" w:rsidP="00AC2131">
                  <w:pPr>
                    <w:pStyle w:val="TableBodyText"/>
                  </w:pPr>
                  <w:r>
                    <w:t>0.3</w:t>
                  </w:r>
                </w:p>
              </w:tc>
              <w:tc>
                <w:tcPr>
                  <w:tcW w:w="836" w:type="pct"/>
                </w:tcPr>
                <w:p w:rsidR="00AC2131" w:rsidRDefault="00AC2131" w:rsidP="00AC2131">
                  <w:pPr>
                    <w:pStyle w:val="TableBodyText"/>
                    <w:ind w:right="28"/>
                  </w:pPr>
                  <w:r>
                    <w:t>1.3</w:t>
                  </w:r>
                </w:p>
              </w:tc>
              <w:tc>
                <w:tcPr>
                  <w:tcW w:w="168" w:type="pct"/>
                </w:tcPr>
                <w:p w:rsidR="00AC2131" w:rsidRDefault="00AC2131" w:rsidP="00AC2131">
                  <w:pPr>
                    <w:pStyle w:val="TableBodyText"/>
                    <w:ind w:left="113" w:right="28"/>
                    <w:jc w:val="left"/>
                  </w:pPr>
                </w:p>
              </w:tc>
              <w:tc>
                <w:tcPr>
                  <w:tcW w:w="918" w:type="pct"/>
                </w:tcPr>
                <w:p w:rsidR="00AC2131" w:rsidRDefault="00AC2131" w:rsidP="00AC2131">
                  <w:pPr>
                    <w:pStyle w:val="TableBodyText"/>
                    <w:ind w:left="113" w:right="28"/>
                    <w:jc w:val="left"/>
                  </w:pPr>
                  <w:r>
                    <w:t>Singapore*</w:t>
                  </w:r>
                </w:p>
              </w:tc>
              <w:tc>
                <w:tcPr>
                  <w:tcW w:w="804" w:type="pct"/>
                </w:tcPr>
                <w:p w:rsidR="00AC2131" w:rsidRDefault="00AC2131" w:rsidP="00AC2131">
                  <w:pPr>
                    <w:pStyle w:val="TableBodyText"/>
                    <w:ind w:right="28"/>
                  </w:pPr>
                  <w:r>
                    <w:t>2.2</w:t>
                  </w:r>
                </w:p>
              </w:tc>
              <w:tc>
                <w:tcPr>
                  <w:tcW w:w="701" w:type="pct"/>
                </w:tcPr>
                <w:p w:rsidR="00AC2131" w:rsidRDefault="00AC2131" w:rsidP="00AC2131">
                  <w:pPr>
                    <w:pStyle w:val="TableBodyText"/>
                    <w:ind w:right="28"/>
                  </w:pPr>
                  <w:r>
                    <w:t>2.2</w:t>
                  </w:r>
                </w:p>
              </w:tc>
            </w:tr>
            <w:tr w:rsidR="00AC2131" w:rsidTr="00AC2131">
              <w:tc>
                <w:tcPr>
                  <w:tcW w:w="906" w:type="pct"/>
                </w:tcPr>
                <w:p w:rsidR="00AC2131" w:rsidRDefault="00AC2131" w:rsidP="00AC2131">
                  <w:pPr>
                    <w:pStyle w:val="TableBodyText"/>
                    <w:jc w:val="left"/>
                  </w:pPr>
                  <w:r>
                    <w:t>New Zealand</w:t>
                  </w:r>
                </w:p>
              </w:tc>
              <w:tc>
                <w:tcPr>
                  <w:tcW w:w="667" w:type="pct"/>
                </w:tcPr>
                <w:p w:rsidR="00AC2131" w:rsidRDefault="00AC2131" w:rsidP="00AC2131">
                  <w:pPr>
                    <w:pStyle w:val="TableBodyText"/>
                  </w:pPr>
                  <w:r>
                    <w:t>1.2</w:t>
                  </w:r>
                </w:p>
              </w:tc>
              <w:tc>
                <w:tcPr>
                  <w:tcW w:w="836" w:type="pct"/>
                </w:tcPr>
                <w:p w:rsidR="00AC2131" w:rsidRDefault="00AC2131" w:rsidP="00AC2131">
                  <w:pPr>
                    <w:pStyle w:val="TableBodyText"/>
                    <w:ind w:right="28"/>
                  </w:pPr>
                  <w:r>
                    <w:t>1.2</w:t>
                  </w:r>
                </w:p>
              </w:tc>
              <w:tc>
                <w:tcPr>
                  <w:tcW w:w="168" w:type="pct"/>
                </w:tcPr>
                <w:p w:rsidR="00AC2131" w:rsidRDefault="00AC2131" w:rsidP="00AC2131">
                  <w:pPr>
                    <w:pStyle w:val="TableBodyText"/>
                    <w:ind w:left="113" w:right="28"/>
                    <w:jc w:val="left"/>
                  </w:pPr>
                </w:p>
              </w:tc>
              <w:tc>
                <w:tcPr>
                  <w:tcW w:w="918" w:type="pct"/>
                </w:tcPr>
                <w:p w:rsidR="00AC2131" w:rsidRDefault="00AC2131" w:rsidP="00AC2131">
                  <w:pPr>
                    <w:pStyle w:val="TableBodyText"/>
                    <w:ind w:left="113" w:right="28"/>
                    <w:jc w:val="left"/>
                  </w:pPr>
                  <w:r>
                    <w:t>France</w:t>
                  </w:r>
                </w:p>
              </w:tc>
              <w:tc>
                <w:tcPr>
                  <w:tcW w:w="804" w:type="pct"/>
                </w:tcPr>
                <w:p w:rsidR="00AC2131" w:rsidRDefault="00AC2131" w:rsidP="00AC2131">
                  <w:pPr>
                    <w:pStyle w:val="TableBodyText"/>
                    <w:ind w:right="28"/>
                  </w:pPr>
                  <w:r>
                    <w:t>1.9</w:t>
                  </w:r>
                </w:p>
              </w:tc>
              <w:tc>
                <w:tcPr>
                  <w:tcW w:w="701" w:type="pct"/>
                </w:tcPr>
                <w:p w:rsidR="00AC2131" w:rsidRDefault="00AC2131" w:rsidP="00AC2131">
                  <w:pPr>
                    <w:pStyle w:val="TableBodyText"/>
                    <w:ind w:right="28"/>
                  </w:pPr>
                  <w:r>
                    <w:t>2.1</w:t>
                  </w:r>
                </w:p>
              </w:tc>
            </w:tr>
            <w:tr w:rsidR="00AC2131" w:rsidTr="00AC2131">
              <w:tc>
                <w:tcPr>
                  <w:tcW w:w="906" w:type="pct"/>
                </w:tcPr>
                <w:p w:rsidR="00AC2131" w:rsidRDefault="00AC2131" w:rsidP="00AC2131">
                  <w:pPr>
                    <w:pStyle w:val="TableBodyText"/>
                    <w:jc w:val="left"/>
                  </w:pPr>
                  <w:r>
                    <w:t>Canada</w:t>
                  </w:r>
                </w:p>
              </w:tc>
              <w:tc>
                <w:tcPr>
                  <w:tcW w:w="667" w:type="pct"/>
                </w:tcPr>
                <w:p w:rsidR="00AC2131" w:rsidRDefault="00AC2131" w:rsidP="00AC2131">
                  <w:pPr>
                    <w:pStyle w:val="TableBodyText"/>
                  </w:pPr>
                  <w:r>
                    <w:t>1.1</w:t>
                  </w:r>
                </w:p>
              </w:tc>
              <w:tc>
                <w:tcPr>
                  <w:tcW w:w="836" w:type="pct"/>
                </w:tcPr>
                <w:p w:rsidR="00AC2131" w:rsidRDefault="00AC2131" w:rsidP="00AC2131">
                  <w:pPr>
                    <w:pStyle w:val="TableBodyText"/>
                    <w:ind w:right="28"/>
                  </w:pPr>
                  <w:r>
                    <w:t>1.1</w:t>
                  </w:r>
                </w:p>
              </w:tc>
              <w:tc>
                <w:tcPr>
                  <w:tcW w:w="168" w:type="pct"/>
                </w:tcPr>
                <w:p w:rsidR="00AC2131" w:rsidRDefault="00AC2131" w:rsidP="00AC2131">
                  <w:pPr>
                    <w:pStyle w:val="TableBodyText"/>
                    <w:ind w:left="113" w:right="28"/>
                    <w:jc w:val="left"/>
                  </w:pPr>
                </w:p>
              </w:tc>
              <w:tc>
                <w:tcPr>
                  <w:tcW w:w="918" w:type="pct"/>
                </w:tcPr>
                <w:p w:rsidR="00AC2131" w:rsidRDefault="00AC2131" w:rsidP="00AC2131">
                  <w:pPr>
                    <w:pStyle w:val="TableBodyText"/>
                    <w:ind w:left="113" w:right="28"/>
                    <w:jc w:val="left"/>
                  </w:pPr>
                  <w:r>
                    <w:t>Netherlands</w:t>
                  </w:r>
                </w:p>
              </w:tc>
              <w:tc>
                <w:tcPr>
                  <w:tcW w:w="804" w:type="pct"/>
                </w:tcPr>
                <w:p w:rsidR="00AC2131" w:rsidRDefault="00AC2131" w:rsidP="00AC2131">
                  <w:pPr>
                    <w:pStyle w:val="TableBodyText"/>
                    <w:ind w:right="28"/>
                  </w:pPr>
                  <w:r>
                    <w:t>2.6</w:t>
                  </w:r>
                </w:p>
              </w:tc>
              <w:tc>
                <w:tcPr>
                  <w:tcW w:w="701" w:type="pct"/>
                </w:tcPr>
                <w:p w:rsidR="00AC2131" w:rsidRDefault="00AC2131" w:rsidP="00AC2131">
                  <w:pPr>
                    <w:pStyle w:val="TableBodyText"/>
                    <w:ind w:right="28"/>
                  </w:pPr>
                  <w:r>
                    <w:t>2.1</w:t>
                  </w:r>
                </w:p>
              </w:tc>
            </w:tr>
            <w:tr w:rsidR="00AC2131" w:rsidTr="00AC2131">
              <w:tc>
                <w:tcPr>
                  <w:tcW w:w="906" w:type="pct"/>
                </w:tcPr>
                <w:p w:rsidR="00AC2131" w:rsidRDefault="00AC2131" w:rsidP="00AC2131">
                  <w:pPr>
                    <w:pStyle w:val="TableBodyText"/>
                    <w:jc w:val="left"/>
                  </w:pPr>
                  <w:r>
                    <w:t>Other ISDS*</w:t>
                  </w:r>
                </w:p>
              </w:tc>
              <w:tc>
                <w:tcPr>
                  <w:tcW w:w="667" w:type="pct"/>
                </w:tcPr>
                <w:p w:rsidR="00AC2131" w:rsidRDefault="00AC2131" w:rsidP="00AC2131">
                  <w:pPr>
                    <w:pStyle w:val="TableBodyText"/>
                  </w:pPr>
                  <w:r>
                    <w:t>0.2</w:t>
                  </w:r>
                </w:p>
              </w:tc>
              <w:tc>
                <w:tcPr>
                  <w:tcW w:w="836" w:type="pct"/>
                </w:tcPr>
                <w:p w:rsidR="00AC2131" w:rsidRPr="002D4A5D" w:rsidRDefault="00AC2131" w:rsidP="00AC2131">
                  <w:pPr>
                    <w:pStyle w:val="TableBodyText"/>
                    <w:ind w:right="28"/>
                  </w:pPr>
                  <w:r>
                    <w:t>0.5</w:t>
                  </w:r>
                </w:p>
              </w:tc>
              <w:tc>
                <w:tcPr>
                  <w:tcW w:w="168" w:type="pct"/>
                </w:tcPr>
                <w:p w:rsidR="00AC2131" w:rsidRDefault="00AC2131" w:rsidP="00AC2131">
                  <w:pPr>
                    <w:pStyle w:val="TableBodyText"/>
                    <w:ind w:left="113" w:right="28"/>
                    <w:jc w:val="left"/>
                  </w:pPr>
                </w:p>
              </w:tc>
              <w:tc>
                <w:tcPr>
                  <w:tcW w:w="918" w:type="pct"/>
                </w:tcPr>
                <w:p w:rsidR="00AC2131" w:rsidRDefault="00AC2131" w:rsidP="00AC2131">
                  <w:pPr>
                    <w:pStyle w:val="TableBodyText"/>
                    <w:ind w:left="113" w:right="28"/>
                    <w:jc w:val="left"/>
                  </w:pPr>
                  <w:r>
                    <w:t>Other ISDS*</w:t>
                  </w:r>
                </w:p>
              </w:tc>
              <w:tc>
                <w:tcPr>
                  <w:tcW w:w="804" w:type="pct"/>
                </w:tcPr>
                <w:p w:rsidR="00AC2131" w:rsidRDefault="00AC2131" w:rsidP="00AC2131">
                  <w:pPr>
                    <w:pStyle w:val="TableBodyText"/>
                    <w:ind w:right="28"/>
                  </w:pPr>
                  <w:r>
                    <w:t>3.4</w:t>
                  </w:r>
                </w:p>
              </w:tc>
              <w:tc>
                <w:tcPr>
                  <w:tcW w:w="701" w:type="pct"/>
                </w:tcPr>
                <w:p w:rsidR="00AC2131" w:rsidRDefault="00AC2131" w:rsidP="00AC2131">
                  <w:pPr>
                    <w:pStyle w:val="TableBodyText"/>
                    <w:ind w:right="28"/>
                  </w:pPr>
                  <w:r>
                    <w:t>6.4</w:t>
                  </w:r>
                </w:p>
              </w:tc>
            </w:tr>
            <w:tr w:rsidR="00AC2131" w:rsidTr="00AC2131">
              <w:tc>
                <w:tcPr>
                  <w:tcW w:w="906" w:type="pct"/>
                </w:tcPr>
                <w:p w:rsidR="00AC2131" w:rsidRDefault="00AC2131" w:rsidP="00AC2131">
                  <w:pPr>
                    <w:pStyle w:val="TableBodyText"/>
                    <w:jc w:val="left"/>
                  </w:pPr>
                  <w:r>
                    <w:t>Other countries</w:t>
                  </w:r>
                </w:p>
              </w:tc>
              <w:tc>
                <w:tcPr>
                  <w:tcW w:w="667" w:type="pct"/>
                </w:tcPr>
                <w:p w:rsidR="00AC2131" w:rsidRDefault="00AC2131" w:rsidP="00AC2131">
                  <w:pPr>
                    <w:pStyle w:val="TableBodyText"/>
                  </w:pPr>
                  <w:r>
                    <w:t>30.8</w:t>
                  </w:r>
                </w:p>
              </w:tc>
              <w:tc>
                <w:tcPr>
                  <w:tcW w:w="836" w:type="pct"/>
                </w:tcPr>
                <w:p w:rsidR="00AC2131" w:rsidRDefault="00AC2131" w:rsidP="00AC2131">
                  <w:pPr>
                    <w:pStyle w:val="TableBodyText"/>
                    <w:ind w:right="28"/>
                  </w:pPr>
                  <w:r w:rsidRPr="002D4A5D">
                    <w:t>33.</w:t>
                  </w:r>
                  <w:r>
                    <w:t>0</w:t>
                  </w:r>
                </w:p>
              </w:tc>
              <w:tc>
                <w:tcPr>
                  <w:tcW w:w="168" w:type="pct"/>
                </w:tcPr>
                <w:p w:rsidR="00AC2131" w:rsidRDefault="00AC2131" w:rsidP="00AC2131">
                  <w:pPr>
                    <w:pStyle w:val="TableBodyText"/>
                    <w:ind w:left="113" w:right="28"/>
                    <w:jc w:val="left"/>
                  </w:pPr>
                </w:p>
              </w:tc>
              <w:tc>
                <w:tcPr>
                  <w:tcW w:w="918" w:type="pct"/>
                </w:tcPr>
                <w:p w:rsidR="00AC2131" w:rsidRDefault="00AC2131" w:rsidP="00AC2131">
                  <w:pPr>
                    <w:pStyle w:val="TableBodyText"/>
                    <w:ind w:left="113" w:right="28"/>
                    <w:jc w:val="left"/>
                  </w:pPr>
                  <w:r>
                    <w:t>Other countries</w:t>
                  </w:r>
                </w:p>
              </w:tc>
              <w:tc>
                <w:tcPr>
                  <w:tcW w:w="804" w:type="pct"/>
                </w:tcPr>
                <w:p w:rsidR="00AC2131" w:rsidRDefault="00AC2131" w:rsidP="00AC2131">
                  <w:pPr>
                    <w:pStyle w:val="TableBodyText"/>
                    <w:ind w:right="28"/>
                  </w:pPr>
                  <w:r>
                    <w:t>22.1</w:t>
                  </w:r>
                </w:p>
              </w:tc>
              <w:tc>
                <w:tcPr>
                  <w:tcW w:w="701" w:type="pct"/>
                </w:tcPr>
                <w:p w:rsidR="00AC2131" w:rsidRDefault="00AC2131" w:rsidP="00AC2131">
                  <w:pPr>
                    <w:pStyle w:val="TableBodyText"/>
                    <w:ind w:right="28"/>
                  </w:pPr>
                  <w:r>
                    <w:t>25.5</w:t>
                  </w:r>
                </w:p>
              </w:tc>
            </w:tr>
            <w:tr w:rsidR="00AC2131" w:rsidTr="00AC2131">
              <w:tc>
                <w:tcPr>
                  <w:tcW w:w="906" w:type="pct"/>
                  <w:tcBorders>
                    <w:bottom w:val="single" w:sz="6" w:space="0" w:color="BFBFBF"/>
                  </w:tcBorders>
                </w:tcPr>
                <w:p w:rsidR="00AC2131" w:rsidRDefault="00AC2131" w:rsidP="00AC2131">
                  <w:pPr>
                    <w:pStyle w:val="TableBodyText"/>
                    <w:jc w:val="left"/>
                  </w:pPr>
                  <w:r>
                    <w:t>Total</w:t>
                  </w:r>
                </w:p>
              </w:tc>
              <w:tc>
                <w:tcPr>
                  <w:tcW w:w="667" w:type="pct"/>
                  <w:tcBorders>
                    <w:bottom w:val="single" w:sz="6" w:space="0" w:color="BFBFBF"/>
                  </w:tcBorders>
                </w:tcPr>
                <w:p w:rsidR="00AC2131" w:rsidRDefault="00AC2131" w:rsidP="00AC2131">
                  <w:pPr>
                    <w:pStyle w:val="TableBodyText"/>
                  </w:pPr>
                  <w:r>
                    <w:t>100.0</w:t>
                  </w:r>
                </w:p>
              </w:tc>
              <w:tc>
                <w:tcPr>
                  <w:tcW w:w="836" w:type="pct"/>
                  <w:tcBorders>
                    <w:bottom w:val="single" w:sz="6" w:space="0" w:color="BFBFBF"/>
                  </w:tcBorders>
                </w:tcPr>
                <w:p w:rsidR="00AC2131" w:rsidRDefault="00AC2131" w:rsidP="00AC2131">
                  <w:pPr>
                    <w:pStyle w:val="TableBodyText"/>
                    <w:ind w:right="28"/>
                  </w:pPr>
                  <w:r>
                    <w:t>100.0</w:t>
                  </w:r>
                </w:p>
              </w:tc>
              <w:tc>
                <w:tcPr>
                  <w:tcW w:w="168" w:type="pct"/>
                  <w:tcBorders>
                    <w:bottom w:val="single" w:sz="6" w:space="0" w:color="BFBFBF"/>
                  </w:tcBorders>
                </w:tcPr>
                <w:p w:rsidR="00AC2131" w:rsidRDefault="00AC2131" w:rsidP="00AC2131">
                  <w:pPr>
                    <w:pStyle w:val="TableBodyText"/>
                    <w:ind w:left="113" w:right="28"/>
                    <w:jc w:val="left"/>
                  </w:pPr>
                </w:p>
              </w:tc>
              <w:tc>
                <w:tcPr>
                  <w:tcW w:w="918" w:type="pct"/>
                  <w:tcBorders>
                    <w:bottom w:val="single" w:sz="6" w:space="0" w:color="BFBFBF"/>
                  </w:tcBorders>
                </w:tcPr>
                <w:p w:rsidR="00AC2131" w:rsidRDefault="00AC2131" w:rsidP="00AC2131">
                  <w:pPr>
                    <w:pStyle w:val="TableBodyText"/>
                    <w:ind w:left="113" w:right="28"/>
                    <w:jc w:val="left"/>
                  </w:pPr>
                  <w:r>
                    <w:t>Total</w:t>
                  </w:r>
                </w:p>
              </w:tc>
              <w:tc>
                <w:tcPr>
                  <w:tcW w:w="804" w:type="pct"/>
                  <w:tcBorders>
                    <w:bottom w:val="single" w:sz="6" w:space="0" w:color="BFBFBF"/>
                  </w:tcBorders>
                </w:tcPr>
                <w:p w:rsidR="00AC2131" w:rsidRDefault="00AC2131" w:rsidP="00AC2131">
                  <w:pPr>
                    <w:pStyle w:val="TableBodyText"/>
                    <w:ind w:right="28"/>
                  </w:pPr>
                  <w:r>
                    <w:t>100.0</w:t>
                  </w:r>
                </w:p>
              </w:tc>
              <w:tc>
                <w:tcPr>
                  <w:tcW w:w="701" w:type="pct"/>
                  <w:tcBorders>
                    <w:bottom w:val="single" w:sz="6" w:space="0" w:color="BFBFBF"/>
                  </w:tcBorders>
                </w:tcPr>
                <w:p w:rsidR="00AC2131" w:rsidRDefault="00AC2131" w:rsidP="00AC2131">
                  <w:pPr>
                    <w:pStyle w:val="TableBodyText"/>
                    <w:ind w:right="28"/>
                  </w:pPr>
                  <w:r>
                    <w:t>100.0</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sidRPr="00681CFD">
              <w:rPr>
                <w:rStyle w:val="NoteLabel"/>
              </w:rPr>
              <w:t>a</w:t>
            </w:r>
            <w:r>
              <w:t xml:space="preserve"> Refers to total foreign investment. * Signifies agreement in force prior to 2003 which contains ISDS provisions.</w:t>
            </w:r>
          </w:p>
          <w:p w:rsidR="00AC2131" w:rsidRDefault="00AC2131" w:rsidP="00AC2131">
            <w:pPr>
              <w:pStyle w:val="Source"/>
            </w:pPr>
            <w:r>
              <w:rPr>
                <w:i/>
              </w:rPr>
              <w:t>Source</w:t>
            </w:r>
            <w:r w:rsidRPr="00167F06">
              <w:t xml:space="preserve">: </w:t>
            </w:r>
            <w:r>
              <w:t>DFAT (2014b).</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rPr>
          <w:iCs/>
        </w:rPr>
      </w:pPr>
      <w:r>
        <w:rPr>
          <w:iCs/>
        </w:rPr>
        <w:t>The majority of Australia’s IPPAs have been largely negotiated with less developed countries with perceived higher levels of sovereign risk and questions over the reliability of their legal systems. Despite these agreements, the share of Australian investment abroad accounted for by IPPA countries represented just 6.4 per cent of Australia’s outward foreign investment stock in 2013 (excluding Hong Kong which has a highly developed, English-based legal system). While this share has increased over the decade, it is not clear whether the presence of ISDS materially influenced the relative growth or whether it was the result of broader factors relating to commercial opportunity.</w:t>
      </w:r>
    </w:p>
    <w:p w:rsidR="00AC2131" w:rsidRDefault="00AC2131" w:rsidP="00AC2131">
      <w:pPr>
        <w:pStyle w:val="BodyText"/>
      </w:pPr>
      <w:r>
        <w:t xml:space="preserve">As reported in a previous edition of </w:t>
      </w:r>
      <w:r w:rsidRPr="001909DB">
        <w:rPr>
          <w:i/>
        </w:rPr>
        <w:t xml:space="preserve">Trade </w:t>
      </w:r>
      <w:r>
        <w:rPr>
          <w:i/>
        </w:rPr>
        <w:t>&amp;</w:t>
      </w:r>
      <w:r w:rsidRPr="001909DB">
        <w:rPr>
          <w:i/>
        </w:rPr>
        <w:t xml:space="preserve"> Assistance Review</w:t>
      </w:r>
      <w:r>
        <w:t>, t</w:t>
      </w:r>
      <w:r w:rsidRPr="00D25C05">
        <w:t xml:space="preserve">here </w:t>
      </w:r>
      <w:r>
        <w:t>have only been three cases where Australian firms have used ISDS provisions in bilateral investment treaties (each involving less developed countries). The only successful case involved the</w:t>
      </w:r>
      <w:r w:rsidRPr="00D25C05">
        <w:t xml:space="preserve"> Australian company (White Industries) </w:t>
      </w:r>
      <w:r>
        <w:t xml:space="preserve">which </w:t>
      </w:r>
      <w:r w:rsidRPr="00D25C05">
        <w:t xml:space="preserve">brought proceedings against the Indian </w:t>
      </w:r>
      <w:r w:rsidRPr="00D25C05">
        <w:lastRenderedPageBreak/>
        <w:t>Government in relation to a contractual agreement between White Indust</w:t>
      </w:r>
      <w:r>
        <w:t xml:space="preserve">ries and a state-owned enterprise. The </w:t>
      </w:r>
      <w:r w:rsidRPr="00D25C05">
        <w:t xml:space="preserve">two other cases </w:t>
      </w:r>
      <w:r>
        <w:t xml:space="preserve">involved </w:t>
      </w:r>
      <w:r w:rsidRPr="00D25C05">
        <w:t xml:space="preserve">Australia-incorporated companies (Planet Mining and Tethyan Copper Company) </w:t>
      </w:r>
      <w:r>
        <w:t>initiating</w:t>
      </w:r>
      <w:r w:rsidRPr="00D25C05">
        <w:t xml:space="preserve"> ISDS claims against the Governments of Indonesia and Pak</w:t>
      </w:r>
      <w:r>
        <w:t>istan, respectively (PC 2013).</w:t>
      </w:r>
    </w:p>
    <w:p w:rsidR="00AC2131" w:rsidRDefault="00AC2131" w:rsidP="00AC2131">
      <w:pPr>
        <w:pStyle w:val="BodyText"/>
      </w:pPr>
      <w:r>
        <w:t>In its report on Bilateral and Regional Trade Agreements (PC 2010a, p. 271), the Commission concluded there was an absence of an identifiable underlying economic problem on market failure grounds that necessitates the inclusion of ISDS provisions. The apparent lack of evidence regarding the effects of such provisions on Australian foreign investment leads the Commission to emphasise its previous recommendation that:</w:t>
      </w:r>
    </w:p>
    <w:p w:rsidR="00AC2131" w:rsidRDefault="00AC2131" w:rsidP="00AC2131">
      <w:pPr>
        <w:pStyle w:val="Quote"/>
      </w:pPr>
      <w:r>
        <w:t>The Australian Government should not include matters in bilateral and regional trade agreements that would serve to increase barriers to trade, raise costs or alter established social policies without a comprehensive review of the implications and available options for change. On specific matters, the Australian Government should:</w:t>
      </w:r>
    </w:p>
    <w:p w:rsidR="00AC2131" w:rsidRDefault="00AC2131" w:rsidP="00AC2131">
      <w:pPr>
        <w:pStyle w:val="QuoteBullet"/>
      </w:pPr>
      <w:r>
        <w:t>c) seek to avoid the inclusion of investor-state dispute settlement provisions in BRTAs that grant foreign investors in Australia substantive or procedural rights greater than those enjoyed by Australian investors. (PC 2010a, p. xxxviii)</w:t>
      </w:r>
    </w:p>
    <w:p w:rsidR="00AC2131" w:rsidRDefault="00AC2131" w:rsidP="00AC2131">
      <w:pPr>
        <w:pStyle w:val="Heading2"/>
      </w:pPr>
      <w:r>
        <w:t>4.</w:t>
      </w:r>
      <w:r>
        <w:rPr>
          <w:noProof/>
        </w:rPr>
        <w:t>5</w:t>
      </w:r>
      <w:r>
        <w:tab/>
        <w:t>Assessing the potential impacts of trade agreements</w:t>
      </w:r>
    </w:p>
    <w:p w:rsidR="00AC2131" w:rsidRDefault="00AC2131" w:rsidP="00AC2131">
      <w:pPr>
        <w:pStyle w:val="BodyText"/>
      </w:pPr>
      <w:r>
        <w:t>The complexity of bilateral and regional trade agreements and the potential for provisions to impose net costs on the community presents a compelling case for the negotiated text of an agreement to be comprehensively analysed before signing. A comprehensive and robust evaluation framework based on the Commission’s framework for evaluating national economic reforms and its findings in the 2010 report on bilateral and regional trade agreements that addresses the relevant issues is set out in box 4.5.</w:t>
      </w:r>
    </w:p>
    <w:p w:rsidR="00AC2131" w:rsidRDefault="00AC2131" w:rsidP="00AC2131">
      <w:pPr>
        <w:pStyle w:val="BodyText"/>
      </w:pPr>
      <w:r>
        <w:t>However, current processes fail to adequately assess the impacts of prospective agreements. They do not systematically quantify the costs and benefits of agreement provisions, fail to consider the opportunity costs of pursuing preferential arrangements compared to unilateral reform, ignore the extent to which agreements actually liberalise existing markets and are silent on the need for post-agreement evaluations of actual impacts.</w:t>
      </w:r>
      <w:r>
        <w:rPr>
          <w:rStyle w:val="FootnoteReference"/>
        </w:rPr>
        <w:footnoteReference w:id="35"/>
      </w:r>
      <w:r>
        <w:t xml:space="preserve">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4.</w:t>
            </w:r>
            <w:r>
              <w:rPr>
                <w:b w:val="0"/>
                <w:noProof/>
              </w:rPr>
              <w:t>5</w:t>
            </w:r>
            <w:r>
              <w:tab/>
              <w:t>Possible evaluation framework for trade agreements</w:t>
            </w:r>
          </w:p>
        </w:tc>
      </w:tr>
      <w:tr w:rsidR="00AC2131" w:rsidTr="00AC2131">
        <w:trPr>
          <w:cantSplit/>
        </w:trPr>
        <w:tc>
          <w:tcPr>
            <w:tcW w:w="8771" w:type="dxa"/>
            <w:tcBorders>
              <w:top w:val="nil"/>
              <w:left w:val="nil"/>
              <w:bottom w:val="nil"/>
              <w:right w:val="nil"/>
            </w:tcBorders>
            <w:shd w:val="clear" w:color="auto" w:fill="F2F2F2"/>
          </w:tcPr>
          <w:p w:rsidR="00AC2131" w:rsidRPr="00D911BE" w:rsidRDefault="00AC2131" w:rsidP="00AC2131">
            <w:pPr>
              <w:pStyle w:val="Box"/>
            </w:pPr>
            <w:r>
              <w:t xml:space="preserve">A comprehensive and robust analysis of an </w:t>
            </w:r>
            <w:r w:rsidRPr="006F1381">
              <w:rPr>
                <w:rFonts w:eastAsia="MS Mincho"/>
              </w:rPr>
              <w:t>agreement would:</w:t>
            </w:r>
          </w:p>
          <w:p w:rsidR="00AC2131" w:rsidRPr="0072570C" w:rsidRDefault="00AC2131" w:rsidP="00AC2131">
            <w:pPr>
              <w:pStyle w:val="BoxListBullet"/>
              <w:rPr>
                <w:szCs w:val="24"/>
              </w:rPr>
            </w:pPr>
            <w:r w:rsidRPr="0072570C">
              <w:t>provide information on the potential national economic impacts of the full agreement, including estimates of the economy-wide and distributional effects of change</w:t>
            </w:r>
          </w:p>
          <w:p w:rsidR="00AC2131" w:rsidRPr="0072570C" w:rsidRDefault="00AC2131" w:rsidP="00AC2131">
            <w:pPr>
              <w:pStyle w:val="BoxListBullet"/>
              <w:rPr>
                <w:szCs w:val="24"/>
              </w:rPr>
            </w:pPr>
            <w:r w:rsidRPr="0072570C">
              <w:t xml:space="preserve">assess, where practicable, the impact of the agreement on assisting Australia achieving its productivity and trade potential and the opportunities for improvement, recognising the differences in customs tariffs and other barriers to trade across countries, as well as the different nature of merchandise trade, services trade, direct and portfolio investments, intellectual property and the movement </w:t>
            </w:r>
            <w:r>
              <w:t>of</w:t>
            </w:r>
            <w:r w:rsidRPr="0072570C">
              <w:t xml:space="preserve"> natural persons, carve outs and phasing, and the time paths over which benefits are likely to accrue and costs incurred</w:t>
            </w:r>
          </w:p>
          <w:p w:rsidR="00AC2131" w:rsidRPr="0072570C" w:rsidRDefault="00AC2131" w:rsidP="00AC2131">
            <w:pPr>
              <w:pStyle w:val="BoxListBullet"/>
              <w:rPr>
                <w:szCs w:val="24"/>
              </w:rPr>
            </w:pPr>
            <w:r w:rsidRPr="0072570C">
              <w:t>assess the scope for agreements to evolve over time to assist Australia to meet its productivity and trade potential, including through review provisions and built-in agenda</w:t>
            </w:r>
          </w:p>
          <w:p w:rsidR="00AC2131" w:rsidRPr="0072570C" w:rsidRDefault="00AC2131" w:rsidP="00AC2131">
            <w:pPr>
              <w:pStyle w:val="BoxListBullet"/>
              <w:rPr>
                <w:szCs w:val="24"/>
              </w:rPr>
            </w:pPr>
            <w:r w:rsidRPr="0072570C">
              <w:t>assess the scope and appropriateness of the agreement to act a</w:t>
            </w:r>
            <w:r>
              <w:t>s a</w:t>
            </w:r>
            <w:r w:rsidRPr="0072570C">
              <w:t xml:space="preserve"> model or template for other agreements.</w:t>
            </w:r>
          </w:p>
          <w:p w:rsidR="00AC2131" w:rsidRDefault="00AC2131" w:rsidP="00AC2131">
            <w:pPr>
              <w:pStyle w:val="Box"/>
              <w:rPr>
                <w:szCs w:val="24"/>
              </w:rPr>
            </w:pPr>
            <w:r>
              <w:t>At a more detailed level, the analysis would (for each chapter of the agreement):</w:t>
            </w:r>
          </w:p>
          <w:p w:rsidR="00AC2131" w:rsidRPr="0072570C" w:rsidRDefault="00AC2131" w:rsidP="00AC2131">
            <w:pPr>
              <w:pStyle w:val="BoxListBullet"/>
              <w:rPr>
                <w:szCs w:val="24"/>
              </w:rPr>
            </w:pPr>
            <w:r w:rsidRPr="0072570C">
              <w:t>identify the current institutional settings and changes from those settings, including phasing arrangements</w:t>
            </w:r>
          </w:p>
          <w:p w:rsidR="00AC2131" w:rsidRPr="0072570C" w:rsidRDefault="00AC2131" w:rsidP="00AC2131">
            <w:pPr>
              <w:pStyle w:val="BoxListBullet"/>
              <w:rPr>
                <w:szCs w:val="24"/>
              </w:rPr>
            </w:pPr>
            <w:r w:rsidRPr="0072570C">
              <w:t xml:space="preserve">list the eligibility requirements </w:t>
            </w:r>
            <w:r>
              <w:t xml:space="preserve">(including rules of origin for goods, services and investment) </w:t>
            </w:r>
            <w:r w:rsidRPr="0072570C">
              <w:t>for the receipt of preferences under the agreement</w:t>
            </w:r>
          </w:p>
          <w:p w:rsidR="00AC2131" w:rsidRPr="0072570C" w:rsidRDefault="00AC2131" w:rsidP="00AC2131">
            <w:pPr>
              <w:pStyle w:val="BoxListBullet"/>
              <w:rPr>
                <w:szCs w:val="24"/>
              </w:rPr>
            </w:pPr>
            <w:r w:rsidRPr="0072570C">
              <w:t>report on who or what could be potentially directly affected by the agreement, and levels and trends in bilateral trade and investment</w:t>
            </w:r>
          </w:p>
          <w:p w:rsidR="00AC2131" w:rsidRPr="0072570C" w:rsidRDefault="00AC2131" w:rsidP="00AC2131">
            <w:pPr>
              <w:pStyle w:val="BoxListBullet"/>
              <w:rPr>
                <w:szCs w:val="24"/>
              </w:rPr>
            </w:pPr>
            <w:r w:rsidRPr="0072570C">
              <w:t xml:space="preserve">identify the nature of potential direct benefits and costs of full implementation of the </w:t>
            </w:r>
            <w:r>
              <w:t xml:space="preserve">text of an </w:t>
            </w:r>
            <w:r w:rsidRPr="0072570C">
              <w:t>agreement and impediments, if any, to the take up of preferences</w:t>
            </w:r>
          </w:p>
          <w:p w:rsidR="00AC2131" w:rsidRPr="0072570C" w:rsidRDefault="00AC2131" w:rsidP="00AC2131">
            <w:pPr>
              <w:pStyle w:val="BoxListBullet"/>
              <w:rPr>
                <w:szCs w:val="24"/>
              </w:rPr>
            </w:pPr>
            <w:r w:rsidRPr="0072570C">
              <w:t>quantify, where practicable, the potential benefits and costs and the timescale over which they are likely to occur</w:t>
            </w:r>
          </w:p>
          <w:p w:rsidR="00AC2131" w:rsidRDefault="00AC2131" w:rsidP="00AC2131">
            <w:pPr>
              <w:pStyle w:val="BoxListBullet"/>
            </w:pPr>
            <w:r w:rsidRPr="0072570C">
              <w:t>identify and quantify where practicable transition costs compared to ‘business as usual</w:t>
            </w:r>
            <w:r>
              <w:t>’</w:t>
            </w:r>
            <w:r w:rsidRPr="0072570C">
              <w:t>, that are likely to be incurred achieving preferences under the agreement</w:t>
            </w:r>
          </w:p>
          <w:p w:rsidR="00AC2131" w:rsidRDefault="00AC2131" w:rsidP="00AC2131">
            <w:pPr>
              <w:pStyle w:val="BoxListBullet"/>
            </w:pPr>
            <w:r>
              <w:t>assess any potentially adverse impacts of an agreement, including regulatory chill</w:t>
            </w:r>
          </w:p>
          <w:p w:rsidR="00AC2131" w:rsidRDefault="00AC2131" w:rsidP="00AC2131">
            <w:pPr>
              <w:pStyle w:val="BoxListBullet"/>
              <w:rPr>
                <w:szCs w:val="24"/>
              </w:rPr>
            </w:pPr>
            <w:r>
              <w:t>assess the opportunity cost of an agreement, including holding back domestic reform to maintain negotiating coin.</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pPr>
            <w:r>
              <w:rPr>
                <w:i/>
              </w:rPr>
              <w:t>Sources</w:t>
            </w:r>
            <w:r w:rsidRPr="00167F06">
              <w:t xml:space="preserve">: </w:t>
            </w:r>
            <w:r>
              <w:t xml:space="preserve">Based on PC (2010a, 2010b). </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In assessing current processes, the Commission has chosen to benchmark the evaluation framework shown in box 4.5 against the assessment actually undertaken for the Japan-Australia agreement. </w:t>
      </w:r>
    </w:p>
    <w:p w:rsidR="00AC2131" w:rsidRPr="000B498B" w:rsidRDefault="00AC2131" w:rsidP="00AC2131">
      <w:pPr>
        <w:pStyle w:val="BodyText"/>
        <w:rPr>
          <w:spacing w:val="-4"/>
        </w:rPr>
      </w:pPr>
      <w:r w:rsidRPr="000B498B">
        <w:rPr>
          <w:spacing w:val="-4"/>
        </w:rPr>
        <w:t>Current requirements for the assessment of prospective trade agreements involve the preparation of Regulation Impact Statements (RISs) for compliance assessment by the Office of Best Practice Regulation (OPBR), a National Interest Analysis (prepared by the Department of Foreign Affairs and Trade) and a review by the Joint Standing Committee on Treaties (JSCOT) to consider whether ratification of the agreement is in the national interest.</w:t>
      </w:r>
    </w:p>
    <w:p w:rsidR="00AC2131" w:rsidRDefault="00AC2131" w:rsidP="00AC2131">
      <w:pPr>
        <w:pStyle w:val="BodyText"/>
      </w:pPr>
      <w:r>
        <w:lastRenderedPageBreak/>
        <w:t>The Australian Government’s best practice regulation requirements stipulate the preparation of a Regulation Impact Statement identifying and quantifying the compliance costs to business and the community from a regulatory change.</w:t>
      </w:r>
      <w:r>
        <w:rPr>
          <w:rStyle w:val="FootnoteReference"/>
        </w:rPr>
        <w:footnoteReference w:id="36"/>
      </w:r>
      <w:r>
        <w:t xml:space="preserve"> Under OBPR guidelines proponents are required to answer the following questions.</w:t>
      </w:r>
    </w:p>
    <w:p w:rsidR="00AC2131" w:rsidRPr="00AF7E43" w:rsidRDefault="00AC2131" w:rsidP="00AC2131">
      <w:pPr>
        <w:pStyle w:val="ListNumber2"/>
      </w:pPr>
      <w:r w:rsidRPr="001B70F0">
        <w:t>What is the problem you are trying to solve?</w:t>
      </w:r>
    </w:p>
    <w:p w:rsidR="00AC2131" w:rsidRDefault="00AC2131" w:rsidP="00AC2131">
      <w:pPr>
        <w:pStyle w:val="ListNumber2"/>
      </w:pPr>
      <w:r>
        <w:t>Why is government action needed?</w:t>
      </w:r>
    </w:p>
    <w:p w:rsidR="00AC2131" w:rsidRDefault="00AC2131" w:rsidP="00AC2131">
      <w:pPr>
        <w:pStyle w:val="ListNumber2"/>
      </w:pPr>
      <w:r>
        <w:t>What policy options are you considering?</w:t>
      </w:r>
    </w:p>
    <w:p w:rsidR="00AC2131" w:rsidRDefault="00AC2131" w:rsidP="00AC2131">
      <w:pPr>
        <w:pStyle w:val="ListNumber2"/>
      </w:pPr>
      <w:r>
        <w:t>What is the likely net benefit of each option?</w:t>
      </w:r>
    </w:p>
    <w:p w:rsidR="00AC2131" w:rsidRDefault="00AC2131" w:rsidP="00AC2131">
      <w:pPr>
        <w:pStyle w:val="ListNumber2"/>
      </w:pPr>
      <w:r>
        <w:t>Who will you consult and how will you consult with them?</w:t>
      </w:r>
    </w:p>
    <w:p w:rsidR="00AC2131" w:rsidRDefault="00AC2131" w:rsidP="00AC2131">
      <w:pPr>
        <w:pStyle w:val="ListNumber2"/>
      </w:pPr>
      <w:r>
        <w:t>What is the best option from those that you have considered?</w:t>
      </w:r>
    </w:p>
    <w:p w:rsidR="00AC2131" w:rsidRDefault="00AC2131" w:rsidP="00AC2131">
      <w:pPr>
        <w:pStyle w:val="ListNumber2"/>
      </w:pPr>
      <w:r>
        <w:t>How will you implement and evaluate your chosen option? (Australian Government 2014a, p. 1)</w:t>
      </w:r>
    </w:p>
    <w:p w:rsidR="00AC2131" w:rsidRDefault="00AC2131" w:rsidP="00AC2131">
      <w:pPr>
        <w:pStyle w:val="BodyText"/>
      </w:pPr>
      <w:r>
        <w:t xml:space="preserve">With respect to trade agreements, a two stage formal RIS process is invoked — with the first RIS required prior to the decision to enter into negotiations of an agreement </w:t>
      </w:r>
      <w:r w:rsidRPr="002F5879">
        <w:t>and</w:t>
      </w:r>
      <w:r>
        <w:t xml:space="preserve"> the second prior to the signing. For the Australia</w:t>
      </w:r>
      <w:r>
        <w:noBreakHyphen/>
        <w:t>Japan Economic Partnership Agreement —the most recent agreement in force — the OBPR advises that a RIS was not prepared for the decision to enter into negotiations and, accordingly, DFAT had not complied with RIS requirements for this stage of the process (OBPR 2014). The second stage RIS was prepared by DFAT with the OBPR ruling that although the RIS was viewed as compliant with Australian Government requirements at the final decision point, ‘having regard to the significance and widespread nature of the likely impacts of the proposal on the Australian economy, the OBPR does not consider that the RIS is best practice’ (OBPR 2014). The OBPR went on to provide a number of specific examples of the shortcomings in the prepared RIS (box 4.6).</w:t>
      </w:r>
      <w:r w:rsidRPr="000B498B">
        <w:t xml:space="preserve"> </w:t>
      </w:r>
    </w:p>
    <w:p w:rsidR="00AC2131" w:rsidRDefault="00AC2131" w:rsidP="00AC2131">
      <w:pPr>
        <w:pStyle w:val="BodyText"/>
      </w:pPr>
      <w:r>
        <w:t xml:space="preserve">The National Interest Analysis, also prepared by DFAT, simply listed a set of claims regarding the benefits of market access and other commitments in the agreement which were supported by little in the way of quantitative or qualitative evidence. Further, the analysis ignored the non-tariff barriers included in the agreement such as carve-outs and rules of origin, the opportunity cost of delaying domestic reform to maintain negotiating coin to achieve an agreement, nor did it provide a view on the counterfactual — that is, what was likely in the absence of an agreement.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rPr>
                <w:i/>
              </w:rPr>
            </w:pPr>
            <w:r>
              <w:rPr>
                <w:b w:val="0"/>
              </w:rPr>
              <w:t>Box 4.</w:t>
            </w:r>
            <w:r>
              <w:rPr>
                <w:b w:val="0"/>
                <w:noProof/>
              </w:rPr>
              <w:t>6</w:t>
            </w:r>
            <w:r>
              <w:tab/>
              <w:t>OBPR assessment of the JAEPA RIS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The OBPR noted that the RIS prepared by DFAT did not provide the reader with sufficient understanding of the likely scale and scope of the impacts of the JAEPA on affected parts of the Australian economy. OBPR provided the following examples to support its assessment:</w:t>
            </w:r>
          </w:p>
          <w:p w:rsidR="00AC2131" w:rsidRDefault="00AC2131" w:rsidP="00AC2131">
            <w:pPr>
              <w:pStyle w:val="BoxListBullet"/>
            </w:pPr>
            <w:r>
              <w:t>the RIS relies heavily on ‘before and after’ comparisons of tariff levels and quotas, with insufficient analysis of the expected impacts of these changes on the Australian economy;</w:t>
            </w:r>
          </w:p>
          <w:p w:rsidR="00AC2131" w:rsidRDefault="00AC2131" w:rsidP="00AC2131">
            <w:pPr>
              <w:pStyle w:val="BoxListBullet"/>
            </w:pPr>
            <w:r>
              <w:t>with the exception of the beef industry, the RIS does not attempt to quantify the likely impacts of JAEPA on trade volumes or prices for key Australian export industries, or on trade volumes in aggregate;</w:t>
            </w:r>
          </w:p>
          <w:p w:rsidR="00AC2131" w:rsidRDefault="00AC2131" w:rsidP="00AC2131">
            <w:pPr>
              <w:pStyle w:val="BoxListBullet"/>
            </w:pPr>
            <w:r>
              <w:t>the RIS contains only a brief reference to the likely impacts of tariff removal on those Australian industries that currently compete with Japanese imports, without quantifying or analysing the likely impacts of these;</w:t>
            </w:r>
          </w:p>
          <w:p w:rsidR="00AC2131" w:rsidRDefault="00AC2131" w:rsidP="00AC2131">
            <w:pPr>
              <w:pStyle w:val="BoxListBullet"/>
            </w:pPr>
            <w:r>
              <w:t>the RIS contains claims about the benefits of the JAEPA for Australian exporters, importers and consumers which are not supported by the level of evidence and quantification presented; and</w:t>
            </w:r>
          </w:p>
          <w:p w:rsidR="00AC2131" w:rsidRDefault="00AC2131" w:rsidP="00AC2131">
            <w:pPr>
              <w:pStyle w:val="BoxListBullet"/>
            </w:pPr>
            <w:r>
              <w:t>the RIS includes relatively brief and high-level analysis of the impacts of trade liberalisation for those Australian industries that compete with Japanese imports.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rPr>
                <w:i/>
              </w:rPr>
            </w:pPr>
            <w:r>
              <w:rPr>
                <w:i/>
              </w:rPr>
              <w:t>Source</w:t>
            </w:r>
            <w:r w:rsidRPr="00167F06">
              <w:t xml:space="preserve">: </w:t>
            </w:r>
            <w:r>
              <w:t>OBPR (2014).</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Nevertheless, on the basis of broad-level support of most submitting industry representatives and other interested parties JSCOT recommended the treaty be ratified. While it may be expected that potential direct beneficiaries of an agreement would voice support and that general support may be given favouring measures that move toward a more liberal trading regime, such support stands in contrast to earlier indications that businesses generally have made limited use of the opportunities available from Australia’s exiting bilateral and regional trade agreements (PC 2010a, p. xiv). Accordingly, such broad support is not a sufficient measure of what is in the national interest.</w:t>
      </w:r>
    </w:p>
    <w:p w:rsidR="00AC2131" w:rsidRDefault="00AC2131" w:rsidP="00AC2131">
      <w:pPr>
        <w:pStyle w:val="BodyText"/>
      </w:pPr>
      <w:r>
        <w:t>In reaching its conclusion, JSCOT stated that the agreement would give Australian exporters significantly improved market access in goods and services and provide Australian industries with a ‘first mover’ advantage over other countries seeking to sign preferential agreements with Japan. It said:</w:t>
      </w:r>
    </w:p>
    <w:p w:rsidR="00AC2131" w:rsidRDefault="00AC2131" w:rsidP="00AC2131">
      <w:pPr>
        <w:pStyle w:val="Quote"/>
      </w:pPr>
      <w:r>
        <w:t>The Committee is satisfied that JAEPA has the potential to provide Australian business and industry with a range of profitable opportunities. The Committee believes JAEPA will provide a net benefit to the economy and is in the National interest and recommends that the Treaty should be ratified and binding treaty action be taken. (JSCOT 2014)</w:t>
      </w:r>
    </w:p>
    <w:p w:rsidR="00AC2131" w:rsidRDefault="00AC2131" w:rsidP="00AC2131">
      <w:pPr>
        <w:pStyle w:val="BodyText"/>
      </w:pPr>
      <w:r>
        <w:t xml:space="preserve">Although there could be debate as to the most appropriate methodology for quantifying and assessing the scale and scope of the impacts of a bilateral or regional trade agreement, one point of reference is the Commission’s economy-wide methodology for assessing the impacts and benefits of national economic reforms (PC 2010b). By reference to this methodology, there are a number of gaps at all stages of the assessment process used for the JAEPA (figure 4.3). For example, there are reporting gaps in relation to the scale of </w:t>
      </w:r>
      <w:r>
        <w:lastRenderedPageBreak/>
        <w:t xml:space="preserve">activities directly affected, the expected import price changes, the restrictive impact of origin rules, take-up of preferences and productivity effects, and the projected economy-wide effects of these changes. Unilateral reform, the mainstay of Australia’s economic reform efforts is not identified and discussed as an alternative reform stream. </w:t>
      </w:r>
    </w:p>
    <w:p w:rsidR="00AC2131" w:rsidRDefault="00AC2131" w:rsidP="00AC2131">
      <w:pPr>
        <w:pStyle w:val="BodyText"/>
      </w:pPr>
      <w:r>
        <w:t xml:space="preserve">To close the evaluation gaps a more comprehensive and robust evaluation methodology carried out independently and with transparency is needed. A comprehensive evaluation of existing or prospective trade agreements would include a consideration of the likely incremental effects of an agreement over what would have occurred in its absence. It would also cover the likely direct effects on trade and investment after taking account of the incremental changes referred to above, actual take-up of preferences which will be influenced by rules of origin and other non-tariff barriers, carve-outs (sectors or activities where the agreement’s commitments are quarantined) and negotiation and administration costs. Economy-wide impacts would be canvassed taking account of the direct effects and resource constraints in sectors gaining market access and the economy more broadly (such as labour market constraints). The prospect of inducing regulatory chill through new treaty obligations would also feature prominently as would the contingent liabilities created by the agreement. A key example of the latter is the operation of an investor-state dispute mechanism. Finally, the opportunity costs of the agreement in terms of delaying detailed unilateral liberalisation for the sake of maintaining negotiating coin would need to be evaluated.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211DED" w:rsidRDefault="00AC2131" w:rsidP="00AC2131">
            <w:pPr>
              <w:pStyle w:val="FigureTitle"/>
              <w:rPr>
                <w:i/>
              </w:rPr>
            </w:pPr>
            <w:r w:rsidRPr="00653E3A">
              <w:rPr>
                <w:b w:val="0"/>
              </w:rPr>
              <w:t>Figure 4.</w:t>
            </w:r>
            <w:r>
              <w:rPr>
                <w:b w:val="0"/>
                <w:noProof/>
              </w:rPr>
              <w:t>3</w:t>
            </w:r>
            <w:r>
              <w:tab/>
            </w:r>
            <w:r w:rsidRPr="00A70FA8">
              <w:t>Gaps abound – the Government’s assessment of the net benefits of the Japan Australia Economic Partnership Agreement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2EBE7985" wp14:editId="5C48A57B">
                        <wp:extent cx="5391150" cy="7291705"/>
                        <wp:effectExtent l="0" t="0" r="0" b="4445"/>
                        <wp:docPr id="19" name="Picture 19" descr="Figure 4.3 outlines the gaps that exist in the assessment of the net benefits of trade agreements. The case of the Japan Australia Economic Partnership Agreement is presented as an example.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391150" cy="7291705"/>
                                </a:xfrm>
                                <a:prstGeom prst="rect">
                                  <a:avLst/>
                                </a:prstGeom>
                                <a:noFill/>
                                <a:ln>
                                  <a:noFill/>
                                </a:ln>
                              </pic:spPr>
                            </pic:pic>
                          </a:graphicData>
                        </a:graphic>
                      </wp:inline>
                    </w:drawing>
                  </w:r>
                </w:p>
              </w:tc>
            </w:tr>
          </w:tbl>
          <w:p w:rsidR="00AC2131" w:rsidRDefault="00AC2131" w:rsidP="00AC2131">
            <w:pPr>
              <w:pStyle w:val="Figure"/>
            </w:pP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bl>
    <w:p w:rsidR="00AC2131" w:rsidRPr="003869B4" w:rsidRDefault="00AC2131" w:rsidP="00AC2131">
      <w:pPr>
        <w:pStyle w:val="BodyText"/>
      </w:pPr>
    </w:p>
    <w:p w:rsidR="00AC2131" w:rsidRDefault="00AC2131" w:rsidP="00AC2131">
      <w:pPr>
        <w:sectPr w:rsidR="00AC2131" w:rsidSect="00AC2131">
          <w:headerReference w:type="even" r:id="rId46"/>
          <w:headerReference w:type="default" r:id="rId47"/>
          <w:footerReference w:type="even" r:id="rId48"/>
          <w:footerReference w:type="default" r:id="rId49"/>
          <w:type w:val="oddPage"/>
          <w:pgSz w:w="11907" w:h="16840" w:code="9"/>
          <w:pgMar w:top="1985" w:right="1304" w:bottom="1247" w:left="1814" w:header="1701" w:footer="397" w:gutter="0"/>
          <w:pgNumType w:chapSep="period"/>
          <w:cols w:space="720"/>
          <w:docGrid w:linePitch="326"/>
        </w:sectPr>
      </w:pPr>
    </w:p>
    <w:p w:rsidR="00AC2131" w:rsidRDefault="00AC2131" w:rsidP="00AC2131">
      <w:pPr>
        <w:pStyle w:val="Heading1"/>
        <w:spacing w:before="0"/>
      </w:pPr>
      <w:r>
        <w:lastRenderedPageBreak/>
        <w:t>5</w:t>
      </w:r>
      <w:r>
        <w:tab/>
        <w:t>Assistance estimates</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t>Key points</w:t>
            </w:r>
          </w:p>
        </w:tc>
      </w:tr>
      <w:tr w:rsidR="00AC2131" w:rsidTr="00AC2131">
        <w:trPr>
          <w:cantSplit/>
        </w:trPr>
        <w:tc>
          <w:tcPr>
            <w:tcW w:w="8771" w:type="dxa"/>
            <w:tcBorders>
              <w:top w:val="nil"/>
              <w:left w:val="nil"/>
              <w:bottom w:val="nil"/>
              <w:right w:val="nil"/>
            </w:tcBorders>
            <w:shd w:val="clear" w:color="auto" w:fill="F2F2F2"/>
          </w:tcPr>
          <w:p w:rsidR="00AC2131" w:rsidRPr="00B54E8B" w:rsidRDefault="00AC2131" w:rsidP="00AC2131">
            <w:pPr>
              <w:pStyle w:val="KeyPointsListBullet"/>
              <w:ind w:left="262" w:hanging="262"/>
            </w:pPr>
            <w:r w:rsidRPr="00B54E8B">
              <w:t xml:space="preserve">Government assistance to industry is provided through an array of measures including tariffs, budgetary outlays, tax concessions, and restrictions on competition. </w:t>
            </w:r>
          </w:p>
          <w:p w:rsidR="00AC2131" w:rsidRPr="00B54E8B" w:rsidRDefault="00AC2131" w:rsidP="00AC2131">
            <w:pPr>
              <w:pStyle w:val="KeyPointsListBullet"/>
              <w:ind w:left="262" w:hanging="262"/>
            </w:pPr>
            <w:r w:rsidRPr="00B54E8B">
              <w:t xml:space="preserve">This benefits the industry receiving it, but comes at the cost to other industries, taxpayers or consumers. A critical issue is whether the benefits accruing to industry outweigh the costs. </w:t>
            </w:r>
          </w:p>
          <w:p w:rsidR="00AC2131" w:rsidRPr="005A27C6" w:rsidRDefault="00AC2131" w:rsidP="00AC2131">
            <w:pPr>
              <w:pStyle w:val="KeyPointsListBullet"/>
              <w:ind w:left="262" w:hanging="262"/>
            </w:pPr>
            <w:r w:rsidRPr="00B54E8B">
              <w:t>Over 50 per cent of merchandise trade continues to be subject to a 5 per cent tariff on imported goods.</w:t>
            </w:r>
          </w:p>
          <w:p w:rsidR="00AC2131" w:rsidRDefault="00AC2131" w:rsidP="00AC2131">
            <w:pPr>
              <w:pStyle w:val="BoxListBullet2"/>
            </w:pPr>
            <w:r>
              <w:t>Estimated assistance to industry from tariffs was $7.9 billion in 2013</w:t>
            </w:r>
            <w:r>
              <w:noBreakHyphen/>
              <w:t xml:space="preserve">14 in gross terms, accruing overwhelmingly to manufacturing. </w:t>
            </w:r>
          </w:p>
          <w:p w:rsidR="00AC2131" w:rsidRDefault="00AC2131" w:rsidP="00AC2131">
            <w:pPr>
              <w:pStyle w:val="KeyPointsListBullet"/>
            </w:pPr>
            <w:r>
              <w:t xml:space="preserve">While tariffs and quotas today are much lower than they were historically (from as high as 125 per cent in 1985 to a maximum of 5 per cent today) they still ‘tax’ every Australian by around $150 each year and are a ‘tax’ on exports. </w:t>
            </w:r>
          </w:p>
          <w:p w:rsidR="00AC2131" w:rsidRDefault="00AC2131" w:rsidP="00AC2131">
            <w:pPr>
              <w:pStyle w:val="KeyPointsListBullet"/>
            </w:pPr>
            <w:r>
              <w:t>Identifiable and quantified budget and tax-related support to industry amounted to $9.1 billion, to provide total gross assistance to industry of $17 billion in 2013</w:t>
            </w:r>
            <w:r>
              <w:noBreakHyphen/>
              <w:t xml:space="preserve">14. </w:t>
            </w:r>
          </w:p>
          <w:p w:rsidR="00AC2131" w:rsidRDefault="00AC2131" w:rsidP="00AC2131">
            <w:pPr>
              <w:pStyle w:val="BoxListBullet2"/>
            </w:pPr>
            <w:r>
              <w:t xml:space="preserve">In absolute terms, budgetary assistance was highest for the Property, professional and administrative services industry ($979 million). </w:t>
            </w:r>
          </w:p>
          <w:p w:rsidR="00AC2131" w:rsidRDefault="00AC2131">
            <w:pPr>
              <w:pStyle w:val="KeyPointsListBullet"/>
              <w:ind w:left="262" w:hanging="262"/>
            </w:pPr>
            <w:r>
              <w:t>After deducting the $7.3 billion cost penalty of tariffs on imported inputs, net assistance to industry was $9.7 billion in 2013</w:t>
            </w:r>
            <w:r>
              <w:noBreakHyphen/>
              <w:t xml:space="preserve">14. </w:t>
            </w:r>
          </w:p>
          <w:p w:rsidR="00AC2131" w:rsidRDefault="00AC2131">
            <w:pPr>
              <w:pStyle w:val="BoxListBullet2"/>
              <w:rPr>
                <w:szCs w:val="24"/>
              </w:rPr>
            </w:pPr>
            <w:r w:rsidRPr="00F87819">
              <w:t>Although the services sector receives the most budgetary assistance (around $</w:t>
            </w:r>
            <w:r>
              <w:t>4.3 </w:t>
            </w:r>
            <w:r w:rsidRPr="00F87819">
              <w:t xml:space="preserve">billion in identifiable </w:t>
            </w:r>
            <w:r>
              <w:t xml:space="preserve">and quantified </w:t>
            </w:r>
            <w:r w:rsidRPr="00F87819">
              <w:t xml:space="preserve">support), such assistance is outweighed by the estimated </w:t>
            </w:r>
            <w:r>
              <w:t xml:space="preserve">cost </w:t>
            </w:r>
            <w:r w:rsidRPr="00F87819">
              <w:t>penalty</w:t>
            </w:r>
            <w:r>
              <w:t xml:space="preserve"> on tariffs</w:t>
            </w:r>
            <w:r w:rsidRPr="00F87819">
              <w:t xml:space="preserve"> ($4.9</w:t>
            </w:r>
            <w:r>
              <w:t> </w:t>
            </w:r>
            <w:r w:rsidRPr="00F87819">
              <w:t>billion)</w:t>
            </w:r>
            <w:r>
              <w:t xml:space="preserve">. </w:t>
            </w:r>
          </w:p>
          <w:p w:rsidR="00AC2131" w:rsidRDefault="00AC2131">
            <w:pPr>
              <w:pStyle w:val="BoxListBullet2"/>
              <w:rPr>
                <w:szCs w:val="24"/>
              </w:rPr>
            </w:pPr>
            <w:r>
              <w:t>Around two thirds of the input penalty on tariffs is incurred by services industries.</w:t>
            </w:r>
          </w:p>
          <w:p w:rsidR="00AC2131" w:rsidRDefault="00AC2131">
            <w:pPr>
              <w:pStyle w:val="BoxListBullet2"/>
              <w:rPr>
                <w:szCs w:val="24"/>
              </w:rPr>
            </w:pPr>
            <w:r>
              <w:t>The net tariff penalty on the services and mining sectors has been increasing over the five years to 2013</w:t>
            </w:r>
            <w:r>
              <w:noBreakHyphen/>
              <w:t xml:space="preserve">14. </w:t>
            </w:r>
          </w:p>
          <w:p w:rsidR="00AC2131" w:rsidRDefault="00AC2131">
            <w:pPr>
              <w:pStyle w:val="KeyPointsListBullet"/>
              <w:ind w:left="262" w:hanging="262"/>
            </w:pPr>
            <w:r w:rsidRPr="003E0BFC">
              <w:t>Budgetary assistance in 2013</w:t>
            </w:r>
            <w:r>
              <w:noBreakHyphen/>
            </w:r>
            <w:r w:rsidRPr="003E0BFC">
              <w:t xml:space="preserve">14 was about </w:t>
            </w:r>
            <w:r>
              <w:t xml:space="preserve">17 per cent (or </w:t>
            </w:r>
            <w:r w:rsidRPr="003E0BFC">
              <w:t>$1.</w:t>
            </w:r>
            <w:r>
              <w:t>3 </w:t>
            </w:r>
            <w:r w:rsidRPr="003E0BFC">
              <w:t>billion</w:t>
            </w:r>
            <w:r>
              <w:t>)</w:t>
            </w:r>
            <w:r w:rsidRPr="003E0BFC">
              <w:t xml:space="preserve"> higher than in 2012</w:t>
            </w:r>
            <w:r>
              <w:noBreakHyphen/>
            </w:r>
            <w:r w:rsidRPr="003E0BFC">
              <w:t>13. The largest increase was the Small Business Simplified Depreciation Rules scheme ($1.5</w:t>
            </w:r>
            <w:r>
              <w:t> </w:t>
            </w:r>
            <w:r w:rsidRPr="003E0BFC">
              <w:t>billion) with the largest reduction relating to the Small Business and General Business Tax Break ($220</w:t>
            </w:r>
            <w:r>
              <w:t> </w:t>
            </w:r>
            <w:r w:rsidRPr="003E0BFC">
              <w:t>million).</w:t>
            </w:r>
            <w:r>
              <w:t xml:space="preserve"> </w:t>
            </w:r>
          </w:p>
          <w:p w:rsidR="00AC2131" w:rsidRDefault="00AC2131">
            <w:pPr>
              <w:pStyle w:val="KeyPointsListBullet"/>
              <w:ind w:left="262" w:hanging="262"/>
            </w:pPr>
            <w:r>
              <w:t>In addition to measured tariff and budgetary assistance to industry, industry is also influenced by non-tariff barriers and government policies affecting the level and distribution of activity including quarantine measures, regulatory restrictions on competition, general taxation and differential tax rates, and government purchasing preferences and programs.</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Industry is assisted through a wide array of government programs, regulatory instruments and policies. Each year, the Commission updates and publishes estimates of the assistance afforded by readily distinguishable and quantifiable:</w:t>
      </w:r>
    </w:p>
    <w:p w:rsidR="00AC2131" w:rsidRDefault="00AC2131" w:rsidP="00AC2131">
      <w:pPr>
        <w:pStyle w:val="ListBullet"/>
      </w:pPr>
      <w:r>
        <w:lastRenderedPageBreak/>
        <w:t>import tariffs, which mainly assist the manufacturing sector while raising costs to consumers and to industries that use manufactured and other tariff-assisted inputs</w:t>
      </w:r>
    </w:p>
    <w:p w:rsidR="00AC2131" w:rsidRDefault="00AC2131" w:rsidP="00AC2131">
      <w:pPr>
        <w:pStyle w:val="ListBullet"/>
      </w:pPr>
      <w:r>
        <w:t>Australian Government budgetary measures — divided into government outlays and tax concessions — which apply to the primary production, mining, manufacturing and services sectors</w:t>
      </w:r>
    </w:p>
    <w:p w:rsidR="00AC2131" w:rsidRDefault="00AC2131">
      <w:pPr>
        <w:pStyle w:val="ListBullet"/>
      </w:pPr>
      <w:r>
        <w:t>certain agricultural pricing and regulatory measures.</w:t>
      </w:r>
    </w:p>
    <w:p w:rsidR="00AC2131" w:rsidRDefault="00AC2131">
      <w:pPr>
        <w:pStyle w:val="BodyText"/>
      </w:pPr>
      <w:r>
        <w:t>While the estimates cover a broad range of measures that afford substantive support to industry and that can be readily quantified on a consistent basis annually, the estimates do not capture all Australian Government support for industry, nor State government assistance. The assistance provided through government regulation is also not included in the estimates (box 5.1). The reported estimates in this chapter therefore do not cover the full extent of assistance to industry with the gap between reported values and actual assistance potentially large. For example, a detailed study State and Territory assistance to industry for the 2009</w:t>
      </w:r>
      <w:r>
        <w:noBreakHyphen/>
        <w:t>10 Review indicated support amounting to around $4 billion in identifiable assistance was provided to industry in 2008</w:t>
      </w:r>
      <w:r>
        <w:noBreakHyphen/>
        <w:t xml:space="preserve">09 (PC 2011b). </w:t>
      </w:r>
    </w:p>
    <w:p w:rsidR="00AC2131" w:rsidRDefault="00AC2131">
      <w:pPr>
        <w:pStyle w:val="BodyText"/>
      </w:pPr>
      <w:r>
        <w:t>The estimates also do not separate influences on industry, activity and firm competitiveness arising from changes in macroeconomic conditions, such as terms of trade changes and currency movements.</w:t>
      </w:r>
    </w:p>
    <w:p w:rsidR="00AC2131" w:rsidRDefault="00AC2131">
      <w:pPr>
        <w:pStyle w:val="BodyText"/>
      </w:pPr>
      <w:r>
        <w:t>The following sections present the most recent — 2013</w:t>
      </w:r>
      <w:r>
        <w:noBreakHyphen/>
        <w:t>14 — assistance estimates and report on broad changes in the structure of measured industry assistance over the last four decades. As well as providing estimates for the above three categories, the Commission aggregates them to yield an estimate of the ‘combined’ assistance for four broad industry sectors of the Australian economy — ‘primary production’, ‘mining’, ‘manufacturing’ and ‘services’ — along with effective rates of assistance for the primary, mining and manufacturing sectors.</w:t>
      </w:r>
      <w:r>
        <w:rPr>
          <w:rStyle w:val="FootnoteReference"/>
        </w:rPr>
        <w:footnoteReference w:id="37"/>
      </w:r>
      <w:r>
        <w:t xml:space="preserve"> For each category of assistance, the Commission provides more detailed estimates of assistance by 34 industry groupings. Where industry detail is not available, estimates are assigned to one of four ‘unallocated’ categories (primary production, manufacturing, services or other).</w:t>
      </w:r>
    </w:p>
    <w:p w:rsidR="00AC2131" w:rsidRDefault="00AC2131">
      <w:pPr>
        <w:pStyle w:val="BodyText"/>
      </w:pPr>
      <w:r>
        <w:t xml:space="preserve">The Commission also disaggregates its estimates of budgetary assistance into categories (such as R&amp;D, export assistance and support to small business) to facilitate more detailed assessments of changes in the composition and nature of assistance. </w:t>
      </w:r>
    </w:p>
    <w:p w:rsidR="00AC2131" w:rsidRDefault="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pPr>
              <w:pStyle w:val="BoxTitle"/>
            </w:pPr>
            <w:r>
              <w:rPr>
                <w:b w:val="0"/>
              </w:rPr>
              <w:t>Box 5.</w:t>
            </w:r>
            <w:r>
              <w:rPr>
                <w:b w:val="0"/>
                <w:noProof/>
              </w:rPr>
              <w:t>1</w:t>
            </w:r>
            <w:r>
              <w:tab/>
              <w:t>Coverage of the Commission’s assistance estimates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 xml:space="preserve">The Commission’s assistance estimates cover only those measures that selectively benefit particular firms, industries or activities, and that can be quantified given practical constraints in measurement and data availability. Arrangements that may have assistance implications but are not part of the estimates include: </w:t>
            </w:r>
          </w:p>
          <w:p w:rsidR="00AC2131" w:rsidRDefault="00AC2131" w:rsidP="00AC2131">
            <w:pPr>
              <w:pStyle w:val="BoxListBullet"/>
              <w:tabs>
                <w:tab w:val="clear" w:pos="284"/>
                <w:tab w:val="num" w:pos="403"/>
              </w:tabs>
              <w:ind w:left="403" w:hanging="425"/>
            </w:pPr>
            <w:r>
              <w:t xml:space="preserve">quarantine restrictions such as prescribed under the </w:t>
            </w:r>
            <w:r w:rsidRPr="00573689">
              <w:rPr>
                <w:i/>
              </w:rPr>
              <w:t>Quarantine Act 1908</w:t>
            </w:r>
            <w:r>
              <w:t xml:space="preserve"> </w:t>
            </w:r>
          </w:p>
          <w:p w:rsidR="00AC2131" w:rsidRDefault="00AC2131" w:rsidP="00AC2131">
            <w:pPr>
              <w:pStyle w:val="BoxListBullet"/>
              <w:tabs>
                <w:tab w:val="clear" w:pos="284"/>
                <w:tab w:val="num" w:pos="403"/>
              </w:tabs>
              <w:ind w:left="403" w:hanging="425"/>
            </w:pPr>
            <w:r>
              <w:t xml:space="preserve">the allocation and pricing of water resources such as those arrangements in the irrigation areas in the Murray-Darling basin </w:t>
            </w:r>
          </w:p>
          <w:p w:rsidR="00AC2131" w:rsidRDefault="00AC2131" w:rsidP="00AC2131">
            <w:pPr>
              <w:pStyle w:val="BoxListBullet"/>
              <w:tabs>
                <w:tab w:val="clear" w:pos="284"/>
                <w:tab w:val="num" w:pos="403"/>
              </w:tabs>
              <w:ind w:left="403" w:hanging="425"/>
            </w:pPr>
            <w:r>
              <w:t xml:space="preserve">the effects of government purchasing preferences and local content arrangements, such as defence procurement purchasing decisions </w:t>
            </w:r>
          </w:p>
          <w:p w:rsidR="00AC2131" w:rsidRDefault="00AC2131" w:rsidP="00AC2131">
            <w:pPr>
              <w:pStyle w:val="BoxListBullet"/>
              <w:tabs>
                <w:tab w:val="clear" w:pos="284"/>
                <w:tab w:val="num" w:pos="403"/>
              </w:tabs>
              <w:ind w:left="403" w:hanging="425"/>
            </w:pPr>
            <w:r>
              <w:t xml:space="preserve">regulatory restrictions on competition such as those relating to pharmacies, air services, importation of books and media and broadcasting, and those impeding the take up of new technologies, such as through geo-blocking </w:t>
            </w:r>
          </w:p>
          <w:p w:rsidR="00AC2131" w:rsidRPr="00DE1649" w:rsidRDefault="00AC2131" w:rsidP="00AC2131">
            <w:pPr>
              <w:pStyle w:val="BoxListBullet"/>
              <w:tabs>
                <w:tab w:val="clear" w:pos="284"/>
                <w:tab w:val="num" w:pos="403"/>
              </w:tabs>
              <w:ind w:left="403" w:hanging="425"/>
              <w:rPr>
                <w:spacing w:val="-4"/>
              </w:rPr>
            </w:pPr>
            <w:r w:rsidRPr="00DE1649">
              <w:rPr>
                <w:spacing w:val="-4"/>
              </w:rPr>
              <w:t xml:space="preserve">anti-dumping and countervailing measures such as prescribed under the </w:t>
            </w:r>
            <w:r w:rsidRPr="00DE1649">
              <w:rPr>
                <w:i/>
                <w:spacing w:val="-4"/>
              </w:rPr>
              <w:t>Customs Act 1901</w:t>
            </w:r>
          </w:p>
          <w:p w:rsidR="00AC2131" w:rsidRDefault="00AC2131" w:rsidP="00AC2131">
            <w:pPr>
              <w:pStyle w:val="BoxListBullet"/>
              <w:tabs>
                <w:tab w:val="clear" w:pos="284"/>
                <w:tab w:val="num" w:pos="403"/>
              </w:tabs>
              <w:ind w:left="403" w:hanging="425"/>
            </w:pPr>
            <w:r>
              <w:t xml:space="preserve">general taxes and certain differential tax rates, including in relation to excises, the GST, payroll tax, superannuation and carbon emissions </w:t>
            </w:r>
          </w:p>
          <w:p w:rsidR="00AC2131" w:rsidRDefault="00AC2131" w:rsidP="00AC2131">
            <w:pPr>
              <w:pStyle w:val="BoxListBullet"/>
              <w:tabs>
                <w:tab w:val="clear" w:pos="284"/>
                <w:tab w:val="num" w:pos="403"/>
              </w:tabs>
              <w:ind w:left="403" w:hanging="425"/>
            </w:pPr>
            <w:r>
              <w:t xml:space="preserve">State and Territory government support to industry, other than designated agricultural marketing arrangements and rural support programs such as grants and loans programs, state tax concessions, support for research and development, promotional and industry development objectives, and information, advice and service activities </w:t>
            </w:r>
          </w:p>
          <w:p w:rsidR="00AC2131" w:rsidRDefault="00AC2131" w:rsidP="00AC2131">
            <w:pPr>
              <w:pStyle w:val="BoxListBullet"/>
              <w:tabs>
                <w:tab w:val="clear" w:pos="284"/>
                <w:tab w:val="num" w:pos="403"/>
              </w:tabs>
              <w:ind w:left="403" w:hanging="425"/>
            </w:pPr>
            <w:r>
              <w:t xml:space="preserve">government programs affecting a range of services industries, mainly relating to the provision of health, education, and community services — such as the private health insurance rebate, subsidies for the provision of private education and the assistance implications of government funding for community services </w:t>
            </w:r>
          </w:p>
          <w:p w:rsidR="00AC2131" w:rsidRDefault="00AC2131" w:rsidP="00AC2131">
            <w:pPr>
              <w:pStyle w:val="BoxListBullet"/>
              <w:tabs>
                <w:tab w:val="clear" w:pos="284"/>
                <w:tab w:val="num" w:pos="403"/>
              </w:tabs>
              <w:ind w:left="403" w:hanging="425"/>
            </w:pPr>
            <w:r>
              <w:t xml:space="preserve">government programs affecting national security and public safety, including police and defence programs </w:t>
            </w:r>
          </w:p>
          <w:p w:rsidR="00AC2131" w:rsidRDefault="00AC2131" w:rsidP="00AC2131">
            <w:pPr>
              <w:pStyle w:val="BoxListBullet"/>
              <w:tabs>
                <w:tab w:val="clear" w:pos="284"/>
                <w:tab w:val="num" w:pos="403"/>
              </w:tabs>
              <w:ind w:left="403" w:hanging="425"/>
            </w:pPr>
            <w:r>
              <w:t xml:space="preserve">government programs and taxation concessions affecting professional sport and the arts, such as support for the redevelopment of sporting venues and art exhibitions </w:t>
            </w:r>
          </w:p>
          <w:p w:rsidR="00AC2131" w:rsidRDefault="00AC2131" w:rsidP="00AC2131">
            <w:pPr>
              <w:pStyle w:val="BoxListBullet"/>
              <w:tabs>
                <w:tab w:val="clear" w:pos="284"/>
                <w:tab w:val="num" w:pos="403"/>
              </w:tabs>
              <w:ind w:left="403" w:hanging="425"/>
            </w:pPr>
            <w:r>
              <w:t xml:space="preserve">government programs affecting the labour market such as those administered under the Australian social security system and the Australian </w:t>
            </w:r>
            <w:r w:rsidRPr="00E13F79">
              <w:rPr>
                <w:i/>
              </w:rPr>
              <w:t>Fair Work Act</w:t>
            </w:r>
            <w:r>
              <w:t xml:space="preserve"> </w:t>
            </w:r>
            <w:r w:rsidRPr="00716120">
              <w:rPr>
                <w:i/>
              </w:rPr>
              <w:t>2009</w:t>
            </w:r>
            <w:r>
              <w:t xml:space="preserve"> </w:t>
            </w:r>
          </w:p>
          <w:p w:rsidR="00AC2131" w:rsidRDefault="00AC2131" w:rsidP="00AC2131">
            <w:pPr>
              <w:pStyle w:val="BoxListBullet"/>
              <w:tabs>
                <w:tab w:val="clear" w:pos="284"/>
                <w:tab w:val="num" w:pos="403"/>
              </w:tabs>
              <w:ind w:left="403" w:hanging="425"/>
            </w:pPr>
            <w:r>
              <w:t xml:space="preserve">resource access arrangements including to mining, forestry and fisheries, such as the Commonwealth </w:t>
            </w:r>
            <w:r w:rsidRPr="00B11C95">
              <w:rPr>
                <w:i/>
              </w:rPr>
              <w:t>Fisheries Management Act 1991</w:t>
            </w:r>
            <w:r>
              <w:t>, state-based resource management legislation (for example, state ‘mining’ acts</w:t>
            </w:r>
            <w:r w:rsidRPr="00716120">
              <w:t>).</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More recent developments in industry assistance are reported in chapter 6. These include major and readily distinguishable announcements (identified for reporting in this </w:t>
      </w:r>
      <w:r w:rsidRPr="003C4F72">
        <w:rPr>
          <w:i/>
        </w:rPr>
        <w:t>Review)</w:t>
      </w:r>
      <w:r>
        <w:t xml:space="preserve"> involving additional new expenditure of around $1.5 billion, over the budget forward estimates, as well as reductions of around $1.3 billion. However, ascertaining the net additional assistance implied by the announced allocations is not straightforward </w:t>
      </w:r>
      <w:r w:rsidRPr="009627A3">
        <w:t>and caution needs to be exercised in drawing inferences about the future of assistance levels</w:t>
      </w:r>
      <w:r>
        <w:t xml:space="preserve"> (see chapter 6)</w:t>
      </w:r>
      <w:r w:rsidRPr="00382E7A">
        <w:t>.</w:t>
      </w:r>
      <w:r>
        <w:t xml:space="preserve"> </w:t>
      </w:r>
    </w:p>
    <w:p w:rsidR="00AC2131" w:rsidRDefault="00AC2131" w:rsidP="00AC2131">
      <w:pPr>
        <w:pStyle w:val="Heading2"/>
      </w:pPr>
      <w:r>
        <w:lastRenderedPageBreak/>
        <w:t>5.</w:t>
      </w:r>
      <w:r>
        <w:rPr>
          <w:noProof/>
        </w:rPr>
        <w:t>1</w:t>
      </w:r>
      <w:r>
        <w:tab/>
        <w:t>Estimates in aggregate</w:t>
      </w:r>
    </w:p>
    <w:p w:rsidR="00AC2131" w:rsidRDefault="00AC2131" w:rsidP="00AC2131">
      <w:pPr>
        <w:pStyle w:val="BodyText"/>
      </w:pPr>
      <w:r>
        <w:t>Readily distinguishable and quantified tariff and budgetary assistance to industry</w:t>
      </w:r>
      <w:r w:rsidRPr="0004019F">
        <w:t xml:space="preserve"> </w:t>
      </w:r>
      <w:r>
        <w:t xml:space="preserve">was over </w:t>
      </w:r>
      <w:r w:rsidRPr="0004019F">
        <w:t>$</w:t>
      </w:r>
      <w:r>
        <w:t>17</w:t>
      </w:r>
      <w:r w:rsidRPr="0004019F">
        <w:t> billion in gross terms</w:t>
      </w:r>
      <w:r>
        <w:t xml:space="preserve"> in 2013</w:t>
      </w:r>
      <w:r>
        <w:noBreakHyphen/>
        <w:t>14</w:t>
      </w:r>
      <w:r w:rsidRPr="0004019F">
        <w:t xml:space="preserve"> — comprising $</w:t>
      </w:r>
      <w:r>
        <w:t>7.9</w:t>
      </w:r>
      <w:r w:rsidRPr="0004019F">
        <w:t xml:space="preserve"> billion in </w:t>
      </w:r>
      <w:r>
        <w:t xml:space="preserve">gross </w:t>
      </w:r>
      <w:r w:rsidRPr="0004019F">
        <w:t>tariff assistance, $</w:t>
      </w:r>
      <w:r>
        <w:t>4.1</w:t>
      </w:r>
      <w:r w:rsidRPr="0004019F">
        <w:t> billion of budgetary outlays and $</w:t>
      </w:r>
      <w:r>
        <w:t>5</w:t>
      </w:r>
      <w:r w:rsidRPr="0004019F">
        <w:t> billion in tax concessions</w:t>
      </w:r>
      <w:r>
        <w:t xml:space="preserve"> (figure 5.1, top panel)</w:t>
      </w:r>
      <w:r w:rsidRPr="0004019F">
        <w:t xml:space="preserve">. </w:t>
      </w:r>
    </w:p>
    <w:p w:rsidR="00AC2131" w:rsidRDefault="00AC2131" w:rsidP="00AC2131">
      <w:pPr>
        <w:pStyle w:val="BodyText"/>
      </w:pPr>
      <w:r>
        <w:t>E</w:t>
      </w:r>
      <w:r w:rsidRPr="00FF34C8">
        <w:t xml:space="preserve">stimated assistance </w:t>
      </w:r>
      <w:r>
        <w:t xml:space="preserve">in gross terms increased by </w:t>
      </w:r>
      <w:r w:rsidRPr="00FF34C8">
        <w:t>around $</w:t>
      </w:r>
      <w:r>
        <w:t>1.4 </w:t>
      </w:r>
      <w:r w:rsidRPr="00FF34C8">
        <w:t>billion from 201</w:t>
      </w:r>
      <w:r>
        <w:t>2</w:t>
      </w:r>
      <w:r>
        <w:noBreakHyphen/>
      </w:r>
      <w:r w:rsidRPr="00FF34C8">
        <w:t>1</w:t>
      </w:r>
      <w:r>
        <w:t>3</w:t>
      </w:r>
      <w:r w:rsidRPr="00FF34C8">
        <w:t xml:space="preserve"> in nominal terms</w:t>
      </w:r>
      <w:r>
        <w:t xml:space="preserve"> (a</w:t>
      </w:r>
      <w:r w:rsidRPr="00FF34C8">
        <w:t xml:space="preserve">round </w:t>
      </w:r>
      <w:r>
        <w:t>9 </w:t>
      </w:r>
      <w:r w:rsidRPr="00FF34C8">
        <w:t>per</w:t>
      </w:r>
      <w:r>
        <w:t> </w:t>
      </w:r>
      <w:r w:rsidRPr="00FF34C8">
        <w:t>cent</w:t>
      </w:r>
      <w:r>
        <w:t xml:space="preserve">). In real terms, the increase was 7 per cent. </w:t>
      </w:r>
    </w:p>
    <w:p w:rsidR="00AC2131" w:rsidRDefault="00AC2131" w:rsidP="00AC2131">
      <w:pPr>
        <w:pStyle w:val="BodyText"/>
      </w:pPr>
      <w:r>
        <w:t>After allowing for the negative effects of tariff assistance on industry inputs (the input tariff penalty), total estimated net combined assistance amounted to around $9.7 billion in 2013</w:t>
      </w:r>
      <w:r>
        <w:noBreakHyphen/>
        <w:t>14, an increase of around $1.2 billion in nominal terms (14 per cent) from 2012</w:t>
      </w:r>
      <w:r>
        <w:noBreakHyphen/>
        <w:t xml:space="preserve">13 levels (figure 5.1, bottom panel). </w:t>
      </w:r>
    </w:p>
    <w:p w:rsidR="00AC2131" w:rsidRDefault="00AC2131" w:rsidP="00AC2131">
      <w:pPr>
        <w:pStyle w:val="BodyText"/>
      </w:pPr>
      <w:r>
        <w:t xml:space="preserve">Net tariff assistance declined by around $0.1 billion, while budgetary assistance increased by around 17 per cent or $1.3 billion. Between the two years, the impost of tariffs on inputs increased by around 2 per cent or $156 million. </w:t>
      </w:r>
    </w:p>
    <w:p w:rsidR="00AC2131" w:rsidRDefault="00AC2131" w:rsidP="00AC2131">
      <w:pPr>
        <w:pStyle w:val="BodyText"/>
      </w:pPr>
      <w:r>
        <w:t>The year-to-year changes in combined assistance over the six year period 2008</w:t>
      </w:r>
      <w:r>
        <w:noBreakHyphen/>
        <w:t>09 to 2013</w:t>
      </w:r>
      <w:r>
        <w:noBreakHyphen/>
        <w:t>14 represent the net effect of changes in tariff assistance, budgetary outlays and tax concessions</w:t>
      </w:r>
      <w:r w:rsidRPr="00DB32A9">
        <w:t>.</w:t>
      </w:r>
      <w:r>
        <w:t xml:space="preserve"> The main influences on changes in tariff assistance are reductions in tariff rates and the scale of activities protected by tariffs, or bearing the cost of tariffs. Tariff output assistance has tended to decline while the tariff penalty on inputs has tended to increase in line with the growth of services, mining and other activities (see section 5.2). While the net effect of these changes is to reduce overall net tariff assistance, this estimate masks the distributional effects of assistance disparities between industries. </w:t>
      </w:r>
    </w:p>
    <w:p w:rsidR="00AC2131" w:rsidRDefault="00AC2131" w:rsidP="00AC2131">
      <w:pPr>
        <w:pStyle w:val="Heading3"/>
      </w:pPr>
      <w:r>
        <w:t>Value of combined assistance by industry grouping</w:t>
      </w:r>
    </w:p>
    <w:p w:rsidR="00AC2131" w:rsidRPr="00DE1649" w:rsidRDefault="00AC2131" w:rsidP="00AC2131">
      <w:pPr>
        <w:pStyle w:val="BodyText"/>
        <w:rPr>
          <w:spacing w:val="-2"/>
        </w:rPr>
      </w:pPr>
      <w:r w:rsidRPr="00DE1649">
        <w:rPr>
          <w:spacing w:val="-2"/>
        </w:rPr>
        <w:t xml:space="preserve">The sectoral incidence of tariff assistance, budgetary support and the input penalty of tariffs is markedly different (figure 5.2, top panel). The manufacturing sector receives the highest level of net combined industry assistance because of the tariff assistance on its outputs (figure 5.2, bottom panel). Although the services sector receives the most budgetary assistance (around $4.3 billion in identifiable support), such assistance is outweighed by the estimated input tariff penalty ($4.9 billion), highlighting the overlapping and perversely countervailing nature of such assistance arrangements. The primary production sector received the majority of its assistance in the form of budgetary outlays, although some tariff protection continues to be afforded to a range of horticultural and forestry products.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5.</w:t>
            </w:r>
            <w:r>
              <w:rPr>
                <w:b w:val="0"/>
                <w:noProof/>
              </w:rPr>
              <w:t>1</w:t>
            </w:r>
            <w:r>
              <w:tab/>
              <w:t>Aggregate estimates of measurable assistance, 2008</w:t>
            </w:r>
            <w:r>
              <w:noBreakHyphen/>
              <w:t>09 to 2013</w:t>
            </w:r>
            <w:r>
              <w:noBreakHyphen/>
              <w:t>14</w:t>
            </w:r>
            <w:r w:rsidRPr="00DE1649">
              <w:rPr>
                <w:rStyle w:val="NoteLabel"/>
              </w:rPr>
              <w:t>a</w:t>
            </w:r>
          </w:p>
          <w:p w:rsidR="00AC2131" w:rsidRPr="00176D3F" w:rsidRDefault="00AC2131" w:rsidP="00AC2131">
            <w:pPr>
              <w:pStyle w:val="Subtitle"/>
            </w:pPr>
            <w:r>
              <w:t>$ billion (nominal)</w:t>
            </w:r>
          </w:p>
        </w:tc>
      </w:tr>
      <w:tr w:rsidR="00AC2131" w:rsidTr="00AC2131">
        <w:tblPrEx>
          <w:tblCellMar>
            <w:left w:w="108" w:type="dxa"/>
            <w:right w:w="108" w:type="dxa"/>
          </w:tblCellMar>
        </w:tblPrEx>
        <w:tc>
          <w:tcPr>
            <w:tcW w:w="8771" w:type="dxa"/>
            <w:tcBorders>
              <w:top w:val="nil"/>
              <w:left w:val="nil"/>
              <w:bottom w:val="nil"/>
              <w:right w:val="nil"/>
            </w:tcBorders>
            <w:shd w:val="clear" w:color="auto" w:fill="auto"/>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trHeight w:val="283"/>
                <w:jc w:val="center"/>
              </w:trPr>
              <w:tc>
                <w:tcPr>
                  <w:tcW w:w="8504" w:type="dxa"/>
                  <w:tcBorders>
                    <w:top w:val="nil"/>
                    <w:bottom w:val="nil"/>
                  </w:tcBorders>
                </w:tcPr>
                <w:p w:rsidR="00AC2131" w:rsidRPr="00291011" w:rsidRDefault="00AC2131" w:rsidP="00AC2131">
                  <w:pPr>
                    <w:pStyle w:val="TableColumnHeading"/>
                    <w:jc w:val="center"/>
                    <w:rPr>
                      <w:b/>
                      <w:noProof/>
                      <w:lang w:val="en-GB" w:eastAsia="en-GB"/>
                    </w:rPr>
                  </w:pPr>
                  <w:r w:rsidRPr="00291011">
                    <w:rPr>
                      <w:b/>
                      <w:noProof/>
                      <w:lang w:val="en-GB" w:eastAsia="en-GB"/>
                    </w:rPr>
                    <w:t xml:space="preserve">Gross </w:t>
                  </w:r>
                  <w:r>
                    <w:rPr>
                      <w:b/>
                      <w:noProof/>
                      <w:lang w:val="en-GB" w:eastAsia="en-GB"/>
                    </w:rPr>
                    <w:t>a</w:t>
                  </w:r>
                  <w:r w:rsidRPr="00291011">
                    <w:rPr>
                      <w:b/>
                      <w:noProof/>
                      <w:lang w:val="en-GB" w:eastAsia="en-GB"/>
                    </w:rPr>
                    <w:t>ssistance by component</w:t>
                  </w:r>
                </w:p>
              </w:tc>
            </w:tr>
            <w:tr w:rsidR="00AC2131" w:rsidTr="00AC2131">
              <w:trPr>
                <w:trHeight w:val="283"/>
                <w:jc w:val="center"/>
              </w:trPr>
              <w:tc>
                <w:tcPr>
                  <w:tcW w:w="8504" w:type="dxa"/>
                  <w:tcBorders>
                    <w:top w:val="nil"/>
                    <w:bottom w:val="nil"/>
                  </w:tcBorders>
                </w:tcPr>
                <w:p w:rsidR="00AC2131" w:rsidRPr="00291011" w:rsidRDefault="00AC2131" w:rsidP="00AC2131">
                  <w:pPr>
                    <w:pStyle w:val="Figure"/>
                    <w:rPr>
                      <w:noProof/>
                      <w:lang w:val="en-GB" w:eastAsia="en-GB"/>
                    </w:rPr>
                  </w:pPr>
                  <w:r>
                    <w:rPr>
                      <w:noProof/>
                    </w:rPr>
                    <w:drawing>
                      <wp:inline distT="0" distB="0" distL="0" distR="0" wp14:anchorId="6A013912" wp14:editId="4BF75C21">
                        <wp:extent cx="5257800" cy="2809875"/>
                        <wp:effectExtent l="0" t="0" r="0" b="9525"/>
                        <wp:docPr id="20" name="Picture 20" descr="Figure 5.1 presents aggregate estimates of measureable gross and net assistance from 2008-9 to 2013-14. The top panel shows the components of assistance. The bottom panel shows net combined assistance.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r w:rsidR="00AC2131" w:rsidRPr="00CB4D93" w:rsidTr="00AC2131">
              <w:trPr>
                <w:trHeight w:val="283"/>
                <w:jc w:val="center"/>
              </w:trPr>
              <w:tc>
                <w:tcPr>
                  <w:tcW w:w="8504" w:type="dxa"/>
                  <w:tcBorders>
                    <w:top w:val="nil"/>
                    <w:bottom w:val="nil"/>
                  </w:tcBorders>
                </w:tcPr>
                <w:p w:rsidR="00AC2131" w:rsidRPr="00CB4D93" w:rsidRDefault="00AC2131" w:rsidP="00AC2131">
                  <w:pPr>
                    <w:pStyle w:val="TableColumnHeading"/>
                    <w:jc w:val="center"/>
                    <w:rPr>
                      <w:b/>
                      <w:noProof/>
                      <w:lang w:val="en-GB" w:eastAsia="en-GB"/>
                    </w:rPr>
                  </w:pPr>
                  <w:r w:rsidRPr="00CB4D93">
                    <w:rPr>
                      <w:b/>
                      <w:noProof/>
                      <w:lang w:val="en-GB" w:eastAsia="en-GB"/>
                    </w:rPr>
                    <w:t>Net combined assistance</w:t>
                  </w:r>
                </w:p>
              </w:tc>
            </w:tr>
            <w:tr w:rsidR="00AC2131" w:rsidTr="00AC2131">
              <w:trPr>
                <w:trHeight w:val="283"/>
                <w:jc w:val="center"/>
              </w:trPr>
              <w:tc>
                <w:tcPr>
                  <w:tcW w:w="8504" w:type="dxa"/>
                  <w:tcBorders>
                    <w:top w:val="nil"/>
                    <w:bottom w:val="nil"/>
                  </w:tcBorders>
                </w:tcPr>
                <w:p w:rsidR="00AC2131" w:rsidRPr="00291011" w:rsidRDefault="00AC2131" w:rsidP="00AC2131">
                  <w:pPr>
                    <w:pStyle w:val="Figure"/>
                    <w:rPr>
                      <w:noProof/>
                      <w:lang w:val="en-GB" w:eastAsia="en-GB"/>
                    </w:rPr>
                  </w:pPr>
                  <w:r>
                    <w:rPr>
                      <w:noProof/>
                    </w:rPr>
                    <w:drawing>
                      <wp:inline distT="0" distB="0" distL="0" distR="0" wp14:anchorId="6B9629BD" wp14:editId="7ACC29FF">
                        <wp:extent cx="5257800" cy="2809875"/>
                        <wp:effectExtent l="0" t="0" r="0" b="9525"/>
                        <wp:docPr id="21" name="Picture 21" descr="Figure 5.1 presents aggregate estimates of measureable gross and net assistance from 2008-9 to 2013-14. The top panel shows the components of assistance. The bottom panel shows net combined assistance.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Default="00AC2131" w:rsidP="00AC2131">
            <w:pPr>
              <w:pStyle w:val="Source"/>
              <w:rPr>
                <w:i/>
              </w:rPr>
            </w:pPr>
            <w:r w:rsidRPr="008E77FE">
              <w:rPr>
                <w:rStyle w:val="NoteLabel"/>
              </w:rPr>
              <w:t>a</w:t>
            </w:r>
            <w:r>
              <w:t> Agricultural pricing assistance is discussed in the M</w:t>
            </w:r>
            <w:r w:rsidRPr="00F71D47">
              <w:t xml:space="preserve">ethodological </w:t>
            </w:r>
            <w:r>
              <w:t>A</w:t>
            </w:r>
            <w:r w:rsidRPr="00F71D47">
              <w:t xml:space="preserve">nnex to </w:t>
            </w:r>
            <w:r w:rsidRPr="00F71D47">
              <w:rPr>
                <w:i/>
              </w:rPr>
              <w:t>Trade &amp; Assistance Review 2011</w:t>
            </w:r>
            <w:r>
              <w:rPr>
                <w:i/>
              </w:rPr>
              <w:noBreakHyphen/>
            </w:r>
            <w:r w:rsidRPr="00F71D47">
              <w:rPr>
                <w:i/>
              </w:rPr>
              <w:t>12</w:t>
            </w:r>
            <w:r w:rsidRPr="00F71D47">
              <w:t xml:space="preserve"> </w:t>
            </w:r>
            <w:r>
              <w:t xml:space="preserve">(PC 2014b). </w:t>
            </w: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Commission estimates.</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5.</w:t>
            </w:r>
            <w:r>
              <w:rPr>
                <w:b w:val="0"/>
                <w:noProof/>
              </w:rPr>
              <w:t>2</w:t>
            </w:r>
            <w:r>
              <w:tab/>
              <w:t>Net combined assistance by industry sector, 2013</w:t>
            </w:r>
            <w:r>
              <w:noBreakHyphen/>
              <w:t>14</w:t>
            </w:r>
          </w:p>
          <w:p w:rsidR="00AC2131" w:rsidRPr="00176D3F" w:rsidRDefault="00AC2131">
            <w:pPr>
              <w:pStyle w:val="Subtitle"/>
            </w:pPr>
            <w:r>
              <w:t>$ billion (nominal)</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Pr="002A251B" w:rsidRDefault="00AC2131" w:rsidP="00AC2131">
                  <w:pPr>
                    <w:pStyle w:val="TableColumnHeading"/>
                    <w:jc w:val="center"/>
                    <w:rPr>
                      <w:b/>
                      <w:noProof/>
                      <w:lang w:val="en-GB" w:eastAsia="en-GB"/>
                    </w:rPr>
                  </w:pPr>
                  <w:r w:rsidRPr="002A251B">
                    <w:rPr>
                      <w:b/>
                      <w:noProof/>
                      <w:lang w:val="en-GB" w:eastAsia="en-GB"/>
                    </w:rPr>
                    <w:t>Components of assistance</w:t>
                  </w:r>
                </w:p>
              </w:tc>
            </w:tr>
            <w:tr w:rsidR="00AC2131" w:rsidTr="00AC2131">
              <w:trPr>
                <w:jc w:val="center"/>
              </w:trPr>
              <w:tc>
                <w:tcPr>
                  <w:tcW w:w="8504" w:type="dxa"/>
                  <w:tcBorders>
                    <w:top w:val="nil"/>
                    <w:bottom w:val="nil"/>
                  </w:tcBorders>
                </w:tcPr>
                <w:p w:rsidR="00AC2131" w:rsidRDefault="00AC2131" w:rsidP="00AC2131">
                  <w:pPr>
                    <w:pStyle w:val="Figure"/>
                    <w:spacing w:before="60" w:after="60"/>
                    <w:rPr>
                      <w:noProof/>
                      <w:lang w:val="en-GB" w:eastAsia="en-GB"/>
                    </w:rPr>
                  </w:pPr>
                  <w:r>
                    <w:rPr>
                      <w:noProof/>
                    </w:rPr>
                    <w:drawing>
                      <wp:inline distT="0" distB="0" distL="0" distR="0" wp14:anchorId="057422E3" wp14:editId="536B0CB2">
                        <wp:extent cx="5400675" cy="2876550"/>
                        <wp:effectExtent l="0" t="0" r="9525" b="0"/>
                        <wp:docPr id="22" name="Picture 22" descr="Figure 5.2 presents the sectoral incidence of output tariff assistance, budgetary assistance and the input penalty of tariffs in  2013-14. The top panel shows the components of assistance. The bottom panel shows net combined assistance.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r w:rsidR="00AC2131" w:rsidTr="00AC2131">
              <w:trPr>
                <w:jc w:val="center"/>
              </w:trPr>
              <w:tc>
                <w:tcPr>
                  <w:tcW w:w="8504" w:type="dxa"/>
                  <w:tcBorders>
                    <w:top w:val="nil"/>
                    <w:bottom w:val="nil"/>
                  </w:tcBorders>
                </w:tcPr>
                <w:p w:rsidR="00AC2131" w:rsidRPr="00291011" w:rsidRDefault="00AC2131" w:rsidP="00AC2131">
                  <w:pPr>
                    <w:pStyle w:val="TableColumnHeading"/>
                    <w:pBdr>
                      <w:left w:val="single" w:sz="24" w:space="12" w:color="C0C0C0"/>
                    </w:pBdr>
                    <w:jc w:val="center"/>
                    <w:rPr>
                      <w:b/>
                      <w:noProof/>
                      <w:lang w:val="en-GB" w:eastAsia="en-GB"/>
                    </w:rPr>
                  </w:pPr>
                  <w:r w:rsidRPr="00291011">
                    <w:rPr>
                      <w:b/>
                      <w:noProof/>
                      <w:lang w:val="en-GB" w:eastAsia="en-GB"/>
                    </w:rPr>
                    <w:t>Net combined assistance</w:t>
                  </w:r>
                </w:p>
              </w:tc>
            </w:tr>
            <w:tr w:rsidR="00AC2131" w:rsidTr="00AC2131">
              <w:trPr>
                <w:jc w:val="center"/>
              </w:trPr>
              <w:tc>
                <w:tcPr>
                  <w:tcW w:w="8504" w:type="dxa"/>
                  <w:tcBorders>
                    <w:top w:val="nil"/>
                    <w:bottom w:val="nil"/>
                  </w:tcBorders>
                </w:tcPr>
                <w:p w:rsidR="00AC2131" w:rsidRDefault="00AC2131" w:rsidP="00AC2131">
                  <w:pPr>
                    <w:pStyle w:val="Figure"/>
                    <w:spacing w:before="60" w:after="60"/>
                    <w:rPr>
                      <w:noProof/>
                    </w:rPr>
                  </w:pPr>
                  <w:r>
                    <w:rPr>
                      <w:noProof/>
                    </w:rPr>
                    <w:drawing>
                      <wp:inline distT="0" distB="0" distL="0" distR="0" wp14:anchorId="4CD2E546" wp14:editId="51B29BC0">
                        <wp:extent cx="5400675" cy="2876550"/>
                        <wp:effectExtent l="0" t="0" r="9525" b="0"/>
                        <wp:docPr id="23" name="Picture 23" descr="Figure 1 presents the sectoral incidence of output tariff assistance, budgetary assistance and the input penalty of tariffs in  2013-14. The top panel shows the components of assistance. The bottom panel shows net combined assistance.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Commission estimates.</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CB1596" w:rsidRDefault="00AC2131" w:rsidP="00AC2131">
      <w:pPr>
        <w:pStyle w:val="Heading2"/>
      </w:pPr>
      <w:r>
        <w:lastRenderedPageBreak/>
        <w:t>5.</w:t>
      </w:r>
      <w:r>
        <w:rPr>
          <w:noProof/>
        </w:rPr>
        <w:t>2</w:t>
      </w:r>
      <w:r>
        <w:tab/>
        <w:t>Tariff assistance</w:t>
      </w:r>
    </w:p>
    <w:p w:rsidR="00AC2131" w:rsidRDefault="00AC2131" w:rsidP="00AC2131">
      <w:pPr>
        <w:pStyle w:val="BodyText"/>
      </w:pPr>
      <w:r>
        <w:t xml:space="preserve">Tariffs have direct effects on the returns received by Australian producers, where over 50 per cent of merchandise trade continues to be subject to a 5 per cent general tariff on imported goods. The Commission’s estimates of tariff assistance are divided into three main categories — ‘output’ assistance, ‘input’ assistance and ‘net’ assistance. </w:t>
      </w:r>
    </w:p>
    <w:p w:rsidR="00AC2131" w:rsidRDefault="00AC2131" w:rsidP="00AC2131">
      <w:pPr>
        <w:pStyle w:val="ListBullet"/>
      </w:pPr>
      <w:r>
        <w:t xml:space="preserve">Tariffs on imported goods increase the price at which those goods are sold on the Australian market and, thus, allow scope for domestic producers of competing products to increase their prices. These effects are captured by the Commission’s estimates of </w:t>
      </w:r>
      <w:r w:rsidRPr="00545DD7">
        <w:rPr>
          <w:i/>
        </w:rPr>
        <w:t>output assistance</w:t>
      </w:r>
      <w:r>
        <w:t xml:space="preserve">. </w:t>
      </w:r>
    </w:p>
    <w:p w:rsidR="00AC2131" w:rsidRDefault="00AC2131" w:rsidP="00AC2131">
      <w:pPr>
        <w:pStyle w:val="ListBullet"/>
      </w:pPr>
      <w:r>
        <w:t xml:space="preserve">On the other hand, tariffs also increase the price of local and imported goods that are used as inputs and thus penalise local user industries. This ‘penalty’ is reduced if tariff concessions are available to Australian producers. The penalties are reflected in the Commission’s estimates of </w:t>
      </w:r>
      <w:r w:rsidRPr="00545DD7">
        <w:rPr>
          <w:i/>
        </w:rPr>
        <w:t>input assistance</w:t>
      </w:r>
      <w:r>
        <w:t xml:space="preserve">. </w:t>
      </w:r>
    </w:p>
    <w:p w:rsidR="00AC2131" w:rsidRDefault="00AC2131" w:rsidP="00AC2131">
      <w:pPr>
        <w:pStyle w:val="ListBullet"/>
      </w:pPr>
      <w:r w:rsidRPr="00545DD7">
        <w:rPr>
          <w:i/>
        </w:rPr>
        <w:t>Net tariff assistance</w:t>
      </w:r>
      <w:r>
        <w:t xml:space="preserve"> represents the ‘effective’ assistance provided through tariffs to industry, and is calculated as output tariff assistance less the input assistance, where input assistance is the cost penalty on business inputs imposed by tariffs (box 5.2).</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gridCol w:w="16"/>
      </w:tblGrid>
      <w:tr w:rsidR="00AC2131" w:rsidTr="00AC2131">
        <w:trPr>
          <w:gridAfter w:val="1"/>
          <w:wAfter w:w="16" w:type="dxa"/>
        </w:trPr>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5.</w:t>
            </w:r>
            <w:r>
              <w:rPr>
                <w:b w:val="0"/>
                <w:noProof/>
              </w:rPr>
              <w:t>2</w:t>
            </w:r>
            <w:r>
              <w:tab/>
              <w:t xml:space="preserve">Tariff assistance to the </w:t>
            </w:r>
            <w:r w:rsidRPr="008C0B80">
              <w:rPr>
                <w:i/>
              </w:rPr>
              <w:t>Petroleum, coal, chemical and rubber products</w:t>
            </w:r>
            <w:r>
              <w:t xml:space="preserve"> industry in 2013</w:t>
            </w:r>
            <w:r>
              <w:noBreakHyphen/>
              <w:t>14</w:t>
            </w:r>
          </w:p>
        </w:tc>
      </w:tr>
      <w:tr w:rsidR="00AC2131" w:rsidTr="00AC2131">
        <w:trPr>
          <w:cantSplit/>
        </w:trPr>
        <w:tc>
          <w:tcPr>
            <w:tcW w:w="8787" w:type="dxa"/>
            <w:gridSpan w:val="2"/>
            <w:tcBorders>
              <w:top w:val="nil"/>
              <w:left w:val="nil"/>
              <w:bottom w:val="nil"/>
              <w:right w:val="nil"/>
            </w:tcBorders>
            <w:shd w:val="clear" w:color="auto" w:fill="F2F2F2"/>
          </w:tcPr>
          <w:p w:rsidR="00AC2131" w:rsidRDefault="00AC2131" w:rsidP="00AC2131">
            <w:pPr>
              <w:pStyle w:val="Box"/>
            </w:pPr>
            <w:r>
              <w:t xml:space="preserve">The tariff assistance estimates are divided into three main categories, output tariff assistance, input tariff assistance (input tariff penalty) and net tariff assistance. As a practical example, the estimates for these categories are provided below for the </w:t>
            </w:r>
            <w:r>
              <w:rPr>
                <w:i/>
              </w:rPr>
              <w:t>P</w:t>
            </w:r>
            <w:r w:rsidRPr="004962A4">
              <w:rPr>
                <w:i/>
              </w:rPr>
              <w:t>etroleum, coal, chemical and rubber products</w:t>
            </w:r>
            <w:r>
              <w:t xml:space="preserve"> industry, together with the industries estimated value of output ($65 billion) and value of inputs ($49 billion) in 2013</w:t>
            </w:r>
            <w:r>
              <w:noBreakHyphen/>
              <w:t xml:space="preserve">14. (The value of outputs and inputs for the </w:t>
            </w:r>
            <w:r w:rsidRPr="00956AA7">
              <w:rPr>
                <w:i/>
              </w:rPr>
              <w:t>Petroleum, coal, chemical and rubber products</w:t>
            </w:r>
            <w:r w:rsidRPr="00956AA7">
              <w:t xml:space="preserve"> industry </w:t>
            </w:r>
            <w:r>
              <w:t>is based on 2008</w:t>
            </w:r>
            <w:r>
              <w:noBreakHyphen/>
              <w:t xml:space="preserve">09 ABS input-output data and adjusted to current values using ABS </w:t>
            </w:r>
            <w:r w:rsidRPr="00956AA7">
              <w:t xml:space="preserve">Industry Gross Value Added </w:t>
            </w:r>
            <w:r>
              <w:t>a</w:t>
            </w:r>
            <w:r w:rsidRPr="00956AA7">
              <w:t>t current prices</w:t>
            </w:r>
            <w:r>
              <w:t xml:space="preserve">). </w:t>
            </w:r>
          </w:p>
          <w:p w:rsidR="00AC2131" w:rsidRDefault="00AC2131" w:rsidP="00AC2131">
            <w:pPr>
              <w:pStyle w:val="Box"/>
            </w:pPr>
            <w:r>
              <w:rPr>
                <w:noProof/>
              </w:rPr>
              <w:drawing>
                <wp:inline distT="0" distB="0" distL="0" distR="0" wp14:anchorId="4C0DEF1D" wp14:editId="4D9B079F">
                  <wp:extent cx="5401310" cy="1988185"/>
                  <wp:effectExtent l="0" t="0" r="8890" b="0"/>
                  <wp:docPr id="24" name="Picture 24" descr="Tariff assistance to the Petroleum, coal, chemical and rubber products industry in 2013-14. More details can be found within the box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01310" cy="1988185"/>
                          </a:xfrm>
                          <a:prstGeom prst="rect">
                            <a:avLst/>
                          </a:prstGeom>
                          <a:noFill/>
                          <a:ln>
                            <a:noFill/>
                          </a:ln>
                        </pic:spPr>
                      </pic:pic>
                    </a:graphicData>
                  </a:graphic>
                </wp:inline>
              </w:drawing>
            </w:r>
          </w:p>
        </w:tc>
      </w:tr>
      <w:tr w:rsidR="00AC2131" w:rsidTr="00AC2131">
        <w:trPr>
          <w:gridAfter w:val="1"/>
          <w:wAfter w:w="16" w:type="dxa"/>
          <w:cantSplit/>
        </w:trPr>
        <w:tc>
          <w:tcPr>
            <w:tcW w:w="8771" w:type="dxa"/>
            <w:tcBorders>
              <w:top w:val="nil"/>
              <w:left w:val="nil"/>
              <w:bottom w:val="nil"/>
              <w:right w:val="nil"/>
            </w:tcBorders>
            <w:shd w:val="clear" w:color="auto" w:fill="F2F2F2"/>
          </w:tcPr>
          <w:p w:rsidR="00AC2131" w:rsidRDefault="00AC2131" w:rsidP="00AC2131">
            <w:pPr>
              <w:pStyle w:val="BoxSource"/>
            </w:pPr>
            <w:r>
              <w:rPr>
                <w:i/>
              </w:rPr>
              <w:t>Source</w:t>
            </w:r>
            <w:r w:rsidRPr="00167F06">
              <w:t xml:space="preserve">: </w:t>
            </w:r>
            <w:r>
              <w:t>Commission estimates.</w:t>
            </w:r>
          </w:p>
        </w:tc>
      </w:tr>
      <w:tr w:rsidR="00AC2131" w:rsidTr="00AC2131">
        <w:trPr>
          <w:gridAfter w:val="1"/>
          <w:wAfter w:w="16" w:type="dxa"/>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rPr>
          <w:gridAfter w:val="1"/>
          <w:wAfter w:w="16" w:type="dxa"/>
        </w:trPr>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3"/>
      </w:pPr>
      <w:r>
        <w:lastRenderedPageBreak/>
        <w:t>Output assistance</w:t>
      </w:r>
    </w:p>
    <w:p w:rsidR="00AC2131" w:rsidRDefault="00AC2131" w:rsidP="00AC2131">
      <w:pPr>
        <w:pStyle w:val="BodyText"/>
      </w:pPr>
      <w:r w:rsidRPr="00DC23A3">
        <w:t>The Commission estimates that the gross value of tariff assistance to domestic production was around $7.</w:t>
      </w:r>
      <w:r>
        <w:t>9 </w:t>
      </w:r>
      <w:r w:rsidRPr="00DC23A3">
        <w:t>billion in 2013</w:t>
      </w:r>
      <w:r>
        <w:noBreakHyphen/>
        <w:t>14,</w:t>
      </w:r>
      <w:r w:rsidRPr="00DC23A3">
        <w:t xml:space="preserve"> </w:t>
      </w:r>
      <w:r>
        <w:t xml:space="preserve">around the same level as in the previous year </w:t>
      </w:r>
      <w:r w:rsidRPr="00DC23A3">
        <w:t>(table</w:t>
      </w:r>
      <w:r>
        <w:t> 5.1</w:t>
      </w:r>
      <w:r w:rsidRPr="00DC23A3">
        <w:t>). The estimated declines in the years 2009</w:t>
      </w:r>
      <w:r>
        <w:noBreakHyphen/>
      </w:r>
      <w:r w:rsidRPr="00DC23A3">
        <w:t>10 and 2010</w:t>
      </w:r>
      <w:r>
        <w:noBreakHyphen/>
      </w:r>
      <w:r w:rsidRPr="00DC23A3">
        <w:t xml:space="preserve">11 mainly reflect reductions in </w:t>
      </w:r>
      <w:r>
        <w:t xml:space="preserve">tariffs </w:t>
      </w:r>
      <w:r w:rsidRPr="00DC23A3">
        <w:t>assist</w:t>
      </w:r>
      <w:r>
        <w:t>ing</w:t>
      </w:r>
      <w:r w:rsidRPr="00DC23A3">
        <w:t xml:space="preserve"> </w:t>
      </w:r>
      <w:r w:rsidRPr="00CE67F8">
        <w:rPr>
          <w:i/>
        </w:rPr>
        <w:t>Motor vehicles and parts</w:t>
      </w:r>
      <w:r w:rsidRPr="00DC23A3">
        <w:t xml:space="preserve">, and </w:t>
      </w:r>
      <w:r>
        <w:t xml:space="preserve">certain </w:t>
      </w:r>
      <w:r w:rsidRPr="00CE67F8">
        <w:rPr>
          <w:i/>
        </w:rPr>
        <w:t>Textiles, clothing and footwear products</w:t>
      </w:r>
      <w:r w:rsidRPr="00DC23A3">
        <w:t xml:space="preserve"> in January 2010</w:t>
      </w:r>
      <w:r>
        <w:t>, to 5 and 10 per cent, respectively</w:t>
      </w:r>
      <w:r w:rsidRPr="00DC23A3">
        <w:t xml:space="preserve">. </w:t>
      </w:r>
      <w:r>
        <w:t xml:space="preserve">With the reduction in certain </w:t>
      </w:r>
      <w:r w:rsidRPr="00CE67F8">
        <w:rPr>
          <w:i/>
        </w:rPr>
        <w:t>Textile, clothing and footwear</w:t>
      </w:r>
      <w:r>
        <w:t xml:space="preserve"> items to 5 per cent on 1 January 2015, assistance to outputs will decline further. </w:t>
      </w:r>
      <w:r w:rsidRPr="00DC23A3">
        <w:t>The estimated decline in 2012</w:t>
      </w:r>
      <w:r>
        <w:noBreakHyphen/>
      </w:r>
      <w:r w:rsidRPr="00DC23A3">
        <w:t>13 reflect</w:t>
      </w:r>
      <w:r>
        <w:t>ed</w:t>
      </w:r>
      <w:r w:rsidRPr="00DC23A3">
        <w:t xml:space="preserve"> lower output levels in tariff assisted activities (mainly </w:t>
      </w:r>
      <w:r w:rsidRPr="00CE67F8">
        <w:rPr>
          <w:i/>
        </w:rPr>
        <w:t>Metal and fabricated metal products</w:t>
      </w:r>
      <w:r w:rsidRPr="00DC23A3">
        <w:t xml:space="preserve">, and </w:t>
      </w:r>
      <w:r w:rsidRPr="00CE67F8">
        <w:rPr>
          <w:i/>
        </w:rPr>
        <w:t>Petroleum, coal, chemical and rubber products</w:t>
      </w:r>
      <w:r w:rsidRPr="00DC23A3">
        <w:t>).</w:t>
      </w:r>
      <w:r>
        <w:t xml:space="preserve"> The level of tariff assistance to these activities will depend on the general rate of duty and activity levels in protected activities.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 xml:space="preserve">Table </w:t>
            </w:r>
            <w:bookmarkStart w:id="5" w:name="OLE_LINK6"/>
            <w:r>
              <w:rPr>
                <w:b w:val="0"/>
              </w:rPr>
              <w:t>5.</w:t>
            </w:r>
            <w:r>
              <w:rPr>
                <w:b w:val="0"/>
                <w:noProof/>
              </w:rPr>
              <w:t>1</w:t>
            </w:r>
            <w:bookmarkEnd w:id="5"/>
            <w:r>
              <w:tab/>
              <w:t>Tariff assistance, 2008</w:t>
            </w:r>
            <w:r>
              <w:noBreakHyphen/>
              <w:t>09 to 2013</w:t>
            </w:r>
            <w:r>
              <w:noBreakHyphen/>
              <w:t>14</w:t>
            </w:r>
            <w:r w:rsidRPr="00FC0FE0">
              <w:rPr>
                <w:rStyle w:val="NoteLabel"/>
              </w:rPr>
              <w:t>a</w:t>
            </w:r>
          </w:p>
          <w:p w:rsidR="00AC2131" w:rsidRPr="00784A05" w:rsidRDefault="00AC2131" w:rsidP="00AC2131">
            <w:pPr>
              <w:pStyle w:val="Subtitle"/>
            </w:pPr>
            <w:r>
              <w:t>$ million (nominal)</w:t>
            </w:r>
          </w:p>
        </w:tc>
      </w:tr>
      <w:tr w:rsidR="00AC2131" w:rsidTr="00AC2131">
        <w:trPr>
          <w:cantSplit/>
        </w:trPr>
        <w:tc>
          <w:tcPr>
            <w:tcW w:w="8771" w:type="dxa"/>
            <w:tcBorders>
              <w:top w:val="nil"/>
              <w:left w:val="nil"/>
              <w:bottom w:val="nil"/>
              <w:right w:val="nil"/>
            </w:tcBorders>
            <w:shd w:val="clear" w:color="auto" w:fill="auto"/>
          </w:tcPr>
          <w:tbl>
            <w:tblPr>
              <w:tblW w:w="4997" w:type="pct"/>
              <w:tblCellMar>
                <w:top w:w="28" w:type="dxa"/>
                <w:left w:w="0" w:type="dxa"/>
                <w:right w:w="0" w:type="dxa"/>
              </w:tblCellMar>
              <w:tblLook w:val="0000" w:firstRow="0" w:lastRow="0" w:firstColumn="0" w:lastColumn="0" w:noHBand="0" w:noVBand="0"/>
            </w:tblPr>
            <w:tblGrid>
              <w:gridCol w:w="2024"/>
              <w:gridCol w:w="1077"/>
              <w:gridCol w:w="1077"/>
              <w:gridCol w:w="1076"/>
              <w:gridCol w:w="1076"/>
              <w:gridCol w:w="1076"/>
              <w:gridCol w:w="1076"/>
            </w:tblGrid>
            <w:tr w:rsidR="00AC2131" w:rsidTr="00AC2131">
              <w:tc>
                <w:tcPr>
                  <w:tcW w:w="1193"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635" w:type="pct"/>
                  <w:tcBorders>
                    <w:top w:val="single" w:sz="6" w:space="0" w:color="BFBFBF"/>
                    <w:bottom w:val="single" w:sz="6" w:space="0" w:color="BFBFBF"/>
                  </w:tcBorders>
                </w:tcPr>
                <w:p w:rsidR="00AC2131" w:rsidRDefault="00AC2131" w:rsidP="00AC2131">
                  <w:pPr>
                    <w:pStyle w:val="TableColumnHeading"/>
                  </w:pPr>
                  <w:r>
                    <w:t>2008</w:t>
                  </w:r>
                  <w:r>
                    <w:noBreakHyphen/>
                    <w:t>09</w:t>
                  </w:r>
                </w:p>
              </w:tc>
              <w:tc>
                <w:tcPr>
                  <w:tcW w:w="635" w:type="pct"/>
                  <w:tcBorders>
                    <w:top w:val="single" w:sz="6" w:space="0" w:color="BFBFBF"/>
                    <w:bottom w:val="single" w:sz="6" w:space="0" w:color="BFBFBF"/>
                  </w:tcBorders>
                </w:tcPr>
                <w:p w:rsidR="00AC2131" w:rsidRDefault="00AC2131">
                  <w:pPr>
                    <w:pStyle w:val="TableColumnHeading"/>
                  </w:pPr>
                  <w:r>
                    <w:t>2009</w:t>
                  </w:r>
                  <w:r>
                    <w:noBreakHyphen/>
                    <w:t>10</w:t>
                  </w:r>
                </w:p>
              </w:tc>
              <w:tc>
                <w:tcPr>
                  <w:tcW w:w="634" w:type="pct"/>
                  <w:tcBorders>
                    <w:top w:val="single" w:sz="6" w:space="0" w:color="BFBFBF"/>
                    <w:bottom w:val="single" w:sz="6" w:space="0" w:color="BFBFBF"/>
                  </w:tcBorders>
                </w:tcPr>
                <w:p w:rsidR="00AC2131" w:rsidRDefault="00AC2131">
                  <w:pPr>
                    <w:pStyle w:val="TableColumnHeading"/>
                  </w:pPr>
                  <w:r>
                    <w:t>2010</w:t>
                  </w:r>
                  <w:r>
                    <w:noBreakHyphen/>
                    <w:t>11</w:t>
                  </w:r>
                </w:p>
              </w:tc>
              <w:tc>
                <w:tcPr>
                  <w:tcW w:w="634" w:type="pct"/>
                  <w:tcBorders>
                    <w:top w:val="single" w:sz="6" w:space="0" w:color="BFBFBF"/>
                    <w:bottom w:val="single" w:sz="6" w:space="0" w:color="BFBFBF"/>
                  </w:tcBorders>
                </w:tcPr>
                <w:p w:rsidR="00AC2131" w:rsidRDefault="00AC2131">
                  <w:pPr>
                    <w:pStyle w:val="TableColumnHeading"/>
                  </w:pPr>
                  <w:r>
                    <w:t>2011</w:t>
                  </w:r>
                  <w:r>
                    <w:noBreakHyphen/>
                    <w:t>12</w:t>
                  </w:r>
                </w:p>
              </w:tc>
              <w:tc>
                <w:tcPr>
                  <w:tcW w:w="634" w:type="pct"/>
                  <w:tcBorders>
                    <w:top w:val="single" w:sz="6" w:space="0" w:color="BFBFBF"/>
                    <w:bottom w:val="single" w:sz="6" w:space="0" w:color="BFBFBF"/>
                  </w:tcBorders>
                  <w:shd w:val="clear" w:color="auto" w:fill="auto"/>
                  <w:tcMar>
                    <w:top w:w="28" w:type="dxa"/>
                  </w:tcMar>
                </w:tcPr>
                <w:p w:rsidR="00AC2131" w:rsidRDefault="00AC2131">
                  <w:pPr>
                    <w:pStyle w:val="TableColumnHeading"/>
                  </w:pPr>
                  <w:r>
                    <w:t>2012</w:t>
                  </w:r>
                  <w:r>
                    <w:noBreakHyphen/>
                    <w:t>13</w:t>
                  </w:r>
                </w:p>
              </w:tc>
              <w:tc>
                <w:tcPr>
                  <w:tcW w:w="634" w:type="pct"/>
                  <w:tcBorders>
                    <w:top w:val="single" w:sz="6" w:space="0" w:color="BFBFBF"/>
                    <w:bottom w:val="single" w:sz="6" w:space="0" w:color="BFBFBF"/>
                  </w:tcBorders>
                  <w:shd w:val="clear" w:color="auto" w:fill="auto"/>
                  <w:tcMar>
                    <w:top w:w="28" w:type="dxa"/>
                  </w:tcMar>
                </w:tcPr>
                <w:p w:rsidR="00AC2131" w:rsidRDefault="00AC2131">
                  <w:pPr>
                    <w:pStyle w:val="TableColumnHeading"/>
                  </w:pPr>
                  <w:r>
                    <w:t>2013</w:t>
                  </w:r>
                  <w:r>
                    <w:noBreakHyphen/>
                    <w:t>14</w:t>
                  </w:r>
                </w:p>
              </w:tc>
            </w:tr>
            <w:tr w:rsidR="00AC2131" w:rsidTr="00AC2131">
              <w:tc>
                <w:tcPr>
                  <w:tcW w:w="1193" w:type="pct"/>
                </w:tcPr>
                <w:p w:rsidR="00AC2131" w:rsidRDefault="00AC2131" w:rsidP="00AC2131">
                  <w:pPr>
                    <w:pStyle w:val="TableBodyText"/>
                    <w:spacing w:before="80"/>
                    <w:jc w:val="left"/>
                  </w:pPr>
                  <w:r>
                    <w:t>Output assistance</w:t>
                  </w:r>
                </w:p>
              </w:tc>
              <w:tc>
                <w:tcPr>
                  <w:tcW w:w="635" w:type="pct"/>
                </w:tcPr>
                <w:p w:rsidR="00AC2131" w:rsidRPr="00497E79" w:rsidRDefault="00AC2131" w:rsidP="00AC2131">
                  <w:pPr>
                    <w:pStyle w:val="TableUnitsRow"/>
                    <w:spacing w:before="80"/>
                  </w:pPr>
                  <w:r>
                    <w:t>8936.3</w:t>
                  </w:r>
                </w:p>
              </w:tc>
              <w:tc>
                <w:tcPr>
                  <w:tcW w:w="635" w:type="pct"/>
                </w:tcPr>
                <w:p w:rsidR="00AC2131" w:rsidRPr="00497E79" w:rsidRDefault="00AC2131" w:rsidP="00AC2131">
                  <w:pPr>
                    <w:pStyle w:val="TableUnitsRow"/>
                    <w:spacing w:before="80"/>
                    <w:rPr>
                      <w:b/>
                      <w:i/>
                    </w:rPr>
                  </w:pPr>
                  <w:r>
                    <w:t>8396.0</w:t>
                  </w:r>
                </w:p>
              </w:tc>
              <w:tc>
                <w:tcPr>
                  <w:tcW w:w="634" w:type="pct"/>
                </w:tcPr>
                <w:p w:rsidR="00AC2131" w:rsidRPr="00497E79" w:rsidRDefault="00AC2131" w:rsidP="00AC2131">
                  <w:pPr>
                    <w:pStyle w:val="TableUnitsRow"/>
                    <w:spacing w:before="80"/>
                    <w:rPr>
                      <w:b/>
                      <w:i/>
                    </w:rPr>
                  </w:pPr>
                  <w:r>
                    <w:t>8035.5</w:t>
                  </w:r>
                </w:p>
              </w:tc>
              <w:tc>
                <w:tcPr>
                  <w:tcW w:w="634" w:type="pct"/>
                </w:tcPr>
                <w:p w:rsidR="00AC2131" w:rsidRPr="00497E79" w:rsidRDefault="00AC2131" w:rsidP="00AC2131">
                  <w:pPr>
                    <w:pStyle w:val="TableUnitsRow"/>
                    <w:spacing w:before="80"/>
                    <w:rPr>
                      <w:b/>
                      <w:i/>
                    </w:rPr>
                  </w:pPr>
                  <w:r>
                    <w:t>8152.8</w:t>
                  </w:r>
                </w:p>
              </w:tc>
              <w:tc>
                <w:tcPr>
                  <w:tcW w:w="634" w:type="pct"/>
                </w:tcPr>
                <w:p w:rsidR="00AC2131" w:rsidRPr="00497E79" w:rsidRDefault="00AC2131" w:rsidP="00AC2131">
                  <w:pPr>
                    <w:pStyle w:val="TableUnitsRow"/>
                    <w:spacing w:before="80"/>
                    <w:rPr>
                      <w:b/>
                      <w:i/>
                    </w:rPr>
                  </w:pPr>
                  <w:r>
                    <w:t>7871.8</w:t>
                  </w:r>
                </w:p>
              </w:tc>
              <w:tc>
                <w:tcPr>
                  <w:tcW w:w="634" w:type="pct"/>
                </w:tcPr>
                <w:p w:rsidR="00AC2131" w:rsidRPr="00497E79" w:rsidRDefault="00AC2131" w:rsidP="00AC2131">
                  <w:pPr>
                    <w:pStyle w:val="TableUnitsRow"/>
                    <w:spacing w:before="80"/>
                    <w:rPr>
                      <w:b/>
                      <w:i/>
                    </w:rPr>
                  </w:pPr>
                  <w:r>
                    <w:t>7920.0</w:t>
                  </w:r>
                </w:p>
              </w:tc>
            </w:tr>
            <w:tr w:rsidR="00AC2131" w:rsidTr="00AC2131">
              <w:tc>
                <w:tcPr>
                  <w:tcW w:w="1193" w:type="pct"/>
                </w:tcPr>
                <w:p w:rsidR="00AC2131" w:rsidRDefault="00AC2131" w:rsidP="00AC2131">
                  <w:pPr>
                    <w:pStyle w:val="TableBodyText"/>
                    <w:jc w:val="left"/>
                  </w:pPr>
                  <w:r>
                    <w:t>Input penalty</w:t>
                  </w:r>
                </w:p>
              </w:tc>
              <w:tc>
                <w:tcPr>
                  <w:tcW w:w="635" w:type="pct"/>
                </w:tcPr>
                <w:p w:rsidR="00AC2131" w:rsidRPr="00497E79" w:rsidRDefault="00AC2131" w:rsidP="00AC2131">
                  <w:pPr>
                    <w:pStyle w:val="TableUnitsRow"/>
                  </w:pPr>
                  <w:r w:rsidRPr="00497E79">
                    <w:t>-6717.0</w:t>
                  </w:r>
                </w:p>
              </w:tc>
              <w:tc>
                <w:tcPr>
                  <w:tcW w:w="635" w:type="pct"/>
                </w:tcPr>
                <w:p w:rsidR="00AC2131" w:rsidRPr="00497E79" w:rsidRDefault="00AC2131" w:rsidP="00AC2131">
                  <w:pPr>
                    <w:pStyle w:val="TableUnitsRow"/>
                    <w:rPr>
                      <w:b/>
                      <w:i/>
                    </w:rPr>
                  </w:pPr>
                  <w:r w:rsidRPr="00497E79">
                    <w:t>-6665.5</w:t>
                  </w:r>
                </w:p>
              </w:tc>
              <w:tc>
                <w:tcPr>
                  <w:tcW w:w="634" w:type="pct"/>
                </w:tcPr>
                <w:p w:rsidR="00AC2131" w:rsidRPr="00497E79" w:rsidRDefault="00AC2131" w:rsidP="00AC2131">
                  <w:pPr>
                    <w:pStyle w:val="TableUnitsRow"/>
                    <w:rPr>
                      <w:b/>
                      <w:i/>
                    </w:rPr>
                  </w:pPr>
                  <w:r w:rsidRPr="00497E79">
                    <w:t>-6657.0</w:t>
                  </w:r>
                </w:p>
              </w:tc>
              <w:tc>
                <w:tcPr>
                  <w:tcW w:w="634" w:type="pct"/>
                </w:tcPr>
                <w:p w:rsidR="00AC2131" w:rsidRPr="00497E79" w:rsidRDefault="00AC2131" w:rsidP="00AC2131">
                  <w:pPr>
                    <w:pStyle w:val="TableUnitsRow"/>
                    <w:rPr>
                      <w:b/>
                      <w:i/>
                    </w:rPr>
                  </w:pPr>
                  <w:r w:rsidRPr="00497E79">
                    <w:t>-7076.8</w:t>
                  </w:r>
                </w:p>
              </w:tc>
              <w:tc>
                <w:tcPr>
                  <w:tcW w:w="634" w:type="pct"/>
                </w:tcPr>
                <w:p w:rsidR="00AC2131" w:rsidRPr="00497E79" w:rsidRDefault="00AC2131" w:rsidP="00AC2131">
                  <w:pPr>
                    <w:pStyle w:val="TableUnitsRow"/>
                    <w:rPr>
                      <w:b/>
                      <w:i/>
                    </w:rPr>
                  </w:pPr>
                  <w:r w:rsidRPr="00497E79">
                    <w:t>-7165.7</w:t>
                  </w:r>
                </w:p>
              </w:tc>
              <w:tc>
                <w:tcPr>
                  <w:tcW w:w="634" w:type="pct"/>
                </w:tcPr>
                <w:p w:rsidR="00AC2131" w:rsidRPr="00497E79" w:rsidRDefault="00AC2131" w:rsidP="00AC2131">
                  <w:pPr>
                    <w:pStyle w:val="TableUnitsRow"/>
                    <w:rPr>
                      <w:b/>
                      <w:i/>
                    </w:rPr>
                  </w:pPr>
                  <w:r w:rsidRPr="00497E79">
                    <w:t>-7321.5</w:t>
                  </w:r>
                </w:p>
              </w:tc>
            </w:tr>
            <w:tr w:rsidR="00AC2131" w:rsidTr="00AC2131">
              <w:tc>
                <w:tcPr>
                  <w:tcW w:w="1193" w:type="pct"/>
                  <w:tcBorders>
                    <w:bottom w:val="single" w:sz="6" w:space="0" w:color="BFBFBF"/>
                  </w:tcBorders>
                  <w:shd w:val="clear" w:color="auto" w:fill="auto"/>
                </w:tcPr>
                <w:p w:rsidR="00AC2131" w:rsidRDefault="00AC2131" w:rsidP="00AC2131">
                  <w:pPr>
                    <w:pStyle w:val="TableBodyText"/>
                    <w:jc w:val="left"/>
                  </w:pPr>
                  <w:r>
                    <w:t>Net tariff assistance</w:t>
                  </w:r>
                </w:p>
              </w:tc>
              <w:tc>
                <w:tcPr>
                  <w:tcW w:w="635" w:type="pct"/>
                  <w:tcBorders>
                    <w:bottom w:val="single" w:sz="6" w:space="0" w:color="BFBFBF"/>
                  </w:tcBorders>
                </w:tcPr>
                <w:p w:rsidR="00AC2131" w:rsidRPr="00497E79" w:rsidRDefault="00AC2131" w:rsidP="00AC2131">
                  <w:pPr>
                    <w:pStyle w:val="TableUnitsRow"/>
                  </w:pPr>
                  <w:r w:rsidRPr="00497E79">
                    <w:t>2219.3</w:t>
                  </w:r>
                </w:p>
              </w:tc>
              <w:tc>
                <w:tcPr>
                  <w:tcW w:w="635" w:type="pct"/>
                  <w:tcBorders>
                    <w:bottom w:val="single" w:sz="6" w:space="0" w:color="BFBFBF"/>
                  </w:tcBorders>
                </w:tcPr>
                <w:p w:rsidR="00AC2131" w:rsidRPr="00497E79" w:rsidRDefault="00AC2131" w:rsidP="00AC2131">
                  <w:pPr>
                    <w:pStyle w:val="TableUnitsRow"/>
                    <w:rPr>
                      <w:b/>
                      <w:i/>
                    </w:rPr>
                  </w:pPr>
                  <w:r w:rsidRPr="00497E79">
                    <w:t>1730.5</w:t>
                  </w:r>
                </w:p>
              </w:tc>
              <w:tc>
                <w:tcPr>
                  <w:tcW w:w="634" w:type="pct"/>
                  <w:tcBorders>
                    <w:bottom w:val="single" w:sz="6" w:space="0" w:color="BFBFBF"/>
                  </w:tcBorders>
                </w:tcPr>
                <w:p w:rsidR="00AC2131" w:rsidRPr="00497E79" w:rsidRDefault="00AC2131" w:rsidP="00AC2131">
                  <w:pPr>
                    <w:pStyle w:val="TableUnitsRow"/>
                    <w:rPr>
                      <w:b/>
                      <w:i/>
                    </w:rPr>
                  </w:pPr>
                  <w:r w:rsidRPr="00497E79">
                    <w:t>1378.5</w:t>
                  </w:r>
                </w:p>
              </w:tc>
              <w:tc>
                <w:tcPr>
                  <w:tcW w:w="634" w:type="pct"/>
                  <w:tcBorders>
                    <w:bottom w:val="single" w:sz="6" w:space="0" w:color="BFBFBF"/>
                  </w:tcBorders>
                </w:tcPr>
                <w:p w:rsidR="00AC2131" w:rsidRPr="00497E79" w:rsidRDefault="00AC2131" w:rsidP="00AC2131">
                  <w:pPr>
                    <w:pStyle w:val="TableUnitsRow"/>
                    <w:rPr>
                      <w:b/>
                      <w:i/>
                    </w:rPr>
                  </w:pPr>
                  <w:r w:rsidRPr="00497E79">
                    <w:t>1076.0</w:t>
                  </w:r>
                </w:p>
              </w:tc>
              <w:tc>
                <w:tcPr>
                  <w:tcW w:w="634" w:type="pct"/>
                  <w:tcBorders>
                    <w:bottom w:val="single" w:sz="6" w:space="0" w:color="BFBFBF"/>
                  </w:tcBorders>
                  <w:shd w:val="clear" w:color="auto" w:fill="auto"/>
                </w:tcPr>
                <w:p w:rsidR="00AC2131" w:rsidRPr="00497E79" w:rsidRDefault="00AC2131" w:rsidP="00AC2131">
                  <w:pPr>
                    <w:pStyle w:val="TableUnitsRow"/>
                    <w:rPr>
                      <w:b/>
                      <w:i/>
                    </w:rPr>
                  </w:pPr>
                  <w:r w:rsidRPr="00497E79">
                    <w:t>706.1</w:t>
                  </w:r>
                </w:p>
              </w:tc>
              <w:tc>
                <w:tcPr>
                  <w:tcW w:w="634" w:type="pct"/>
                  <w:tcBorders>
                    <w:bottom w:val="single" w:sz="6" w:space="0" w:color="BFBFBF"/>
                  </w:tcBorders>
                  <w:shd w:val="clear" w:color="auto" w:fill="auto"/>
                </w:tcPr>
                <w:p w:rsidR="00AC2131" w:rsidRDefault="00AC2131" w:rsidP="00AC2131">
                  <w:pPr>
                    <w:pStyle w:val="TableUnitsRow"/>
                    <w:rPr>
                      <w:b/>
                      <w:i/>
                    </w:rPr>
                  </w:pPr>
                  <w:r w:rsidRPr="00497E79">
                    <w:t>598.5</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sidRPr="008E77FE">
              <w:rPr>
                <w:rStyle w:val="NoteLabel"/>
              </w:rPr>
              <w:t>a</w:t>
            </w:r>
            <w:r>
              <w:t> </w:t>
            </w:r>
            <w:r w:rsidRPr="000E0DE2">
              <w:t>Nominal tariff assistance estimates are derived by re-indexing a reference series based on 2008</w:t>
            </w:r>
            <w:r>
              <w:noBreakHyphen/>
            </w:r>
            <w:r w:rsidRPr="000E0DE2">
              <w:t>09 ABS input-output data, using ABS Industry Gross Value Added and supporting data</w:t>
            </w:r>
            <w:r>
              <w:t xml:space="preserve"> at current prices</w:t>
            </w:r>
            <w:r w:rsidRPr="000E0DE2">
              <w:t xml:space="preserve">, for all industries except Mining. For Mining, in order to abstract from the effects of terms of trade changes, the estimates are re-indexed using the ABS Industry Gross Value Added, chain volume measures. This information is subject to periodic revision by the ABS. </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A component of the output assistance to industry is the value of the transfer from final consumers to local producers. Combining this transfer with the tariff revenue collected from consumers provides a measure of the Consumer Tax Equivalent of the tariff. The transfers associated with the Consumer Tax Equivalent of the tariff accrue mainly to domestic producers of assisted goods and the Australian Government through tariffs levied on imports.</w:t>
      </w:r>
      <w:r>
        <w:rPr>
          <w:rStyle w:val="FootnoteReference"/>
        </w:rPr>
        <w:footnoteReference w:id="38"/>
      </w:r>
      <w:r>
        <w:t xml:space="preserve"> The Consumer Tax Equivalent is estimated at around $3.6 billion in 2013</w:t>
      </w:r>
      <w:r>
        <w:noBreakHyphen/>
        <w:t xml:space="preserve">14, that is, around $155 per person. Of this total, around $1.4 billion is estimated to have accrued to the Government as tariff revenue. Around half of this total is related to </w:t>
      </w:r>
      <w:r w:rsidRPr="00CE67F8">
        <w:rPr>
          <w:i/>
        </w:rPr>
        <w:t>Food, beverage and tobacco</w:t>
      </w:r>
      <w:r>
        <w:t xml:space="preserve"> and </w:t>
      </w:r>
      <w:r w:rsidRPr="00CE67F8">
        <w:rPr>
          <w:i/>
        </w:rPr>
        <w:t>Textiles, clothing leather and footwear products</w:t>
      </w:r>
      <w:r>
        <w:t>.</w:t>
      </w:r>
      <w:r>
        <w:rPr>
          <w:rStyle w:val="FootnoteReference"/>
        </w:rPr>
        <w:footnoteReference w:id="39"/>
      </w:r>
    </w:p>
    <w:p w:rsidR="00AC2131" w:rsidRDefault="00AC2131" w:rsidP="00AC2131">
      <w:pPr>
        <w:pStyle w:val="Heading3"/>
      </w:pPr>
      <w:r>
        <w:lastRenderedPageBreak/>
        <w:t>Input penalty</w:t>
      </w:r>
    </w:p>
    <w:p w:rsidR="00AC2131" w:rsidRPr="00DE1649" w:rsidRDefault="00AC2131" w:rsidP="00AC2131">
      <w:pPr>
        <w:pStyle w:val="BodyText"/>
        <w:rPr>
          <w:spacing w:val="-2"/>
        </w:rPr>
      </w:pPr>
      <w:r w:rsidRPr="00DE1649">
        <w:rPr>
          <w:spacing w:val="-2"/>
        </w:rPr>
        <w:t>The estimated cost penalty on inputs to user industries (including primary, manufacturing and services industries) arising from tariffs was around $7.3 billion in 2013</w:t>
      </w:r>
      <w:r w:rsidRPr="00DE1649">
        <w:rPr>
          <w:spacing w:val="-2"/>
        </w:rPr>
        <w:noBreakHyphen/>
        <w:t>14 (table 5.1). This compares with a penalty of around $6.7 billion in 2008</w:t>
      </w:r>
      <w:r w:rsidRPr="00DE1649">
        <w:rPr>
          <w:spacing w:val="-2"/>
        </w:rPr>
        <w:noBreakHyphen/>
        <w:t xml:space="preserve">09. The estimated penalty has increased in nominal terms with the general growth in the economy and rising price levels. </w:t>
      </w:r>
      <w:r w:rsidRPr="00DE1649">
        <w:rPr>
          <w:spacing w:val="-4"/>
        </w:rPr>
        <w:t>This increase was moderated in both 2009</w:t>
      </w:r>
      <w:r w:rsidRPr="00DE1649">
        <w:rPr>
          <w:spacing w:val="-4"/>
        </w:rPr>
        <w:noBreakHyphen/>
        <w:t>10 and 2010</w:t>
      </w:r>
      <w:r w:rsidRPr="00DE1649">
        <w:rPr>
          <w:spacing w:val="-4"/>
        </w:rPr>
        <w:noBreakHyphen/>
        <w:t>11 by reductions in tariffs on passenger motor vehicles and parts, and textiles, clothing and footwear products in January 2010.</w:t>
      </w:r>
    </w:p>
    <w:p w:rsidR="00AC2131" w:rsidRDefault="00AC2131" w:rsidP="00AC2131">
      <w:pPr>
        <w:pStyle w:val="Heading3"/>
      </w:pPr>
      <w:r>
        <w:t>Net tariff assistance</w:t>
      </w:r>
    </w:p>
    <w:p w:rsidR="00AC2131" w:rsidRDefault="00AC2131" w:rsidP="00AC2131">
      <w:pPr>
        <w:pStyle w:val="BodyText"/>
      </w:pPr>
      <w:r>
        <w:t>After deducting the tariff input penalty from the output assistance, net tariff assistance (for the Australian economy) was estimated to be around $0.6 billion in 2013</w:t>
      </w:r>
      <w:r>
        <w:noBreakHyphen/>
        <w:t>14, down from around $2.2 billion in 2008</w:t>
      </w:r>
      <w:r>
        <w:noBreakHyphen/>
        <w:t xml:space="preserve">09 (table 5.1). This reflects both high relative growth in the services sector (which incurs significant tariff penalties on inputs), especially relative to the manufacturing sector (a significant beneficiary of tariff assistance), together with some reductions in tariffs applied to manufactured products. </w:t>
      </w:r>
    </w:p>
    <w:p w:rsidR="00AC2131" w:rsidRPr="00DE1649" w:rsidRDefault="00AC2131" w:rsidP="00AC2131">
      <w:pPr>
        <w:pStyle w:val="BodyText"/>
        <w:rPr>
          <w:spacing w:val="-2"/>
        </w:rPr>
      </w:pPr>
      <w:r w:rsidRPr="00DE1649">
        <w:rPr>
          <w:spacing w:val="-2"/>
        </w:rPr>
        <w:t xml:space="preserve">In the Commission’s tariff assistance estimates, preferences granted under Australia’s preferential trading agreements are treated on the basis that domestic prices in Australia remain unchanged, that is, imports from agreement partners are priced up to the protective effect of the tariff. The underlying assumption is that there is an incentive for eligible partner exporters to price up to the domestic tariff in order to gain the margin of preference. There is also an incentive for producers to adopt higher cost production methods to meet rules of origin requirements for preferential access to partner markets (box 5.3). </w:t>
      </w:r>
    </w:p>
    <w:p w:rsidR="00AC2131" w:rsidRPr="00C140A0" w:rsidRDefault="00AC2131" w:rsidP="00AC2131">
      <w:pPr>
        <w:pStyle w:val="BodyText"/>
      </w:pPr>
      <w:r w:rsidRPr="00DE1649">
        <w:rPr>
          <w:spacing w:val="-2"/>
        </w:rPr>
        <w:t xml:space="preserve">While tariffs on imported goods allow scope for domestic producers of competing products to increase their prices, they also penalise local producers that use these goods as inputs, thus impeding their ability to participate in global value chains (chapter 2). Among other things, the analysis in chapter 2 on emerging trade patterns notes that the remaining 5 per cent </w:t>
      </w:r>
      <w:r w:rsidRPr="00C140A0">
        <w:t xml:space="preserve">import tariff on over 50 per cent of Australia’s tariff line items effectively acts as a tax on exports. It also notes that trade liberalisation undertaken according to most favoured nation principles is more effective in enabling the efficient evolution of global value chains than the exchange of tariff and other trade preferences in bilateral and regional preferential deals.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 xml:space="preserve">Box </w:t>
            </w:r>
            <w:bookmarkStart w:id="6" w:name="OLE_LINK7"/>
            <w:r>
              <w:rPr>
                <w:b w:val="0"/>
              </w:rPr>
              <w:t>5.</w:t>
            </w:r>
            <w:r>
              <w:rPr>
                <w:b w:val="0"/>
                <w:noProof/>
              </w:rPr>
              <w:t>3</w:t>
            </w:r>
            <w:bookmarkEnd w:id="6"/>
            <w:r>
              <w:tab/>
              <w:t>Treatment of tariff preferences in assistance estimates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 xml:space="preserve">The tariff preferences provided under Australia’s preferential trading agreements (PTAs) need not result in any change in prices in the domestic market and, thus, in assistance to Australian industry provided by the general (Most Favoured Nation (MFN)) tariff regime. This would be the case if producers in the partner country effectively ‘pocketed’ the tariff concessions, rather than reduced their prices below the prevailing (tariff-inflated) price of rival imports. </w:t>
            </w:r>
          </w:p>
          <w:p w:rsidR="00AC2131" w:rsidRDefault="00AC2131" w:rsidP="00AC2131">
            <w:pPr>
              <w:pStyle w:val="Box"/>
            </w:pPr>
            <w:r>
              <w:t xml:space="preserve">However, to the extent that tariff concessions provided by PTAs reduce the prices of imported products in the Australian market, assistance to the relevant industry’s outputs would be lower than that implied by the MFN rate. At the same time though, where the price of imported inputs falls as a result of PTA preferences, the penalties (or negative assistance) on the industry’s inputs will also be lower than implied by the MFN rate. Whether this leads to a net overstatement or understatement of assistance to the Australian industry in question would depend on trade patterns with the PTA partner countries, which products are subject to price reductions, and their relative magnitudes. </w:t>
            </w:r>
          </w:p>
          <w:p w:rsidR="00AC2131" w:rsidRDefault="00AC2131" w:rsidP="00AC2131">
            <w:pPr>
              <w:pStyle w:val="Box"/>
            </w:pPr>
            <w:r>
              <w:t xml:space="preserve">As the incidence of preferential agreements increases — Australia is now a partner to nine preferential trade agreements (chapter 7) — the impact of agreements on assistance to Australian industry would also depend on the eligibility of partner exporters for the preferential access to the Australian market and the level of competition between trade agreement partners in their segments of the Australian market. </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pPr>
            <w:r>
              <w:rPr>
                <w:i/>
              </w:rPr>
              <w:t>Sources</w:t>
            </w:r>
            <w:r w:rsidRPr="00167F06">
              <w:t xml:space="preserve">: </w:t>
            </w:r>
            <w:r>
              <w:t xml:space="preserve">PC (2004a, 2004b, 2008). </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3"/>
      </w:pPr>
      <w:r>
        <w:t>Net tariff assistance by industry sector</w:t>
      </w:r>
    </w:p>
    <w:p w:rsidR="00AC2131" w:rsidRDefault="00AC2131" w:rsidP="00AC2131">
      <w:pPr>
        <w:pStyle w:val="BodyText"/>
      </w:pPr>
      <w:r w:rsidRPr="004B655B">
        <w:t>The estimated value of net tariff assistance for the manufacturing sector has decreased by around 14</w:t>
      </w:r>
      <w:r>
        <w:t> </w:t>
      </w:r>
      <w:r w:rsidRPr="004B655B">
        <w:t>per</w:t>
      </w:r>
      <w:r>
        <w:t> </w:t>
      </w:r>
      <w:r w:rsidRPr="004B655B">
        <w:t>cent since 2008</w:t>
      </w:r>
      <w:r>
        <w:noBreakHyphen/>
        <w:t>09</w:t>
      </w:r>
      <w:r w:rsidRPr="004B655B">
        <w:t xml:space="preserve">, largely reflecting reductions in tariff assistance to the </w:t>
      </w:r>
      <w:r w:rsidRPr="0052022E">
        <w:rPr>
          <w:i/>
        </w:rPr>
        <w:t>Textiles, clothing, footwear and leather</w:t>
      </w:r>
      <w:r w:rsidRPr="004B655B">
        <w:t xml:space="preserve">, and </w:t>
      </w:r>
      <w:r w:rsidRPr="0052022E">
        <w:rPr>
          <w:i/>
        </w:rPr>
        <w:t>Motor vehicles and parts</w:t>
      </w:r>
      <w:r w:rsidRPr="004B655B">
        <w:t xml:space="preserve"> industries in January</w:t>
      </w:r>
      <w:r>
        <w:t> </w:t>
      </w:r>
      <w:r w:rsidRPr="004B655B">
        <w:t>2010 (table</w:t>
      </w:r>
      <w:r>
        <w:t> 5.2</w:t>
      </w:r>
      <w:r w:rsidRPr="004B655B">
        <w:t xml:space="preserve">). The year-to-year changes are also affected by activity levels in tariff-assisted activities. At the same time, the net tariff penalty on the services sector has increased by </w:t>
      </w:r>
      <w:r>
        <w:t>19 </w:t>
      </w:r>
      <w:r w:rsidRPr="004B655B">
        <w:t>per</w:t>
      </w:r>
      <w:r>
        <w:t> </w:t>
      </w:r>
      <w:r w:rsidRPr="004B655B">
        <w:t xml:space="preserve">cent (to </w:t>
      </w:r>
      <w:r>
        <w:t xml:space="preserve">nearly </w:t>
      </w:r>
      <w:r w:rsidRPr="004B655B">
        <w:t>$</w:t>
      </w:r>
      <w:r>
        <w:t>5 </w:t>
      </w:r>
      <w:r w:rsidRPr="004B655B">
        <w:t>billion), reflecting growth in the use of tariff assisted manufactures as the sector has expanded</w:t>
      </w:r>
      <w:r w:rsidR="00D004E2">
        <w:t xml:space="preserve"> (table 5.2 and figure 5.3)</w:t>
      </w:r>
      <w:r w:rsidRPr="004B655B">
        <w:t>. Similarly, the net tariff penalty on the mining sector has also increased over the period.</w:t>
      </w:r>
      <w:r>
        <w:t xml:space="preserve">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 xml:space="preserve">Table </w:t>
            </w:r>
            <w:bookmarkStart w:id="7" w:name="OLE_LINK9"/>
            <w:r>
              <w:rPr>
                <w:b w:val="0"/>
              </w:rPr>
              <w:t>5.</w:t>
            </w:r>
            <w:r>
              <w:rPr>
                <w:b w:val="0"/>
                <w:noProof/>
              </w:rPr>
              <w:t>2</w:t>
            </w:r>
            <w:bookmarkEnd w:id="7"/>
            <w:r>
              <w:tab/>
              <w:t>Net tariff assistance by industry sector, 2008</w:t>
            </w:r>
            <w:r>
              <w:noBreakHyphen/>
              <w:t>09 to 2013</w:t>
            </w:r>
            <w:r>
              <w:noBreakHyphen/>
              <w:t>14</w:t>
            </w:r>
            <w:r w:rsidRPr="00DE1649">
              <w:rPr>
                <w:rStyle w:val="NoteLabel"/>
              </w:rPr>
              <w:t>a</w:t>
            </w:r>
          </w:p>
          <w:p w:rsidR="00AC2131" w:rsidRPr="00784A05" w:rsidRDefault="00AC2131" w:rsidP="00AC2131">
            <w:pPr>
              <w:pStyle w:val="Subtitle"/>
            </w:pPr>
            <w:r>
              <w:t>$ million (nominal)</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029"/>
              <w:gridCol w:w="1077"/>
              <w:gridCol w:w="1077"/>
              <w:gridCol w:w="1076"/>
              <w:gridCol w:w="1076"/>
              <w:gridCol w:w="1076"/>
              <w:gridCol w:w="1076"/>
            </w:tblGrid>
            <w:tr w:rsidR="00AC2131" w:rsidTr="00AC2131">
              <w:tc>
                <w:tcPr>
                  <w:tcW w:w="119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634" w:type="pct"/>
                  <w:tcBorders>
                    <w:top w:val="single" w:sz="6" w:space="0" w:color="BFBFBF"/>
                    <w:bottom w:val="single" w:sz="6" w:space="0" w:color="BFBFBF"/>
                  </w:tcBorders>
                </w:tcPr>
                <w:p w:rsidR="00AC2131" w:rsidRDefault="00AC2131" w:rsidP="00AC2131">
                  <w:pPr>
                    <w:pStyle w:val="TableColumnHeading"/>
                  </w:pPr>
                  <w:r>
                    <w:t>2008</w:t>
                  </w:r>
                  <w:r>
                    <w:noBreakHyphen/>
                    <w:t>09</w:t>
                  </w:r>
                </w:p>
              </w:tc>
              <w:tc>
                <w:tcPr>
                  <w:tcW w:w="634" w:type="pct"/>
                  <w:tcBorders>
                    <w:top w:val="single" w:sz="6" w:space="0" w:color="BFBFBF"/>
                    <w:bottom w:val="single" w:sz="6" w:space="0" w:color="BFBFBF"/>
                  </w:tcBorders>
                </w:tcPr>
                <w:p w:rsidR="00AC2131" w:rsidRDefault="00AC2131" w:rsidP="00AC2131">
                  <w:pPr>
                    <w:pStyle w:val="TableColumnHeading"/>
                  </w:pPr>
                  <w:r>
                    <w:t>2009</w:t>
                  </w:r>
                  <w:r>
                    <w:noBreakHyphen/>
                    <w:t>10</w:t>
                  </w:r>
                </w:p>
              </w:tc>
              <w:tc>
                <w:tcPr>
                  <w:tcW w:w="634" w:type="pct"/>
                  <w:tcBorders>
                    <w:top w:val="single" w:sz="6" w:space="0" w:color="BFBFBF"/>
                    <w:bottom w:val="single" w:sz="6" w:space="0" w:color="BFBFBF"/>
                  </w:tcBorders>
                </w:tcPr>
                <w:p w:rsidR="00AC2131" w:rsidRDefault="00AC2131" w:rsidP="00AC2131">
                  <w:pPr>
                    <w:pStyle w:val="TableColumnHeading"/>
                  </w:pPr>
                  <w:r>
                    <w:t>2010</w:t>
                  </w:r>
                  <w:r>
                    <w:noBreakHyphen/>
                    <w:t>11</w:t>
                  </w:r>
                </w:p>
              </w:tc>
              <w:tc>
                <w:tcPr>
                  <w:tcW w:w="634" w:type="pct"/>
                  <w:tcBorders>
                    <w:top w:val="single" w:sz="6" w:space="0" w:color="BFBFBF"/>
                    <w:bottom w:val="single" w:sz="6" w:space="0" w:color="BFBFBF"/>
                  </w:tcBorders>
                </w:tcPr>
                <w:p w:rsidR="00AC2131" w:rsidRDefault="00AC2131" w:rsidP="00AC2131">
                  <w:pPr>
                    <w:pStyle w:val="TableColumnHeading"/>
                  </w:pPr>
                  <w:r>
                    <w:t>2011</w:t>
                  </w:r>
                  <w:r>
                    <w:noBreakHyphen/>
                    <w:t>12</w:t>
                  </w:r>
                </w:p>
              </w:tc>
              <w:tc>
                <w:tcPr>
                  <w:tcW w:w="634"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pPr>
                  <w:r>
                    <w:t>2012</w:t>
                  </w:r>
                  <w:r>
                    <w:noBreakHyphen/>
                    <w:t>13</w:t>
                  </w:r>
                </w:p>
              </w:tc>
              <w:tc>
                <w:tcPr>
                  <w:tcW w:w="634"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right="28"/>
                  </w:pPr>
                  <w:r>
                    <w:t>2013</w:t>
                  </w:r>
                  <w:r>
                    <w:noBreakHyphen/>
                    <w:t>14</w:t>
                  </w:r>
                </w:p>
              </w:tc>
            </w:tr>
            <w:tr w:rsidR="00AC2131" w:rsidTr="00AC2131">
              <w:tc>
                <w:tcPr>
                  <w:tcW w:w="1195" w:type="pct"/>
                </w:tcPr>
                <w:p w:rsidR="00AC2131" w:rsidRDefault="00AC2131" w:rsidP="00AC2131">
                  <w:pPr>
                    <w:pStyle w:val="TableBodyText"/>
                    <w:spacing w:before="80"/>
                    <w:jc w:val="left"/>
                  </w:pPr>
                  <w:r>
                    <w:t>Primary production</w:t>
                  </w:r>
                </w:p>
              </w:tc>
              <w:tc>
                <w:tcPr>
                  <w:tcW w:w="634" w:type="pct"/>
                </w:tcPr>
                <w:p w:rsidR="00AC2131" w:rsidRPr="0037176A" w:rsidRDefault="00AC2131" w:rsidP="00AC2131">
                  <w:pPr>
                    <w:pStyle w:val="TableBodyText"/>
                    <w:spacing w:before="80"/>
                  </w:pPr>
                  <w:r w:rsidRPr="0037176A">
                    <w:t>125.0</w:t>
                  </w:r>
                </w:p>
              </w:tc>
              <w:tc>
                <w:tcPr>
                  <w:tcW w:w="634" w:type="pct"/>
                </w:tcPr>
                <w:p w:rsidR="00AC2131" w:rsidRPr="0037176A" w:rsidRDefault="00AC2131" w:rsidP="00AC2131">
                  <w:pPr>
                    <w:pStyle w:val="TableBodyText"/>
                    <w:spacing w:before="80"/>
                  </w:pPr>
                  <w:r w:rsidRPr="0037176A">
                    <w:t>142.3</w:t>
                  </w:r>
                </w:p>
              </w:tc>
              <w:tc>
                <w:tcPr>
                  <w:tcW w:w="634" w:type="pct"/>
                </w:tcPr>
                <w:p w:rsidR="00AC2131" w:rsidRPr="0037176A" w:rsidRDefault="00AC2131" w:rsidP="00AC2131">
                  <w:pPr>
                    <w:pStyle w:val="TableBodyText"/>
                    <w:spacing w:before="80"/>
                  </w:pPr>
                  <w:r w:rsidRPr="0037176A">
                    <w:t>136.3</w:t>
                  </w:r>
                </w:p>
              </w:tc>
              <w:tc>
                <w:tcPr>
                  <w:tcW w:w="634" w:type="pct"/>
                </w:tcPr>
                <w:p w:rsidR="00AC2131" w:rsidRPr="0037176A" w:rsidRDefault="00AC2131" w:rsidP="00AC2131">
                  <w:pPr>
                    <w:pStyle w:val="TableBodyText"/>
                    <w:spacing w:before="80"/>
                  </w:pPr>
                  <w:r w:rsidRPr="0037176A">
                    <w:t>130.0</w:t>
                  </w:r>
                </w:p>
              </w:tc>
              <w:tc>
                <w:tcPr>
                  <w:tcW w:w="634" w:type="pct"/>
                </w:tcPr>
                <w:p w:rsidR="00AC2131" w:rsidRPr="0037176A" w:rsidRDefault="00AC2131" w:rsidP="00AC2131">
                  <w:pPr>
                    <w:pStyle w:val="TableBodyText"/>
                    <w:spacing w:before="80"/>
                  </w:pPr>
                  <w:r w:rsidRPr="0037176A">
                    <w:t>171.4</w:t>
                  </w:r>
                </w:p>
              </w:tc>
              <w:tc>
                <w:tcPr>
                  <w:tcW w:w="634" w:type="pct"/>
                </w:tcPr>
                <w:p w:rsidR="00AC2131" w:rsidRPr="0037176A" w:rsidRDefault="00AC2131" w:rsidP="00AC2131">
                  <w:pPr>
                    <w:pStyle w:val="TableBodyText"/>
                    <w:spacing w:before="80"/>
                    <w:ind w:right="28"/>
                  </w:pPr>
                  <w:r w:rsidRPr="0037176A">
                    <w:t>228.1</w:t>
                  </w:r>
                </w:p>
              </w:tc>
            </w:tr>
            <w:tr w:rsidR="00AC2131" w:rsidTr="00AC2131">
              <w:tc>
                <w:tcPr>
                  <w:tcW w:w="1195" w:type="pct"/>
                </w:tcPr>
                <w:p w:rsidR="00AC2131" w:rsidRDefault="00AC2131" w:rsidP="00AC2131">
                  <w:pPr>
                    <w:pStyle w:val="TableBodyText"/>
                    <w:jc w:val="left"/>
                  </w:pPr>
                  <w:r>
                    <w:t>Mining</w:t>
                  </w:r>
                </w:p>
              </w:tc>
              <w:tc>
                <w:tcPr>
                  <w:tcW w:w="634" w:type="pct"/>
                </w:tcPr>
                <w:p w:rsidR="00AC2131" w:rsidRPr="0037176A" w:rsidRDefault="00AC2131" w:rsidP="00AC2131">
                  <w:pPr>
                    <w:pStyle w:val="TableBodyText"/>
                  </w:pPr>
                  <w:r w:rsidRPr="0037176A">
                    <w:t>-179.5</w:t>
                  </w:r>
                </w:p>
              </w:tc>
              <w:tc>
                <w:tcPr>
                  <w:tcW w:w="634" w:type="pct"/>
                </w:tcPr>
                <w:p w:rsidR="00AC2131" w:rsidRPr="0037176A" w:rsidRDefault="00AC2131" w:rsidP="00AC2131">
                  <w:pPr>
                    <w:pStyle w:val="TableBodyText"/>
                  </w:pPr>
                  <w:r w:rsidRPr="0037176A">
                    <w:t>-186.9</w:t>
                  </w:r>
                </w:p>
              </w:tc>
              <w:tc>
                <w:tcPr>
                  <w:tcW w:w="634" w:type="pct"/>
                </w:tcPr>
                <w:p w:rsidR="00AC2131" w:rsidRPr="0037176A" w:rsidRDefault="00AC2131" w:rsidP="00AC2131">
                  <w:pPr>
                    <w:pStyle w:val="TableBodyText"/>
                  </w:pPr>
                  <w:r w:rsidRPr="0037176A">
                    <w:t>-183.9</w:t>
                  </w:r>
                </w:p>
              </w:tc>
              <w:tc>
                <w:tcPr>
                  <w:tcW w:w="634" w:type="pct"/>
                </w:tcPr>
                <w:p w:rsidR="00AC2131" w:rsidRPr="0037176A" w:rsidRDefault="00AC2131" w:rsidP="00AC2131">
                  <w:pPr>
                    <w:pStyle w:val="TableBodyText"/>
                  </w:pPr>
                  <w:r w:rsidRPr="0037176A">
                    <w:t>-197.5</w:t>
                  </w:r>
                </w:p>
              </w:tc>
              <w:tc>
                <w:tcPr>
                  <w:tcW w:w="634" w:type="pct"/>
                </w:tcPr>
                <w:p w:rsidR="00AC2131" w:rsidRPr="0037176A" w:rsidRDefault="00AC2131" w:rsidP="00AC2131">
                  <w:pPr>
                    <w:pStyle w:val="TableBodyText"/>
                  </w:pPr>
                  <w:r w:rsidRPr="0037176A">
                    <w:t>-214.5</w:t>
                  </w:r>
                </w:p>
              </w:tc>
              <w:tc>
                <w:tcPr>
                  <w:tcW w:w="634" w:type="pct"/>
                </w:tcPr>
                <w:p w:rsidR="00AC2131" w:rsidRPr="0037176A" w:rsidRDefault="00AC2131" w:rsidP="00AC2131">
                  <w:pPr>
                    <w:pStyle w:val="TableBodyText"/>
                    <w:ind w:right="28"/>
                  </w:pPr>
                  <w:r w:rsidRPr="0037176A">
                    <w:t>-234.9</w:t>
                  </w:r>
                </w:p>
              </w:tc>
            </w:tr>
            <w:tr w:rsidR="00AC2131" w:rsidTr="00AC2131">
              <w:tc>
                <w:tcPr>
                  <w:tcW w:w="1195" w:type="pct"/>
                </w:tcPr>
                <w:p w:rsidR="00AC2131" w:rsidRDefault="00AC2131" w:rsidP="00AC2131">
                  <w:pPr>
                    <w:pStyle w:val="TableBodyText"/>
                    <w:jc w:val="left"/>
                  </w:pPr>
                  <w:r>
                    <w:t>Manufacturing</w:t>
                  </w:r>
                </w:p>
              </w:tc>
              <w:tc>
                <w:tcPr>
                  <w:tcW w:w="634" w:type="pct"/>
                </w:tcPr>
                <w:p w:rsidR="00AC2131" w:rsidRPr="0037176A" w:rsidRDefault="00AC2131" w:rsidP="00AC2131">
                  <w:pPr>
                    <w:pStyle w:val="TableBodyText"/>
                  </w:pPr>
                  <w:r w:rsidRPr="0037176A">
                    <w:t>6408.8</w:t>
                  </w:r>
                </w:p>
              </w:tc>
              <w:tc>
                <w:tcPr>
                  <w:tcW w:w="634" w:type="pct"/>
                </w:tcPr>
                <w:p w:rsidR="00AC2131" w:rsidRPr="0037176A" w:rsidRDefault="00AC2131" w:rsidP="00AC2131">
                  <w:pPr>
                    <w:pStyle w:val="TableBodyText"/>
                  </w:pPr>
                  <w:r w:rsidRPr="0037176A">
                    <w:t>5967.8</w:t>
                  </w:r>
                </w:p>
              </w:tc>
              <w:tc>
                <w:tcPr>
                  <w:tcW w:w="634" w:type="pct"/>
                </w:tcPr>
                <w:p w:rsidR="00AC2131" w:rsidRPr="0037176A" w:rsidRDefault="00AC2131" w:rsidP="00AC2131">
                  <w:pPr>
                    <w:pStyle w:val="TableBodyText"/>
                  </w:pPr>
                  <w:r w:rsidRPr="0037176A">
                    <w:t>5699.1</w:t>
                  </w:r>
                </w:p>
              </w:tc>
              <w:tc>
                <w:tcPr>
                  <w:tcW w:w="634" w:type="pct"/>
                </w:tcPr>
                <w:p w:rsidR="00AC2131" w:rsidRPr="0037176A" w:rsidRDefault="00AC2131" w:rsidP="00AC2131">
                  <w:pPr>
                    <w:pStyle w:val="TableBodyText"/>
                  </w:pPr>
                  <w:r w:rsidRPr="0037176A">
                    <w:t>5771.2</w:t>
                  </w:r>
                </w:p>
              </w:tc>
              <w:tc>
                <w:tcPr>
                  <w:tcW w:w="634" w:type="pct"/>
                </w:tcPr>
                <w:p w:rsidR="00AC2131" w:rsidRPr="0037176A" w:rsidRDefault="00AC2131" w:rsidP="00AC2131">
                  <w:pPr>
                    <w:pStyle w:val="TableBodyText"/>
                  </w:pPr>
                  <w:r w:rsidRPr="0037176A">
                    <w:t>5531.3</w:t>
                  </w:r>
                </w:p>
              </w:tc>
              <w:tc>
                <w:tcPr>
                  <w:tcW w:w="634" w:type="pct"/>
                </w:tcPr>
                <w:p w:rsidR="00AC2131" w:rsidRPr="0037176A" w:rsidRDefault="00AC2131" w:rsidP="00AC2131">
                  <w:pPr>
                    <w:pStyle w:val="TableBodyText"/>
                    <w:ind w:right="28"/>
                  </w:pPr>
                  <w:r w:rsidRPr="0037176A">
                    <w:t>5533.6</w:t>
                  </w:r>
                </w:p>
              </w:tc>
            </w:tr>
            <w:tr w:rsidR="00AC2131" w:rsidTr="00AC2131">
              <w:tc>
                <w:tcPr>
                  <w:tcW w:w="1195" w:type="pct"/>
                </w:tcPr>
                <w:p w:rsidR="00AC2131" w:rsidRDefault="00AC2131" w:rsidP="00AC2131">
                  <w:pPr>
                    <w:pStyle w:val="TableBodyText"/>
                    <w:jc w:val="left"/>
                  </w:pPr>
                  <w:r>
                    <w:t>Services</w:t>
                  </w:r>
                </w:p>
              </w:tc>
              <w:tc>
                <w:tcPr>
                  <w:tcW w:w="634" w:type="pct"/>
                </w:tcPr>
                <w:p w:rsidR="00AC2131" w:rsidRPr="0037176A" w:rsidRDefault="00AC2131" w:rsidP="00AC2131">
                  <w:pPr>
                    <w:pStyle w:val="TableBodyText"/>
                  </w:pPr>
                  <w:r w:rsidRPr="0037176A">
                    <w:t>-4135.1</w:t>
                  </w:r>
                </w:p>
              </w:tc>
              <w:tc>
                <w:tcPr>
                  <w:tcW w:w="634" w:type="pct"/>
                </w:tcPr>
                <w:p w:rsidR="00AC2131" w:rsidRPr="0037176A" w:rsidRDefault="00AC2131" w:rsidP="00AC2131">
                  <w:pPr>
                    <w:pStyle w:val="TableBodyText"/>
                  </w:pPr>
                  <w:r w:rsidRPr="0037176A">
                    <w:t>-4192.6</w:t>
                  </w:r>
                </w:p>
              </w:tc>
              <w:tc>
                <w:tcPr>
                  <w:tcW w:w="634" w:type="pct"/>
                </w:tcPr>
                <w:p w:rsidR="00AC2131" w:rsidRPr="0037176A" w:rsidRDefault="00AC2131" w:rsidP="00AC2131">
                  <w:pPr>
                    <w:pStyle w:val="TableBodyText"/>
                    <w:rPr>
                      <w:b/>
                      <w:i/>
                    </w:rPr>
                  </w:pPr>
                  <w:r w:rsidRPr="0037176A">
                    <w:t>-4273.0</w:t>
                  </w:r>
                </w:p>
              </w:tc>
              <w:tc>
                <w:tcPr>
                  <w:tcW w:w="634" w:type="pct"/>
                </w:tcPr>
                <w:p w:rsidR="00AC2131" w:rsidRPr="0037176A" w:rsidRDefault="00AC2131" w:rsidP="00AC2131">
                  <w:pPr>
                    <w:pStyle w:val="TableBodyText"/>
                    <w:rPr>
                      <w:b/>
                      <w:i/>
                    </w:rPr>
                  </w:pPr>
                  <w:r w:rsidRPr="0037176A">
                    <w:t>-4627.7</w:t>
                  </w:r>
                </w:p>
              </w:tc>
              <w:tc>
                <w:tcPr>
                  <w:tcW w:w="634" w:type="pct"/>
                </w:tcPr>
                <w:p w:rsidR="00AC2131" w:rsidRPr="0037176A" w:rsidRDefault="00AC2131" w:rsidP="00AC2131">
                  <w:pPr>
                    <w:pStyle w:val="TableBodyText"/>
                    <w:rPr>
                      <w:b/>
                      <w:i/>
                    </w:rPr>
                  </w:pPr>
                  <w:r w:rsidRPr="0037176A">
                    <w:t>-4782.0</w:t>
                  </w:r>
                </w:p>
              </w:tc>
              <w:tc>
                <w:tcPr>
                  <w:tcW w:w="634" w:type="pct"/>
                </w:tcPr>
                <w:p w:rsidR="00AC2131" w:rsidRPr="0037176A" w:rsidRDefault="00AC2131" w:rsidP="00AC2131">
                  <w:pPr>
                    <w:pStyle w:val="TableBodyText"/>
                    <w:ind w:right="28"/>
                    <w:rPr>
                      <w:b/>
                      <w:i/>
                    </w:rPr>
                  </w:pPr>
                  <w:r w:rsidRPr="0037176A">
                    <w:t>-4928.3</w:t>
                  </w:r>
                </w:p>
              </w:tc>
            </w:tr>
            <w:tr w:rsidR="00AC2131" w:rsidRPr="00105AA7" w:rsidTr="00AC2131">
              <w:tc>
                <w:tcPr>
                  <w:tcW w:w="1195" w:type="pct"/>
                  <w:tcBorders>
                    <w:bottom w:val="single" w:sz="6" w:space="0" w:color="BFBFBF"/>
                  </w:tcBorders>
                  <w:shd w:val="clear" w:color="auto" w:fill="auto"/>
                </w:tcPr>
                <w:p w:rsidR="00AC2131" w:rsidRPr="00105AA7" w:rsidRDefault="00AC2131" w:rsidP="00AC2131">
                  <w:pPr>
                    <w:pStyle w:val="TableBodyText"/>
                    <w:jc w:val="left"/>
                    <w:rPr>
                      <w:b/>
                    </w:rPr>
                  </w:pPr>
                  <w:r w:rsidRPr="00105AA7">
                    <w:rPr>
                      <w:b/>
                    </w:rPr>
                    <w:t>Total</w:t>
                  </w:r>
                </w:p>
              </w:tc>
              <w:tc>
                <w:tcPr>
                  <w:tcW w:w="634" w:type="pct"/>
                  <w:tcBorders>
                    <w:bottom w:val="single" w:sz="6" w:space="0" w:color="BFBFBF"/>
                  </w:tcBorders>
                </w:tcPr>
                <w:p w:rsidR="00AC2131" w:rsidRPr="00105AA7" w:rsidRDefault="00AC2131" w:rsidP="00AC2131">
                  <w:pPr>
                    <w:pStyle w:val="TableBodyText"/>
                    <w:rPr>
                      <w:b/>
                    </w:rPr>
                  </w:pPr>
                  <w:r w:rsidRPr="00105AA7">
                    <w:rPr>
                      <w:b/>
                    </w:rPr>
                    <w:t>2219.3</w:t>
                  </w:r>
                </w:p>
              </w:tc>
              <w:tc>
                <w:tcPr>
                  <w:tcW w:w="634" w:type="pct"/>
                  <w:tcBorders>
                    <w:bottom w:val="single" w:sz="6" w:space="0" w:color="BFBFBF"/>
                  </w:tcBorders>
                </w:tcPr>
                <w:p w:rsidR="00AC2131" w:rsidRPr="00105AA7" w:rsidRDefault="00AC2131" w:rsidP="00AC2131">
                  <w:pPr>
                    <w:pStyle w:val="TableBodyText"/>
                    <w:rPr>
                      <w:b/>
                    </w:rPr>
                  </w:pPr>
                  <w:r w:rsidRPr="00105AA7">
                    <w:rPr>
                      <w:b/>
                    </w:rPr>
                    <w:t>1730.5</w:t>
                  </w:r>
                </w:p>
              </w:tc>
              <w:tc>
                <w:tcPr>
                  <w:tcW w:w="634" w:type="pct"/>
                  <w:tcBorders>
                    <w:bottom w:val="single" w:sz="6" w:space="0" w:color="BFBFBF"/>
                  </w:tcBorders>
                </w:tcPr>
                <w:p w:rsidR="00AC2131" w:rsidRPr="00105AA7" w:rsidRDefault="00AC2131" w:rsidP="00AC2131">
                  <w:pPr>
                    <w:pStyle w:val="TableBodyText"/>
                    <w:rPr>
                      <w:b/>
                      <w:i/>
                    </w:rPr>
                  </w:pPr>
                  <w:r w:rsidRPr="00105AA7">
                    <w:rPr>
                      <w:b/>
                    </w:rPr>
                    <w:t>1378.5</w:t>
                  </w:r>
                </w:p>
              </w:tc>
              <w:tc>
                <w:tcPr>
                  <w:tcW w:w="634" w:type="pct"/>
                  <w:tcBorders>
                    <w:bottom w:val="single" w:sz="6" w:space="0" w:color="BFBFBF"/>
                  </w:tcBorders>
                </w:tcPr>
                <w:p w:rsidR="00AC2131" w:rsidRPr="00105AA7" w:rsidRDefault="00AC2131" w:rsidP="00AC2131">
                  <w:pPr>
                    <w:pStyle w:val="TableBodyText"/>
                    <w:rPr>
                      <w:b/>
                      <w:i/>
                    </w:rPr>
                  </w:pPr>
                  <w:r w:rsidRPr="00105AA7">
                    <w:rPr>
                      <w:b/>
                    </w:rPr>
                    <w:t>1076.0</w:t>
                  </w:r>
                </w:p>
              </w:tc>
              <w:tc>
                <w:tcPr>
                  <w:tcW w:w="634" w:type="pct"/>
                  <w:tcBorders>
                    <w:bottom w:val="single" w:sz="6" w:space="0" w:color="BFBFBF"/>
                  </w:tcBorders>
                  <w:shd w:val="clear" w:color="auto" w:fill="auto"/>
                </w:tcPr>
                <w:p w:rsidR="00AC2131" w:rsidRPr="00105AA7" w:rsidRDefault="00AC2131" w:rsidP="00AC2131">
                  <w:pPr>
                    <w:pStyle w:val="TableBodyText"/>
                    <w:rPr>
                      <w:b/>
                      <w:i/>
                    </w:rPr>
                  </w:pPr>
                  <w:r w:rsidRPr="00105AA7">
                    <w:rPr>
                      <w:b/>
                    </w:rPr>
                    <w:t>706.1</w:t>
                  </w:r>
                </w:p>
              </w:tc>
              <w:tc>
                <w:tcPr>
                  <w:tcW w:w="634" w:type="pct"/>
                  <w:tcBorders>
                    <w:bottom w:val="single" w:sz="6" w:space="0" w:color="BFBFBF"/>
                  </w:tcBorders>
                  <w:shd w:val="clear" w:color="auto" w:fill="auto"/>
                </w:tcPr>
                <w:p w:rsidR="00AC2131" w:rsidRPr="00105AA7" w:rsidRDefault="00AC2131" w:rsidP="00AC2131">
                  <w:pPr>
                    <w:pStyle w:val="TableBodyText"/>
                    <w:ind w:right="28"/>
                    <w:rPr>
                      <w:b/>
                      <w:i/>
                    </w:rPr>
                  </w:pPr>
                  <w:r w:rsidRPr="00105AA7">
                    <w:rPr>
                      <w:b/>
                    </w:rPr>
                    <w:t>598.5</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sidRPr="008E77FE">
              <w:rPr>
                <w:rStyle w:val="NoteLabel"/>
              </w:rPr>
              <w:t>a</w:t>
            </w:r>
            <w:r>
              <w:t> </w:t>
            </w:r>
            <w:r w:rsidRPr="00D1627A">
              <w:t>Nominal tariff assistance estimates are derived by re-indexing a reference series based on 2008</w:t>
            </w:r>
            <w:r>
              <w:noBreakHyphen/>
            </w:r>
            <w:r w:rsidRPr="00D1627A">
              <w:t>09 ABS input-output data, using ABS Industry Gross Value Added and supporting data at current prices for all industries except Mining. For Mining, in order to abstract from the effects of terms of trade changes, the estimates are re-indexed using the ABS Industry Gross Value Added, chain volume measures. This information is subject to periodic revision by the ABS.</w:t>
            </w:r>
            <w:r>
              <w:t xml:space="preserve"> </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5.</w:t>
            </w:r>
            <w:r>
              <w:rPr>
                <w:b w:val="0"/>
                <w:noProof/>
              </w:rPr>
              <w:t>3</w:t>
            </w:r>
            <w:r>
              <w:tab/>
              <w:t>Net tariff assistance by industry sector, 2013</w:t>
            </w:r>
            <w:r>
              <w:noBreakHyphen/>
              <w:t>14</w:t>
            </w:r>
          </w:p>
          <w:p w:rsidR="00AC2131" w:rsidRPr="00176D3F" w:rsidRDefault="00AC2131" w:rsidP="00AC2131">
            <w:pPr>
              <w:pStyle w:val="Subtitle"/>
            </w:pPr>
            <w:r>
              <w:t>$ billion (nominal)</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Default="00AC2131" w:rsidP="00AC2131">
                  <w:pPr>
                    <w:pStyle w:val="Figure"/>
                    <w:spacing w:before="60" w:after="60"/>
                    <w:rPr>
                      <w:noProof/>
                    </w:rPr>
                  </w:pPr>
                  <w:r>
                    <w:rPr>
                      <w:noProof/>
                    </w:rPr>
                    <w:drawing>
                      <wp:inline distT="0" distB="0" distL="0" distR="0" wp14:anchorId="4F8041AB" wp14:editId="06640DF9">
                        <wp:extent cx="5400675" cy="2876550"/>
                        <wp:effectExtent l="0" t="0" r="9525" b="0"/>
                        <wp:docPr id="25" name="Picture 25" descr="Figure 5.3 presents net tariff assistance by industry sector for 2013-14.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 xml:space="preserve">Commission estimates. </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br w:type="page"/>
      </w:r>
    </w:p>
    <w:p w:rsidR="00AC2131" w:rsidRDefault="00AC2131" w:rsidP="00AC2131">
      <w:pPr>
        <w:pStyle w:val="BodyText"/>
      </w:pPr>
      <w:r>
        <w:lastRenderedPageBreak/>
        <w:t>T</w:t>
      </w:r>
      <w:r w:rsidRPr="004B655B">
        <w:t>he value of tariff assistance to primary production has trended higher over the period</w:t>
      </w:r>
      <w:r>
        <w:t xml:space="preserve">. While there has been </w:t>
      </w:r>
      <w:r w:rsidRPr="004B655B">
        <w:t xml:space="preserve">year-to-year changes in the value of activity in the sector, the </w:t>
      </w:r>
      <w:r>
        <w:t xml:space="preserve">upward trend has occurred as the </w:t>
      </w:r>
      <w:r w:rsidRPr="0050337F">
        <w:rPr>
          <w:i/>
        </w:rPr>
        <w:t>Horticulture and fruit growing</w:t>
      </w:r>
      <w:r w:rsidRPr="004B655B">
        <w:t xml:space="preserve"> and </w:t>
      </w:r>
      <w:r w:rsidRPr="0050337F">
        <w:rPr>
          <w:i/>
        </w:rPr>
        <w:t>Forestry and logging</w:t>
      </w:r>
      <w:r w:rsidRPr="004B655B">
        <w:t xml:space="preserve"> industries </w:t>
      </w:r>
      <w:r>
        <w:t>(</w:t>
      </w:r>
      <w:r w:rsidRPr="004B655B">
        <w:t>industries that receive positive net tariff assistance</w:t>
      </w:r>
      <w:r>
        <w:t>)</w:t>
      </w:r>
      <w:r w:rsidRPr="004B655B">
        <w:t xml:space="preserve"> have grown more in absolute terms than other primary production industries </w:t>
      </w:r>
      <w:r>
        <w:t>(</w:t>
      </w:r>
      <w:r w:rsidRPr="004B655B">
        <w:t>industries that, as a group, incur negative net tariff assistance</w:t>
      </w:r>
      <w:r>
        <w:t>)</w:t>
      </w:r>
      <w:r w:rsidRPr="004B655B">
        <w:t>.</w:t>
      </w:r>
      <w:r>
        <w:t xml:space="preserve"> </w:t>
      </w:r>
    </w:p>
    <w:p w:rsidR="00AC2131" w:rsidRDefault="00AC2131" w:rsidP="00AC2131">
      <w:pPr>
        <w:pStyle w:val="Heading3"/>
      </w:pPr>
      <w:r>
        <w:t>Tariff assistance by industry grouping</w:t>
      </w:r>
    </w:p>
    <w:p w:rsidR="00AC2131" w:rsidRPr="00DE1649" w:rsidRDefault="00AC2131" w:rsidP="00AC2131">
      <w:pPr>
        <w:pStyle w:val="BodyText"/>
        <w:rPr>
          <w:spacing w:val="-2"/>
        </w:rPr>
      </w:pPr>
      <w:r w:rsidRPr="00DE1649">
        <w:rPr>
          <w:spacing w:val="-2"/>
        </w:rPr>
        <w:t xml:space="preserve">Most tariff assistance, by value, on outputs is directed towards the manufacturing sector, and in particular the </w:t>
      </w:r>
      <w:r w:rsidRPr="00DE1649">
        <w:rPr>
          <w:i/>
          <w:spacing w:val="-2"/>
        </w:rPr>
        <w:t>Food, beverages and tobacco</w:t>
      </w:r>
      <w:r w:rsidRPr="00DE1649">
        <w:rPr>
          <w:spacing w:val="-2"/>
        </w:rPr>
        <w:t xml:space="preserve"> ($1.9 billion), </w:t>
      </w:r>
      <w:r w:rsidRPr="00DE1649">
        <w:rPr>
          <w:i/>
          <w:spacing w:val="-2"/>
        </w:rPr>
        <w:t>Metal and fabricated metal products</w:t>
      </w:r>
      <w:r w:rsidRPr="00DE1649">
        <w:rPr>
          <w:spacing w:val="-2"/>
        </w:rPr>
        <w:t xml:space="preserve"> ($1.7 billion), </w:t>
      </w:r>
      <w:r w:rsidRPr="00DE1649">
        <w:rPr>
          <w:i/>
          <w:spacing w:val="-2"/>
        </w:rPr>
        <w:t>Petroleum, coal, chemical and rubber products</w:t>
      </w:r>
      <w:r w:rsidRPr="00DE1649">
        <w:rPr>
          <w:spacing w:val="-2"/>
        </w:rPr>
        <w:t xml:space="preserve"> ($0.9 billion), and </w:t>
      </w:r>
      <w:r w:rsidRPr="00DE1649">
        <w:rPr>
          <w:i/>
          <w:spacing w:val="-2"/>
        </w:rPr>
        <w:t>Motor vehicles and parts</w:t>
      </w:r>
      <w:r w:rsidRPr="00DE1649">
        <w:rPr>
          <w:spacing w:val="-2"/>
        </w:rPr>
        <w:t xml:space="preserve"> ($0.8 billion) industry groups (table 5.3, left hand column). </w:t>
      </w:r>
    </w:p>
    <w:p w:rsidR="00AC2131" w:rsidRDefault="00AC2131">
      <w:pPr>
        <w:pStyle w:val="BodyText"/>
      </w:pPr>
      <w:r>
        <w:t xml:space="preserve">Mining and primary production industries receive little tariff assistance on outputs, and tariffs are not levied on services. On the other hand, tariffs impose input-cost penalties on all industries (because of their cost-raising effects on inputs) (table 5.3, middle column). Around two thirds of the input penalty on tariffs is incurred by services industries. </w:t>
      </w:r>
    </w:p>
    <w:p w:rsidR="00AC2131" w:rsidRDefault="00AC2131">
      <w:pPr>
        <w:pStyle w:val="BodyText"/>
      </w:pPr>
      <w:r>
        <w:t xml:space="preserve">All manufacturing industries are estimated to receive positive net tariff assistance, as the value of tariff assistance on outputs outweighs the cost impost of tariffs on inputs for each industry group (table 5.3, right hand column). </w:t>
      </w:r>
    </w:p>
    <w:p w:rsidR="00AC2131" w:rsidRDefault="00AC2131">
      <w:pPr>
        <w:pStyle w:val="BodyText"/>
      </w:pPr>
      <w:r>
        <w:t xml:space="preserve">Outside the manufacturing sector, the </w:t>
      </w:r>
      <w:r w:rsidRPr="00856E6B">
        <w:rPr>
          <w:i/>
        </w:rPr>
        <w:t>Horticulture and fruit growing</w:t>
      </w:r>
      <w:r>
        <w:t xml:space="preserve"> and </w:t>
      </w:r>
      <w:r w:rsidRPr="00856E6B">
        <w:rPr>
          <w:i/>
        </w:rPr>
        <w:t>Forestry and logging</w:t>
      </w:r>
      <w:r>
        <w:t xml:space="preserve"> industries are also estimated to have received positive net tariff assistance in 2013</w:t>
      </w:r>
      <w:r>
        <w:noBreakHyphen/>
        <w:t>14. This reflects the incidence of the 5 per cent general tariff on certain imports such as grapes and</w:t>
      </w:r>
      <w:r w:rsidRPr="00E93241">
        <w:t xml:space="preserve"> softwood </w:t>
      </w:r>
      <w:r>
        <w:t xml:space="preserve">conifers which affords protection to local producers of these import competing products. </w:t>
      </w:r>
    </w:p>
    <w:p w:rsidR="00AC2131" w:rsidRDefault="00AC2131">
      <w:pPr>
        <w:pStyle w:val="BodyText"/>
      </w:pPr>
      <w:r>
        <w:t xml:space="preserve">The </w:t>
      </w:r>
      <w:r w:rsidRPr="00D804E5">
        <w:rPr>
          <w:i/>
        </w:rPr>
        <w:t>Mining</w:t>
      </w:r>
      <w:r>
        <w:t xml:space="preserve"> industry together with all of the services industries (and most primary production industries) incurred negative net tariff assistance in 2013</w:t>
      </w:r>
      <w:r>
        <w:noBreakHyphen/>
        <w:t xml:space="preserve">14. </w:t>
      </w:r>
    </w:p>
    <w:p w:rsidR="00AC2131" w:rsidRDefault="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pPr>
              <w:pStyle w:val="TableTitle"/>
            </w:pPr>
            <w:r>
              <w:rPr>
                <w:b w:val="0"/>
              </w:rPr>
              <w:t xml:space="preserve">Table </w:t>
            </w:r>
            <w:bookmarkStart w:id="8" w:name="OLE_LINK8"/>
            <w:r>
              <w:rPr>
                <w:b w:val="0"/>
              </w:rPr>
              <w:t>5.</w:t>
            </w:r>
            <w:r>
              <w:rPr>
                <w:b w:val="0"/>
                <w:noProof/>
              </w:rPr>
              <w:t>3</w:t>
            </w:r>
            <w:bookmarkEnd w:id="8"/>
            <w:r>
              <w:tab/>
              <w:t>Tariff assistance by industry grouping, 2013</w:t>
            </w:r>
            <w:r>
              <w:noBreakHyphen/>
              <w:t>14</w:t>
            </w:r>
            <w:r w:rsidRPr="00DE1649">
              <w:rPr>
                <w:rStyle w:val="NoteLabel"/>
              </w:rPr>
              <w:t>a,b</w:t>
            </w:r>
          </w:p>
          <w:p w:rsidR="00AC2131" w:rsidRPr="00784A05" w:rsidRDefault="00AC2131">
            <w:pPr>
              <w:pStyle w:val="Subtitle"/>
            </w:pPr>
            <w:r>
              <w:t>$ million (nominal)</w:t>
            </w:r>
          </w:p>
        </w:tc>
      </w:tr>
      <w:tr w:rsidR="00AC2131" w:rsidTr="00AC2131">
        <w:trPr>
          <w:cantSplit/>
        </w:trPr>
        <w:tc>
          <w:tcPr>
            <w:tcW w:w="8771" w:type="dxa"/>
            <w:tcBorders>
              <w:top w:val="nil"/>
              <w:left w:val="nil"/>
              <w:bottom w:val="nil"/>
              <w:right w:val="nil"/>
            </w:tcBorders>
            <w:shd w:val="clear" w:color="auto" w:fill="auto"/>
          </w:tcPr>
          <w:tbl>
            <w:tblPr>
              <w:tblW w:w="8481" w:type="dxa"/>
              <w:tblCellMar>
                <w:top w:w="28" w:type="dxa"/>
                <w:left w:w="0" w:type="dxa"/>
                <w:right w:w="0" w:type="dxa"/>
              </w:tblCellMar>
              <w:tblLook w:val="0000" w:firstRow="0" w:lastRow="0" w:firstColumn="0" w:lastColumn="0" w:noHBand="0" w:noVBand="0"/>
            </w:tblPr>
            <w:tblGrid>
              <w:gridCol w:w="4235"/>
              <w:gridCol w:w="1415"/>
              <w:gridCol w:w="1415"/>
              <w:gridCol w:w="1416"/>
            </w:tblGrid>
            <w:tr w:rsidR="00AC2131" w:rsidTr="00AC2131">
              <w:tc>
                <w:tcPr>
                  <w:tcW w:w="249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spacing w:before="60" w:after="60"/>
                    <w:jc w:val="left"/>
                  </w:pPr>
                  <w:r>
                    <w:t>Industry grouping</w:t>
                  </w:r>
                </w:p>
              </w:tc>
              <w:tc>
                <w:tcPr>
                  <w:tcW w:w="834" w:type="pct"/>
                  <w:tcBorders>
                    <w:top w:val="single" w:sz="6" w:space="0" w:color="BFBFBF"/>
                    <w:bottom w:val="single" w:sz="6" w:space="0" w:color="BFBFBF"/>
                  </w:tcBorders>
                </w:tcPr>
                <w:p w:rsidR="00AC2131" w:rsidRDefault="00AC2131" w:rsidP="00AC2131">
                  <w:pPr>
                    <w:pStyle w:val="TableColumnHeading"/>
                    <w:spacing w:before="60" w:after="60"/>
                  </w:pPr>
                  <w:r>
                    <w:t>Output assistance</w:t>
                  </w:r>
                </w:p>
              </w:tc>
              <w:tc>
                <w:tcPr>
                  <w:tcW w:w="834" w:type="pct"/>
                  <w:tcBorders>
                    <w:top w:val="single" w:sz="6" w:space="0" w:color="BFBFBF"/>
                    <w:bottom w:val="single" w:sz="6" w:space="0" w:color="BFBFBF"/>
                  </w:tcBorders>
                  <w:shd w:val="clear" w:color="auto" w:fill="auto"/>
                  <w:tcMar>
                    <w:top w:w="28" w:type="dxa"/>
                  </w:tcMar>
                </w:tcPr>
                <w:p w:rsidR="00AC2131" w:rsidRDefault="00AC2131">
                  <w:pPr>
                    <w:pStyle w:val="TableColumnHeading"/>
                    <w:spacing w:before="60" w:after="60"/>
                  </w:pPr>
                  <w:r>
                    <w:t>Input cost penalty</w:t>
                  </w:r>
                </w:p>
              </w:tc>
              <w:tc>
                <w:tcPr>
                  <w:tcW w:w="835" w:type="pct"/>
                  <w:tcBorders>
                    <w:top w:val="single" w:sz="6" w:space="0" w:color="BFBFBF"/>
                    <w:bottom w:val="single" w:sz="6" w:space="0" w:color="BFBFBF"/>
                  </w:tcBorders>
                  <w:shd w:val="clear" w:color="auto" w:fill="auto"/>
                  <w:tcMar>
                    <w:top w:w="28" w:type="dxa"/>
                  </w:tcMar>
                </w:tcPr>
                <w:p w:rsidR="00AC2131" w:rsidRDefault="00AC2131">
                  <w:pPr>
                    <w:pStyle w:val="TableColumnHeading"/>
                    <w:spacing w:before="60" w:after="60"/>
                    <w:ind w:right="28"/>
                  </w:pPr>
                  <w:r>
                    <w:t>Net tariff assistance</w:t>
                  </w:r>
                </w:p>
              </w:tc>
            </w:tr>
            <w:tr w:rsidR="00AC2131" w:rsidRPr="006F5146" w:rsidTr="00AC2131">
              <w:tc>
                <w:tcPr>
                  <w:tcW w:w="2497" w:type="pct"/>
                </w:tcPr>
                <w:p w:rsidR="00AC2131" w:rsidRPr="006F5146" w:rsidRDefault="00AC2131" w:rsidP="00AC2131">
                  <w:pPr>
                    <w:pStyle w:val="TableBodyText"/>
                    <w:spacing w:before="60" w:after="30"/>
                    <w:jc w:val="left"/>
                    <w:rPr>
                      <w:b/>
                    </w:rPr>
                  </w:pPr>
                  <w:r w:rsidRPr="006F5146">
                    <w:rPr>
                      <w:b/>
                    </w:rPr>
                    <w:t>Primary production</w:t>
                  </w:r>
                </w:p>
              </w:tc>
              <w:tc>
                <w:tcPr>
                  <w:tcW w:w="834" w:type="pct"/>
                </w:tcPr>
                <w:p w:rsidR="00AC2131" w:rsidRPr="006F5146" w:rsidRDefault="00AC2131" w:rsidP="00AC2131">
                  <w:pPr>
                    <w:pStyle w:val="TableBodyText"/>
                    <w:spacing w:before="60" w:after="30"/>
                    <w:rPr>
                      <w:b/>
                    </w:rPr>
                  </w:pPr>
                  <w:r w:rsidRPr="006F5146">
                    <w:rPr>
                      <w:b/>
                    </w:rPr>
                    <w:t>314.4</w:t>
                  </w:r>
                </w:p>
              </w:tc>
              <w:tc>
                <w:tcPr>
                  <w:tcW w:w="834" w:type="pct"/>
                </w:tcPr>
                <w:p w:rsidR="00AC2131" w:rsidRPr="006F5146" w:rsidRDefault="00AC2131" w:rsidP="00AC2131">
                  <w:pPr>
                    <w:pStyle w:val="TableBodyText"/>
                    <w:spacing w:before="60" w:after="30"/>
                    <w:rPr>
                      <w:b/>
                      <w:i/>
                    </w:rPr>
                  </w:pPr>
                  <w:r w:rsidRPr="006F5146">
                    <w:rPr>
                      <w:b/>
                    </w:rPr>
                    <w:t>-86.3</w:t>
                  </w:r>
                </w:p>
              </w:tc>
              <w:tc>
                <w:tcPr>
                  <w:tcW w:w="835" w:type="pct"/>
                </w:tcPr>
                <w:p w:rsidR="00AC2131" w:rsidRPr="006F5146" w:rsidRDefault="00AC2131" w:rsidP="00AC2131">
                  <w:pPr>
                    <w:pStyle w:val="TableBodyText"/>
                    <w:spacing w:before="60" w:after="30"/>
                    <w:ind w:right="28"/>
                    <w:rPr>
                      <w:b/>
                      <w:i/>
                    </w:rPr>
                  </w:pPr>
                  <w:r w:rsidRPr="006F5146">
                    <w:rPr>
                      <w:b/>
                    </w:rPr>
                    <w:t>228.1</w:t>
                  </w:r>
                </w:p>
              </w:tc>
            </w:tr>
            <w:tr w:rsidR="00AC2131" w:rsidTr="00AC2131">
              <w:tc>
                <w:tcPr>
                  <w:tcW w:w="2497" w:type="pct"/>
                </w:tcPr>
                <w:p w:rsidR="00AC2131" w:rsidRPr="00DA0DC5" w:rsidRDefault="00AC2131" w:rsidP="00AC2131">
                  <w:pPr>
                    <w:pStyle w:val="TableBodyText"/>
                    <w:spacing w:after="25"/>
                    <w:jc w:val="left"/>
                  </w:pPr>
                  <w:r w:rsidRPr="00DA0DC5">
                    <w:t>Horticulture and fruit growing</w:t>
                  </w:r>
                </w:p>
              </w:tc>
              <w:tc>
                <w:tcPr>
                  <w:tcW w:w="834" w:type="pct"/>
                </w:tcPr>
                <w:p w:rsidR="00AC2131" w:rsidRPr="003A17E4" w:rsidRDefault="00AC2131" w:rsidP="00AC2131">
                  <w:pPr>
                    <w:pStyle w:val="TableBodyText"/>
                    <w:spacing w:after="25"/>
                  </w:pPr>
                  <w:r w:rsidRPr="003A17E4">
                    <w:t>251.1</w:t>
                  </w:r>
                </w:p>
              </w:tc>
              <w:tc>
                <w:tcPr>
                  <w:tcW w:w="834" w:type="pct"/>
                </w:tcPr>
                <w:p w:rsidR="00AC2131" w:rsidRPr="003A17E4" w:rsidRDefault="00AC2131" w:rsidP="00AC2131">
                  <w:pPr>
                    <w:pStyle w:val="TableBodyText"/>
                    <w:spacing w:after="25"/>
                    <w:rPr>
                      <w:b/>
                      <w:i/>
                    </w:rPr>
                  </w:pPr>
                  <w:r w:rsidRPr="003A17E4">
                    <w:t>-13.7</w:t>
                  </w:r>
                </w:p>
              </w:tc>
              <w:tc>
                <w:tcPr>
                  <w:tcW w:w="835" w:type="pct"/>
                </w:tcPr>
                <w:p w:rsidR="00AC2131" w:rsidRPr="003A17E4" w:rsidRDefault="00AC2131" w:rsidP="00AC2131">
                  <w:pPr>
                    <w:pStyle w:val="TableBodyText"/>
                    <w:spacing w:after="25"/>
                    <w:ind w:right="28"/>
                    <w:rPr>
                      <w:b/>
                      <w:i/>
                    </w:rPr>
                  </w:pPr>
                  <w:r w:rsidRPr="003A17E4">
                    <w:t>237.4</w:t>
                  </w:r>
                </w:p>
              </w:tc>
            </w:tr>
            <w:tr w:rsidR="00AC2131" w:rsidTr="00AC2131">
              <w:tc>
                <w:tcPr>
                  <w:tcW w:w="2497" w:type="pct"/>
                </w:tcPr>
                <w:p w:rsidR="00AC2131" w:rsidRPr="00DA0DC5" w:rsidRDefault="00AC2131" w:rsidP="00AC2131">
                  <w:pPr>
                    <w:pStyle w:val="TableBodyText"/>
                    <w:spacing w:after="25"/>
                    <w:jc w:val="left"/>
                  </w:pPr>
                  <w:r w:rsidRPr="00DA0DC5">
                    <w:t>Sheep, beef cattle and grain farming</w:t>
                  </w:r>
                </w:p>
              </w:tc>
              <w:tc>
                <w:tcPr>
                  <w:tcW w:w="834" w:type="pct"/>
                </w:tcPr>
                <w:p w:rsidR="00AC2131" w:rsidRPr="003A17E4" w:rsidRDefault="00AC2131" w:rsidP="00AC2131">
                  <w:pPr>
                    <w:pStyle w:val="TableBodyText"/>
                    <w:spacing w:after="25"/>
                  </w:pPr>
                  <w:r w:rsidRPr="003A17E4">
                    <w:t>0.2</w:t>
                  </w:r>
                </w:p>
              </w:tc>
              <w:tc>
                <w:tcPr>
                  <w:tcW w:w="834" w:type="pct"/>
                </w:tcPr>
                <w:p w:rsidR="00AC2131" w:rsidRPr="003A17E4" w:rsidRDefault="00AC2131" w:rsidP="00AC2131">
                  <w:pPr>
                    <w:pStyle w:val="TableBodyText"/>
                    <w:spacing w:after="25"/>
                    <w:rPr>
                      <w:b/>
                      <w:i/>
                    </w:rPr>
                  </w:pPr>
                  <w:r w:rsidRPr="003A17E4">
                    <w:t>-16.0</w:t>
                  </w:r>
                </w:p>
              </w:tc>
              <w:tc>
                <w:tcPr>
                  <w:tcW w:w="835" w:type="pct"/>
                </w:tcPr>
                <w:p w:rsidR="00AC2131" w:rsidRPr="003A17E4" w:rsidRDefault="00AC2131" w:rsidP="00AC2131">
                  <w:pPr>
                    <w:pStyle w:val="TableBodyText"/>
                    <w:spacing w:after="25"/>
                    <w:ind w:right="28"/>
                    <w:rPr>
                      <w:b/>
                      <w:i/>
                    </w:rPr>
                  </w:pPr>
                  <w:r w:rsidRPr="003A17E4">
                    <w:t>-15.8</w:t>
                  </w:r>
                </w:p>
              </w:tc>
            </w:tr>
            <w:tr w:rsidR="00AC2131" w:rsidTr="00AC2131">
              <w:tc>
                <w:tcPr>
                  <w:tcW w:w="2497" w:type="pct"/>
                </w:tcPr>
                <w:p w:rsidR="00AC2131" w:rsidRPr="00DA0DC5" w:rsidRDefault="00AC2131" w:rsidP="00AC2131">
                  <w:pPr>
                    <w:pStyle w:val="TableBodyText"/>
                    <w:spacing w:after="25"/>
                    <w:jc w:val="left"/>
                  </w:pPr>
                  <w:r w:rsidRPr="00DA0DC5">
                    <w:t>Other crop growing</w:t>
                  </w:r>
                </w:p>
              </w:tc>
              <w:tc>
                <w:tcPr>
                  <w:tcW w:w="834" w:type="pct"/>
                </w:tcPr>
                <w:p w:rsidR="00AC2131" w:rsidRPr="003A17E4" w:rsidRDefault="00AC2131" w:rsidP="00AC2131">
                  <w:pPr>
                    <w:pStyle w:val="TableBodyText"/>
                    <w:spacing w:after="25"/>
                  </w:pPr>
                  <w:r w:rsidRPr="003A17E4">
                    <w:t>2.4</w:t>
                  </w:r>
                </w:p>
              </w:tc>
              <w:tc>
                <w:tcPr>
                  <w:tcW w:w="834" w:type="pct"/>
                </w:tcPr>
                <w:p w:rsidR="00AC2131" w:rsidRPr="003A17E4" w:rsidRDefault="00AC2131" w:rsidP="00AC2131">
                  <w:pPr>
                    <w:pStyle w:val="TableBodyText"/>
                    <w:spacing w:after="25"/>
                    <w:rPr>
                      <w:b/>
                      <w:i/>
                    </w:rPr>
                  </w:pPr>
                  <w:r w:rsidRPr="003A17E4">
                    <w:t>-4.6</w:t>
                  </w:r>
                </w:p>
              </w:tc>
              <w:tc>
                <w:tcPr>
                  <w:tcW w:w="835" w:type="pct"/>
                </w:tcPr>
                <w:p w:rsidR="00AC2131" w:rsidRPr="003A17E4" w:rsidRDefault="00AC2131" w:rsidP="00AC2131">
                  <w:pPr>
                    <w:pStyle w:val="TableBodyText"/>
                    <w:spacing w:after="25"/>
                    <w:ind w:right="28"/>
                    <w:rPr>
                      <w:b/>
                      <w:i/>
                    </w:rPr>
                  </w:pPr>
                  <w:r w:rsidRPr="003A17E4">
                    <w:t>-2.2</w:t>
                  </w:r>
                </w:p>
              </w:tc>
            </w:tr>
            <w:tr w:rsidR="00AC2131" w:rsidTr="00AC2131">
              <w:tc>
                <w:tcPr>
                  <w:tcW w:w="2497" w:type="pct"/>
                </w:tcPr>
                <w:p w:rsidR="00AC2131" w:rsidRPr="00DA0DC5" w:rsidRDefault="00AC2131" w:rsidP="00AC2131">
                  <w:pPr>
                    <w:pStyle w:val="TableBodyText"/>
                    <w:spacing w:after="25"/>
                    <w:jc w:val="left"/>
                  </w:pPr>
                  <w:r w:rsidRPr="00DA0DC5">
                    <w:t>Dairy cattle farming</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-2.7</w:t>
                  </w:r>
                </w:p>
              </w:tc>
              <w:tc>
                <w:tcPr>
                  <w:tcW w:w="835" w:type="pct"/>
                </w:tcPr>
                <w:p w:rsidR="00AC2131" w:rsidRPr="003A17E4" w:rsidRDefault="00AC2131" w:rsidP="00AC2131">
                  <w:pPr>
                    <w:pStyle w:val="TableBodyText"/>
                    <w:spacing w:after="25"/>
                    <w:ind w:right="28"/>
                    <w:rPr>
                      <w:b/>
                      <w:i/>
                    </w:rPr>
                  </w:pPr>
                  <w:r w:rsidRPr="003A17E4">
                    <w:t>-2.7</w:t>
                  </w:r>
                </w:p>
              </w:tc>
            </w:tr>
            <w:tr w:rsidR="00AC2131" w:rsidTr="00AC2131">
              <w:tc>
                <w:tcPr>
                  <w:tcW w:w="2497" w:type="pct"/>
                </w:tcPr>
                <w:p w:rsidR="00AC2131" w:rsidRPr="00DA0DC5" w:rsidRDefault="00AC2131" w:rsidP="00AC2131">
                  <w:pPr>
                    <w:pStyle w:val="TableBodyText"/>
                    <w:spacing w:after="25"/>
                    <w:jc w:val="left"/>
                  </w:pPr>
                  <w:r w:rsidRPr="00DA0DC5">
                    <w:t>Other livestock farming</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-4.4</w:t>
                  </w:r>
                </w:p>
              </w:tc>
              <w:tc>
                <w:tcPr>
                  <w:tcW w:w="835" w:type="pct"/>
                </w:tcPr>
                <w:p w:rsidR="00AC2131" w:rsidRPr="003A17E4" w:rsidRDefault="00AC2131" w:rsidP="00AC2131">
                  <w:pPr>
                    <w:pStyle w:val="TableBodyText"/>
                    <w:spacing w:after="25"/>
                    <w:ind w:right="28"/>
                    <w:rPr>
                      <w:b/>
                      <w:i/>
                    </w:rPr>
                  </w:pPr>
                  <w:r w:rsidRPr="003A17E4">
                    <w:t>-4.4</w:t>
                  </w:r>
                </w:p>
              </w:tc>
            </w:tr>
            <w:tr w:rsidR="00AC2131" w:rsidTr="00AC2131">
              <w:tc>
                <w:tcPr>
                  <w:tcW w:w="2497" w:type="pct"/>
                </w:tcPr>
                <w:p w:rsidR="00AC2131" w:rsidRPr="00DA0DC5" w:rsidRDefault="00AC2131" w:rsidP="00AC2131">
                  <w:pPr>
                    <w:pStyle w:val="TableBodyText"/>
                    <w:spacing w:after="25"/>
                    <w:jc w:val="left"/>
                  </w:pPr>
                  <w:r w:rsidRPr="00DA0DC5">
                    <w:t>Aquaculture and fishing</w:t>
                  </w:r>
                </w:p>
              </w:tc>
              <w:tc>
                <w:tcPr>
                  <w:tcW w:w="834" w:type="pct"/>
                </w:tcPr>
                <w:p w:rsidR="00AC2131" w:rsidRPr="003A17E4" w:rsidRDefault="00AC2131" w:rsidP="00AC2131">
                  <w:pPr>
                    <w:pStyle w:val="TableBodyText"/>
                    <w:spacing w:after="25"/>
                  </w:pPr>
                  <w:r w:rsidRPr="003A17E4">
                    <w:t>1.0</w:t>
                  </w:r>
                </w:p>
              </w:tc>
              <w:tc>
                <w:tcPr>
                  <w:tcW w:w="834" w:type="pct"/>
                </w:tcPr>
                <w:p w:rsidR="00AC2131" w:rsidRPr="003A17E4" w:rsidRDefault="00AC2131" w:rsidP="00AC2131">
                  <w:pPr>
                    <w:pStyle w:val="TableBodyText"/>
                    <w:spacing w:after="25"/>
                    <w:rPr>
                      <w:b/>
                      <w:i/>
                    </w:rPr>
                  </w:pPr>
                  <w:r w:rsidRPr="003A17E4">
                    <w:t>-14.9</w:t>
                  </w:r>
                </w:p>
              </w:tc>
              <w:tc>
                <w:tcPr>
                  <w:tcW w:w="835" w:type="pct"/>
                </w:tcPr>
                <w:p w:rsidR="00AC2131" w:rsidRPr="003A17E4" w:rsidRDefault="00AC2131" w:rsidP="00AC2131">
                  <w:pPr>
                    <w:pStyle w:val="TableBodyText"/>
                    <w:spacing w:after="25"/>
                    <w:ind w:right="28"/>
                    <w:rPr>
                      <w:b/>
                      <w:i/>
                    </w:rPr>
                  </w:pPr>
                  <w:r w:rsidRPr="003A17E4">
                    <w:t>-14.0</w:t>
                  </w:r>
                </w:p>
              </w:tc>
            </w:tr>
            <w:tr w:rsidR="00AC2131" w:rsidTr="00AC2131">
              <w:tc>
                <w:tcPr>
                  <w:tcW w:w="2497" w:type="pct"/>
                </w:tcPr>
                <w:p w:rsidR="00AC2131" w:rsidRPr="00DA0DC5" w:rsidRDefault="00AC2131" w:rsidP="00AC2131">
                  <w:pPr>
                    <w:pStyle w:val="TableBodyText"/>
                    <w:spacing w:after="25"/>
                    <w:jc w:val="left"/>
                  </w:pPr>
                  <w:r w:rsidRPr="00DA0DC5">
                    <w:t>Forestry and logging</w:t>
                  </w:r>
                </w:p>
              </w:tc>
              <w:tc>
                <w:tcPr>
                  <w:tcW w:w="834" w:type="pct"/>
                </w:tcPr>
                <w:p w:rsidR="00AC2131" w:rsidRPr="003A17E4" w:rsidRDefault="00AC2131" w:rsidP="00AC2131">
                  <w:pPr>
                    <w:pStyle w:val="TableBodyText"/>
                    <w:spacing w:after="25"/>
                  </w:pPr>
                  <w:r w:rsidRPr="003A17E4">
                    <w:t>59.8</w:t>
                  </w:r>
                </w:p>
              </w:tc>
              <w:tc>
                <w:tcPr>
                  <w:tcW w:w="834" w:type="pct"/>
                </w:tcPr>
                <w:p w:rsidR="00AC2131" w:rsidRPr="003A17E4" w:rsidRDefault="00AC2131" w:rsidP="00AC2131">
                  <w:pPr>
                    <w:pStyle w:val="TableBodyText"/>
                    <w:spacing w:after="25"/>
                    <w:rPr>
                      <w:b/>
                      <w:i/>
                    </w:rPr>
                  </w:pPr>
                  <w:r w:rsidRPr="003A17E4">
                    <w:t>-11.8</w:t>
                  </w:r>
                </w:p>
              </w:tc>
              <w:tc>
                <w:tcPr>
                  <w:tcW w:w="835" w:type="pct"/>
                </w:tcPr>
                <w:p w:rsidR="00AC2131" w:rsidRPr="003A17E4" w:rsidRDefault="00AC2131" w:rsidP="00AC2131">
                  <w:pPr>
                    <w:pStyle w:val="TableBodyText"/>
                    <w:spacing w:after="25"/>
                    <w:ind w:right="28"/>
                    <w:rPr>
                      <w:b/>
                      <w:i/>
                    </w:rPr>
                  </w:pPr>
                  <w:r w:rsidRPr="003A17E4">
                    <w:t>47.9</w:t>
                  </w:r>
                </w:p>
              </w:tc>
            </w:tr>
            <w:tr w:rsidR="00AC2131" w:rsidTr="00AC2131">
              <w:tc>
                <w:tcPr>
                  <w:tcW w:w="2497" w:type="pct"/>
                </w:tcPr>
                <w:p w:rsidR="00AC2131" w:rsidRPr="00DA0DC5" w:rsidRDefault="00AC2131" w:rsidP="00AC2131">
                  <w:pPr>
                    <w:pStyle w:val="TableBodyText"/>
                    <w:spacing w:after="25"/>
                    <w:jc w:val="left"/>
                  </w:pPr>
                  <w:r w:rsidRPr="00DA0DC5">
                    <w:t>Primary production support services</w:t>
                  </w:r>
                </w:p>
              </w:tc>
              <w:tc>
                <w:tcPr>
                  <w:tcW w:w="834" w:type="pct"/>
                </w:tcPr>
                <w:p w:rsidR="00AC2131" w:rsidRPr="003A17E4" w:rsidRDefault="00AC2131" w:rsidP="00AC2131">
                  <w:pPr>
                    <w:pStyle w:val="TableBodyText"/>
                    <w:spacing w:after="25"/>
                  </w:pPr>
                  <w:r w:rsidRPr="003A17E4">
                    <w:t>0.0</w:t>
                  </w:r>
                </w:p>
              </w:tc>
              <w:tc>
                <w:tcPr>
                  <w:tcW w:w="834" w:type="pct"/>
                </w:tcPr>
                <w:p w:rsidR="00AC2131" w:rsidRPr="003A17E4" w:rsidRDefault="00AC2131" w:rsidP="00AC2131">
                  <w:pPr>
                    <w:pStyle w:val="TableBodyText"/>
                    <w:spacing w:after="25"/>
                    <w:rPr>
                      <w:b/>
                      <w:i/>
                    </w:rPr>
                  </w:pPr>
                  <w:r w:rsidRPr="003A17E4">
                    <w:t>-18.1</w:t>
                  </w:r>
                </w:p>
              </w:tc>
              <w:tc>
                <w:tcPr>
                  <w:tcW w:w="835" w:type="pct"/>
                </w:tcPr>
                <w:p w:rsidR="00AC2131" w:rsidRPr="003A17E4" w:rsidRDefault="00AC2131" w:rsidP="00AC2131">
                  <w:pPr>
                    <w:pStyle w:val="TableBodyText"/>
                    <w:spacing w:after="25"/>
                    <w:ind w:right="28"/>
                    <w:rPr>
                      <w:b/>
                      <w:i/>
                    </w:rPr>
                  </w:pPr>
                  <w:r w:rsidRPr="003A17E4">
                    <w:t>-18.1</w:t>
                  </w:r>
                </w:p>
              </w:tc>
            </w:tr>
            <w:tr w:rsidR="00AC2131" w:rsidRPr="00477DE6" w:rsidTr="00AC2131">
              <w:tc>
                <w:tcPr>
                  <w:tcW w:w="2497" w:type="pct"/>
                </w:tcPr>
                <w:p w:rsidR="00AC2131" w:rsidRPr="00477DE6" w:rsidRDefault="00AC2131" w:rsidP="00AC2131">
                  <w:pPr>
                    <w:pStyle w:val="TableBodyText"/>
                    <w:spacing w:after="25"/>
                    <w:jc w:val="left"/>
                  </w:pPr>
                  <w:r w:rsidRPr="00477DE6">
                    <w:t>Unallocated primary production</w:t>
                  </w:r>
                </w:p>
              </w:tc>
              <w:tc>
                <w:tcPr>
                  <w:tcW w:w="834" w:type="pct"/>
                </w:tcPr>
                <w:p w:rsidR="00AC2131" w:rsidRPr="00477DE6" w:rsidRDefault="00AC2131" w:rsidP="00AC2131">
                  <w:pPr>
                    <w:pStyle w:val="TableBodyText"/>
                    <w:spacing w:after="25"/>
                  </w:pPr>
                  <w:r>
                    <w:t>–</w:t>
                  </w:r>
                </w:p>
              </w:tc>
              <w:tc>
                <w:tcPr>
                  <w:tcW w:w="834" w:type="pct"/>
                </w:tcPr>
                <w:p w:rsidR="00AC2131" w:rsidRPr="00477DE6" w:rsidRDefault="00AC2131" w:rsidP="00AC2131">
                  <w:pPr>
                    <w:pStyle w:val="TableBodyText"/>
                    <w:spacing w:after="25"/>
                    <w:rPr>
                      <w:b/>
                      <w:i/>
                    </w:rPr>
                  </w:pPr>
                  <w:r>
                    <w:t>–</w:t>
                  </w:r>
                </w:p>
              </w:tc>
              <w:tc>
                <w:tcPr>
                  <w:tcW w:w="835" w:type="pct"/>
                </w:tcPr>
                <w:p w:rsidR="00AC2131" w:rsidRPr="00477DE6" w:rsidRDefault="00AC2131" w:rsidP="00AC2131">
                  <w:pPr>
                    <w:pStyle w:val="TableBodyText"/>
                    <w:spacing w:after="25"/>
                    <w:ind w:right="28"/>
                    <w:rPr>
                      <w:b/>
                      <w:i/>
                    </w:rPr>
                  </w:pPr>
                  <w:r>
                    <w:t>–</w:t>
                  </w:r>
                </w:p>
              </w:tc>
            </w:tr>
            <w:tr w:rsidR="00AC2131" w:rsidRPr="006F5146" w:rsidTr="00AC2131">
              <w:tc>
                <w:tcPr>
                  <w:tcW w:w="2497" w:type="pct"/>
                </w:tcPr>
                <w:p w:rsidR="00AC2131" w:rsidRPr="006F5146" w:rsidRDefault="00AC2131" w:rsidP="00AC2131">
                  <w:pPr>
                    <w:pStyle w:val="TableBodyText"/>
                    <w:spacing w:after="30"/>
                    <w:jc w:val="left"/>
                    <w:rPr>
                      <w:b/>
                    </w:rPr>
                  </w:pPr>
                  <w:r w:rsidRPr="006F5146">
                    <w:rPr>
                      <w:b/>
                    </w:rPr>
                    <w:t>Mining</w:t>
                  </w:r>
                </w:p>
              </w:tc>
              <w:tc>
                <w:tcPr>
                  <w:tcW w:w="834" w:type="pct"/>
                </w:tcPr>
                <w:p w:rsidR="00AC2131" w:rsidRPr="006F5146" w:rsidRDefault="00AC2131" w:rsidP="00AC2131">
                  <w:pPr>
                    <w:pStyle w:val="TableBodyText"/>
                    <w:spacing w:after="30"/>
                    <w:rPr>
                      <w:b/>
                    </w:rPr>
                  </w:pPr>
                  <w:r w:rsidRPr="006F5146">
                    <w:rPr>
                      <w:b/>
                    </w:rPr>
                    <w:t>1.1</w:t>
                  </w:r>
                </w:p>
              </w:tc>
              <w:tc>
                <w:tcPr>
                  <w:tcW w:w="834" w:type="pct"/>
                </w:tcPr>
                <w:p w:rsidR="00AC2131" w:rsidRPr="006F5146" w:rsidRDefault="00AC2131" w:rsidP="00AC2131">
                  <w:pPr>
                    <w:pStyle w:val="TableBodyText"/>
                    <w:spacing w:after="30"/>
                    <w:rPr>
                      <w:b/>
                      <w:i/>
                    </w:rPr>
                  </w:pPr>
                  <w:r w:rsidRPr="006F5146">
                    <w:rPr>
                      <w:b/>
                    </w:rPr>
                    <w:t>-236.0</w:t>
                  </w:r>
                </w:p>
              </w:tc>
              <w:tc>
                <w:tcPr>
                  <w:tcW w:w="835" w:type="pct"/>
                </w:tcPr>
                <w:p w:rsidR="00AC2131" w:rsidRPr="006F5146" w:rsidRDefault="00AC2131" w:rsidP="00AC2131">
                  <w:pPr>
                    <w:pStyle w:val="TableBodyText"/>
                    <w:spacing w:after="30"/>
                    <w:ind w:right="28"/>
                    <w:rPr>
                      <w:b/>
                      <w:i/>
                    </w:rPr>
                  </w:pPr>
                  <w:r w:rsidRPr="006F5146">
                    <w:rPr>
                      <w:b/>
                    </w:rPr>
                    <w:t>-234.9</w:t>
                  </w:r>
                </w:p>
              </w:tc>
            </w:tr>
            <w:tr w:rsidR="00AC2131" w:rsidRPr="006F5146" w:rsidTr="00AC2131">
              <w:tc>
                <w:tcPr>
                  <w:tcW w:w="2497" w:type="pct"/>
                </w:tcPr>
                <w:p w:rsidR="00AC2131" w:rsidRPr="006F5146" w:rsidRDefault="00AC2131" w:rsidP="00AC2131">
                  <w:pPr>
                    <w:pStyle w:val="TableBodyText"/>
                    <w:spacing w:after="30"/>
                    <w:jc w:val="left"/>
                    <w:rPr>
                      <w:b/>
                    </w:rPr>
                  </w:pPr>
                  <w:r w:rsidRPr="006F5146">
                    <w:rPr>
                      <w:b/>
                    </w:rPr>
                    <w:t>Manufacturing</w:t>
                  </w:r>
                </w:p>
              </w:tc>
              <w:tc>
                <w:tcPr>
                  <w:tcW w:w="834" w:type="pct"/>
                </w:tcPr>
                <w:p w:rsidR="00AC2131" w:rsidRPr="006F5146" w:rsidRDefault="00AC2131" w:rsidP="00AC2131">
                  <w:pPr>
                    <w:pStyle w:val="TableBodyText"/>
                    <w:spacing w:after="30"/>
                    <w:rPr>
                      <w:b/>
                    </w:rPr>
                  </w:pPr>
                  <w:r w:rsidRPr="006F5146">
                    <w:rPr>
                      <w:b/>
                    </w:rPr>
                    <w:t>7604.5</w:t>
                  </w:r>
                </w:p>
              </w:tc>
              <w:tc>
                <w:tcPr>
                  <w:tcW w:w="834" w:type="pct"/>
                </w:tcPr>
                <w:p w:rsidR="00AC2131" w:rsidRPr="006F5146" w:rsidRDefault="00AC2131" w:rsidP="00AC2131">
                  <w:pPr>
                    <w:pStyle w:val="TableBodyText"/>
                    <w:spacing w:after="30"/>
                    <w:rPr>
                      <w:b/>
                      <w:i/>
                    </w:rPr>
                  </w:pPr>
                  <w:r w:rsidRPr="006F5146">
                    <w:rPr>
                      <w:b/>
                    </w:rPr>
                    <w:t>-2070.9</w:t>
                  </w:r>
                </w:p>
              </w:tc>
              <w:tc>
                <w:tcPr>
                  <w:tcW w:w="835" w:type="pct"/>
                </w:tcPr>
                <w:p w:rsidR="00AC2131" w:rsidRPr="006F5146" w:rsidRDefault="00AC2131" w:rsidP="00AC2131">
                  <w:pPr>
                    <w:pStyle w:val="TableBodyText"/>
                    <w:spacing w:after="30"/>
                    <w:ind w:right="28"/>
                    <w:rPr>
                      <w:b/>
                      <w:i/>
                    </w:rPr>
                  </w:pPr>
                  <w:r w:rsidRPr="006F5146">
                    <w:rPr>
                      <w:b/>
                    </w:rPr>
                    <w:t>5533.6</w:t>
                  </w:r>
                </w:p>
              </w:tc>
            </w:tr>
            <w:tr w:rsidR="00AC2131" w:rsidTr="00AC2131">
              <w:tc>
                <w:tcPr>
                  <w:tcW w:w="2497" w:type="pct"/>
                </w:tcPr>
                <w:p w:rsidR="00AC2131" w:rsidRPr="00022DDE" w:rsidRDefault="00AC2131" w:rsidP="00AC2131">
                  <w:pPr>
                    <w:pStyle w:val="TableBodyText"/>
                    <w:spacing w:after="25"/>
                    <w:jc w:val="left"/>
                  </w:pPr>
                  <w:r w:rsidRPr="00022DDE">
                    <w:t>Food, beverages and tobacco</w:t>
                  </w:r>
                </w:p>
              </w:tc>
              <w:tc>
                <w:tcPr>
                  <w:tcW w:w="834" w:type="pct"/>
                </w:tcPr>
                <w:p w:rsidR="00AC2131" w:rsidRPr="003A17E4" w:rsidRDefault="00AC2131" w:rsidP="00AC2131">
                  <w:pPr>
                    <w:pStyle w:val="TableBodyText"/>
                    <w:spacing w:after="25"/>
                  </w:pPr>
                  <w:r w:rsidRPr="003A17E4">
                    <w:t>1873.6</w:t>
                  </w:r>
                </w:p>
              </w:tc>
              <w:tc>
                <w:tcPr>
                  <w:tcW w:w="834" w:type="pct"/>
                </w:tcPr>
                <w:p w:rsidR="00AC2131" w:rsidRPr="003A17E4" w:rsidRDefault="00AC2131" w:rsidP="00AC2131">
                  <w:pPr>
                    <w:pStyle w:val="TableBodyText"/>
                    <w:spacing w:after="25"/>
                    <w:rPr>
                      <w:b/>
                      <w:i/>
                    </w:rPr>
                  </w:pPr>
                  <w:r w:rsidRPr="003A17E4">
                    <w:t>-532.8</w:t>
                  </w:r>
                </w:p>
              </w:tc>
              <w:tc>
                <w:tcPr>
                  <w:tcW w:w="835" w:type="pct"/>
                </w:tcPr>
                <w:p w:rsidR="00AC2131" w:rsidRPr="003A17E4" w:rsidRDefault="00AC2131" w:rsidP="00AC2131">
                  <w:pPr>
                    <w:pStyle w:val="TableBodyText"/>
                    <w:spacing w:after="25"/>
                    <w:ind w:right="28"/>
                    <w:rPr>
                      <w:b/>
                      <w:i/>
                    </w:rPr>
                  </w:pPr>
                  <w:r w:rsidRPr="003A17E4">
                    <w:t>1340.8</w:t>
                  </w:r>
                </w:p>
              </w:tc>
            </w:tr>
            <w:tr w:rsidR="00AC2131" w:rsidTr="00AC2131">
              <w:tc>
                <w:tcPr>
                  <w:tcW w:w="2497" w:type="pct"/>
                </w:tcPr>
                <w:p w:rsidR="00AC2131" w:rsidRPr="00022DDE" w:rsidRDefault="00AC2131" w:rsidP="00AC2131">
                  <w:pPr>
                    <w:pStyle w:val="TableBodyText"/>
                    <w:spacing w:after="25"/>
                    <w:jc w:val="left"/>
                  </w:pPr>
                  <w:r w:rsidRPr="00022DDE">
                    <w:t>Textile</w:t>
                  </w:r>
                  <w:r>
                    <w:t>s</w:t>
                  </w:r>
                  <w:r w:rsidRPr="00022DDE">
                    <w:t>, leather, clothing and footwear</w:t>
                  </w:r>
                </w:p>
              </w:tc>
              <w:tc>
                <w:tcPr>
                  <w:tcW w:w="834" w:type="pct"/>
                </w:tcPr>
                <w:p w:rsidR="00AC2131" w:rsidRPr="003A17E4" w:rsidRDefault="00AC2131" w:rsidP="00AC2131">
                  <w:pPr>
                    <w:pStyle w:val="TableBodyText"/>
                    <w:spacing w:after="25"/>
                  </w:pPr>
                  <w:r w:rsidRPr="003A17E4">
                    <w:t>328.4</w:t>
                  </w:r>
                </w:p>
              </w:tc>
              <w:tc>
                <w:tcPr>
                  <w:tcW w:w="834" w:type="pct"/>
                </w:tcPr>
                <w:p w:rsidR="00AC2131" w:rsidRPr="003A17E4" w:rsidRDefault="00AC2131" w:rsidP="00AC2131">
                  <w:pPr>
                    <w:pStyle w:val="TableBodyText"/>
                    <w:spacing w:after="25"/>
                    <w:rPr>
                      <w:b/>
                      <w:i/>
                    </w:rPr>
                  </w:pPr>
                  <w:r w:rsidRPr="003A17E4">
                    <w:t>-67.1</w:t>
                  </w:r>
                </w:p>
              </w:tc>
              <w:tc>
                <w:tcPr>
                  <w:tcW w:w="835" w:type="pct"/>
                </w:tcPr>
                <w:p w:rsidR="00AC2131" w:rsidRPr="003A17E4" w:rsidRDefault="00AC2131" w:rsidP="00AC2131">
                  <w:pPr>
                    <w:pStyle w:val="TableBodyText"/>
                    <w:spacing w:after="25"/>
                    <w:ind w:right="28"/>
                    <w:rPr>
                      <w:b/>
                      <w:i/>
                    </w:rPr>
                  </w:pPr>
                  <w:r w:rsidRPr="003A17E4">
                    <w:t>261.4</w:t>
                  </w:r>
                </w:p>
              </w:tc>
            </w:tr>
            <w:tr w:rsidR="00AC2131" w:rsidTr="00AC2131">
              <w:tc>
                <w:tcPr>
                  <w:tcW w:w="2497" w:type="pct"/>
                </w:tcPr>
                <w:p w:rsidR="00AC2131" w:rsidRPr="00022DDE" w:rsidRDefault="00AC2131" w:rsidP="00AC2131">
                  <w:pPr>
                    <w:pStyle w:val="TableBodyText"/>
                    <w:spacing w:after="25"/>
                    <w:jc w:val="left"/>
                  </w:pPr>
                  <w:r w:rsidRPr="00022DDE">
                    <w:t>Wood and paper products</w:t>
                  </w:r>
                </w:p>
              </w:tc>
              <w:tc>
                <w:tcPr>
                  <w:tcW w:w="834" w:type="pct"/>
                </w:tcPr>
                <w:p w:rsidR="00AC2131" w:rsidRPr="003A17E4" w:rsidRDefault="00AC2131" w:rsidP="00AC2131">
                  <w:pPr>
                    <w:pStyle w:val="TableBodyText"/>
                    <w:spacing w:after="25"/>
                  </w:pPr>
                  <w:r w:rsidRPr="003A17E4">
                    <w:t>631.8</w:t>
                  </w:r>
                </w:p>
              </w:tc>
              <w:tc>
                <w:tcPr>
                  <w:tcW w:w="834" w:type="pct"/>
                </w:tcPr>
                <w:p w:rsidR="00AC2131" w:rsidRPr="003A17E4" w:rsidRDefault="00AC2131" w:rsidP="00AC2131">
                  <w:pPr>
                    <w:pStyle w:val="TableBodyText"/>
                    <w:spacing w:after="25"/>
                    <w:rPr>
                      <w:b/>
                      <w:i/>
                    </w:rPr>
                  </w:pPr>
                  <w:r w:rsidRPr="003A17E4">
                    <w:t>-128.0</w:t>
                  </w:r>
                </w:p>
              </w:tc>
              <w:tc>
                <w:tcPr>
                  <w:tcW w:w="835" w:type="pct"/>
                </w:tcPr>
                <w:p w:rsidR="00AC2131" w:rsidRPr="003A17E4" w:rsidRDefault="00AC2131" w:rsidP="00AC2131">
                  <w:pPr>
                    <w:pStyle w:val="TableBodyText"/>
                    <w:spacing w:after="25"/>
                    <w:ind w:right="28"/>
                    <w:rPr>
                      <w:b/>
                      <w:i/>
                    </w:rPr>
                  </w:pPr>
                  <w:r w:rsidRPr="003A17E4">
                    <w:t>503.8</w:t>
                  </w:r>
                </w:p>
              </w:tc>
            </w:tr>
            <w:tr w:rsidR="00AC2131" w:rsidTr="00AC2131">
              <w:tc>
                <w:tcPr>
                  <w:tcW w:w="2497" w:type="pct"/>
                </w:tcPr>
                <w:p w:rsidR="00AC2131" w:rsidRPr="00022DDE" w:rsidRDefault="00AC2131" w:rsidP="00AC2131">
                  <w:pPr>
                    <w:pStyle w:val="TableBodyText"/>
                    <w:spacing w:after="25"/>
                    <w:jc w:val="left"/>
                  </w:pPr>
                  <w:r w:rsidRPr="00022DDE">
                    <w:t>Printing and recorded media</w:t>
                  </w:r>
                </w:p>
              </w:tc>
              <w:tc>
                <w:tcPr>
                  <w:tcW w:w="834" w:type="pct"/>
                </w:tcPr>
                <w:p w:rsidR="00AC2131" w:rsidRPr="003A17E4" w:rsidRDefault="00AC2131" w:rsidP="00AC2131">
                  <w:pPr>
                    <w:pStyle w:val="TableBodyText"/>
                    <w:spacing w:after="25"/>
                  </w:pPr>
                  <w:r w:rsidRPr="003A17E4">
                    <w:t>188.1</w:t>
                  </w:r>
                </w:p>
              </w:tc>
              <w:tc>
                <w:tcPr>
                  <w:tcW w:w="834" w:type="pct"/>
                </w:tcPr>
                <w:p w:rsidR="00AC2131" w:rsidRPr="003A17E4" w:rsidRDefault="00AC2131" w:rsidP="00AC2131">
                  <w:pPr>
                    <w:pStyle w:val="TableBodyText"/>
                    <w:spacing w:after="25"/>
                    <w:rPr>
                      <w:b/>
                      <w:i/>
                    </w:rPr>
                  </w:pPr>
                  <w:r w:rsidRPr="003A17E4">
                    <w:t>-30.5</w:t>
                  </w:r>
                </w:p>
              </w:tc>
              <w:tc>
                <w:tcPr>
                  <w:tcW w:w="835" w:type="pct"/>
                </w:tcPr>
                <w:p w:rsidR="00AC2131" w:rsidRPr="003A17E4" w:rsidRDefault="00AC2131" w:rsidP="00AC2131">
                  <w:pPr>
                    <w:pStyle w:val="TableBodyText"/>
                    <w:spacing w:after="25"/>
                    <w:ind w:right="28"/>
                    <w:rPr>
                      <w:b/>
                      <w:i/>
                    </w:rPr>
                  </w:pPr>
                  <w:r w:rsidRPr="003A17E4">
                    <w:t>157.6</w:t>
                  </w:r>
                </w:p>
              </w:tc>
            </w:tr>
            <w:tr w:rsidR="00AC2131" w:rsidTr="00AC2131">
              <w:tc>
                <w:tcPr>
                  <w:tcW w:w="2497" w:type="pct"/>
                </w:tcPr>
                <w:p w:rsidR="00AC2131" w:rsidRPr="00022DDE" w:rsidRDefault="00AC2131" w:rsidP="00AC2131">
                  <w:pPr>
                    <w:pStyle w:val="TableBodyText"/>
                    <w:spacing w:after="25"/>
                    <w:jc w:val="left"/>
                  </w:pPr>
                  <w:r w:rsidRPr="00022DDE">
                    <w:t>Petroleum, coal, chemical and rubber products</w:t>
                  </w:r>
                </w:p>
              </w:tc>
              <w:tc>
                <w:tcPr>
                  <w:tcW w:w="834" w:type="pct"/>
                </w:tcPr>
                <w:p w:rsidR="00AC2131" w:rsidRPr="003A17E4" w:rsidRDefault="00AC2131" w:rsidP="00AC2131">
                  <w:pPr>
                    <w:pStyle w:val="TableBodyText"/>
                    <w:spacing w:after="25"/>
                  </w:pPr>
                  <w:r w:rsidRPr="003A17E4">
                    <w:t>902.8</w:t>
                  </w:r>
                </w:p>
              </w:tc>
              <w:tc>
                <w:tcPr>
                  <w:tcW w:w="834" w:type="pct"/>
                </w:tcPr>
                <w:p w:rsidR="00AC2131" w:rsidRPr="003A17E4" w:rsidRDefault="00AC2131" w:rsidP="00AC2131">
                  <w:pPr>
                    <w:pStyle w:val="TableBodyText"/>
                    <w:spacing w:after="25"/>
                    <w:rPr>
                      <w:b/>
                      <w:i/>
                    </w:rPr>
                  </w:pPr>
                  <w:r w:rsidRPr="003A17E4">
                    <w:t>-263.7</w:t>
                  </w:r>
                </w:p>
              </w:tc>
              <w:tc>
                <w:tcPr>
                  <w:tcW w:w="835" w:type="pct"/>
                </w:tcPr>
                <w:p w:rsidR="00AC2131" w:rsidRPr="003A17E4" w:rsidRDefault="00AC2131" w:rsidP="00AC2131">
                  <w:pPr>
                    <w:pStyle w:val="TableBodyText"/>
                    <w:spacing w:after="25"/>
                    <w:ind w:right="28"/>
                    <w:rPr>
                      <w:b/>
                      <w:i/>
                    </w:rPr>
                  </w:pPr>
                  <w:r w:rsidRPr="003A17E4">
                    <w:t>639.1</w:t>
                  </w:r>
                </w:p>
              </w:tc>
            </w:tr>
            <w:tr w:rsidR="00AC2131" w:rsidTr="00AC2131">
              <w:tc>
                <w:tcPr>
                  <w:tcW w:w="2497" w:type="pct"/>
                </w:tcPr>
                <w:p w:rsidR="00AC2131" w:rsidRPr="00022DDE" w:rsidRDefault="00AC2131" w:rsidP="00AC2131">
                  <w:pPr>
                    <w:pStyle w:val="TableBodyText"/>
                    <w:spacing w:after="25"/>
                    <w:jc w:val="left"/>
                  </w:pPr>
                  <w:r w:rsidRPr="00022DDE">
                    <w:t>Non-metallic mineral products</w:t>
                  </w:r>
                </w:p>
              </w:tc>
              <w:tc>
                <w:tcPr>
                  <w:tcW w:w="834" w:type="pct"/>
                </w:tcPr>
                <w:p w:rsidR="00AC2131" w:rsidRPr="003A17E4" w:rsidRDefault="00AC2131" w:rsidP="00AC2131">
                  <w:pPr>
                    <w:pStyle w:val="TableBodyText"/>
                    <w:spacing w:after="25"/>
                  </w:pPr>
                  <w:r w:rsidRPr="003A17E4">
                    <w:t>275.8</w:t>
                  </w:r>
                </w:p>
              </w:tc>
              <w:tc>
                <w:tcPr>
                  <w:tcW w:w="834" w:type="pct"/>
                </w:tcPr>
                <w:p w:rsidR="00AC2131" w:rsidRPr="003A17E4" w:rsidRDefault="00AC2131" w:rsidP="00AC2131">
                  <w:pPr>
                    <w:pStyle w:val="TableBodyText"/>
                    <w:spacing w:after="25"/>
                    <w:rPr>
                      <w:b/>
                      <w:i/>
                    </w:rPr>
                  </w:pPr>
                  <w:r w:rsidRPr="003A17E4">
                    <w:t>-47.3</w:t>
                  </w:r>
                </w:p>
              </w:tc>
              <w:tc>
                <w:tcPr>
                  <w:tcW w:w="835" w:type="pct"/>
                </w:tcPr>
                <w:p w:rsidR="00AC2131" w:rsidRPr="003A17E4" w:rsidRDefault="00AC2131" w:rsidP="00AC2131">
                  <w:pPr>
                    <w:pStyle w:val="TableBodyText"/>
                    <w:spacing w:after="25"/>
                    <w:ind w:right="28"/>
                    <w:rPr>
                      <w:b/>
                      <w:i/>
                    </w:rPr>
                  </w:pPr>
                  <w:r w:rsidRPr="003A17E4">
                    <w:t>228.5</w:t>
                  </w:r>
                </w:p>
              </w:tc>
            </w:tr>
            <w:tr w:rsidR="00AC2131" w:rsidTr="00AC2131">
              <w:tc>
                <w:tcPr>
                  <w:tcW w:w="2497" w:type="pct"/>
                </w:tcPr>
                <w:p w:rsidR="00AC2131" w:rsidRPr="00022DDE" w:rsidRDefault="00AC2131" w:rsidP="00AC2131">
                  <w:pPr>
                    <w:pStyle w:val="TableBodyText"/>
                    <w:spacing w:after="25"/>
                    <w:jc w:val="left"/>
                  </w:pPr>
                  <w:r w:rsidRPr="00022DDE">
                    <w:t>Metal and fabricated metal products</w:t>
                  </w:r>
                </w:p>
              </w:tc>
              <w:tc>
                <w:tcPr>
                  <w:tcW w:w="834" w:type="pct"/>
                </w:tcPr>
                <w:p w:rsidR="00AC2131" w:rsidRPr="003A17E4" w:rsidRDefault="00AC2131" w:rsidP="00AC2131">
                  <w:pPr>
                    <w:pStyle w:val="TableBodyText"/>
                    <w:spacing w:after="25"/>
                  </w:pPr>
                  <w:r w:rsidRPr="003A17E4">
                    <w:t>1723.1</w:t>
                  </w:r>
                </w:p>
              </w:tc>
              <w:tc>
                <w:tcPr>
                  <w:tcW w:w="834" w:type="pct"/>
                </w:tcPr>
                <w:p w:rsidR="00AC2131" w:rsidRPr="003A17E4" w:rsidRDefault="00AC2131" w:rsidP="00AC2131">
                  <w:pPr>
                    <w:pStyle w:val="TableBodyText"/>
                    <w:spacing w:after="25"/>
                    <w:rPr>
                      <w:b/>
                      <w:i/>
                    </w:rPr>
                  </w:pPr>
                  <w:r w:rsidRPr="003A17E4">
                    <w:t>-409.2</w:t>
                  </w:r>
                </w:p>
              </w:tc>
              <w:tc>
                <w:tcPr>
                  <w:tcW w:w="835" w:type="pct"/>
                </w:tcPr>
                <w:p w:rsidR="00AC2131" w:rsidRPr="003A17E4" w:rsidRDefault="00AC2131" w:rsidP="00AC2131">
                  <w:pPr>
                    <w:pStyle w:val="TableBodyText"/>
                    <w:spacing w:after="25"/>
                    <w:ind w:right="28"/>
                    <w:rPr>
                      <w:b/>
                      <w:i/>
                    </w:rPr>
                  </w:pPr>
                  <w:r w:rsidRPr="003A17E4">
                    <w:t>1314.0</w:t>
                  </w:r>
                </w:p>
              </w:tc>
            </w:tr>
            <w:tr w:rsidR="00AC2131" w:rsidTr="00AC2131">
              <w:tc>
                <w:tcPr>
                  <w:tcW w:w="2497" w:type="pct"/>
                </w:tcPr>
                <w:p w:rsidR="00AC2131" w:rsidRPr="00022DDE" w:rsidRDefault="00AC2131" w:rsidP="00AC2131">
                  <w:pPr>
                    <w:pStyle w:val="TableBodyText"/>
                    <w:spacing w:after="25"/>
                    <w:jc w:val="left"/>
                  </w:pPr>
                  <w:r w:rsidRPr="00022DDE">
                    <w:t>Motor vehicle</w:t>
                  </w:r>
                  <w:r>
                    <w:t>s</w:t>
                  </w:r>
                  <w:r w:rsidRPr="00022DDE">
                    <w:t xml:space="preserve"> and parts</w:t>
                  </w:r>
                </w:p>
              </w:tc>
              <w:tc>
                <w:tcPr>
                  <w:tcW w:w="834" w:type="pct"/>
                </w:tcPr>
                <w:p w:rsidR="00AC2131" w:rsidRPr="003A17E4" w:rsidRDefault="00AC2131" w:rsidP="00AC2131">
                  <w:pPr>
                    <w:pStyle w:val="TableBodyText"/>
                    <w:spacing w:after="25"/>
                  </w:pPr>
                  <w:r w:rsidRPr="003A17E4">
                    <w:t>802.4</w:t>
                  </w:r>
                </w:p>
              </w:tc>
              <w:tc>
                <w:tcPr>
                  <w:tcW w:w="834" w:type="pct"/>
                </w:tcPr>
                <w:p w:rsidR="00AC2131" w:rsidRPr="003A17E4" w:rsidRDefault="00AC2131" w:rsidP="00AC2131">
                  <w:pPr>
                    <w:pStyle w:val="TableBodyText"/>
                    <w:spacing w:after="25"/>
                    <w:rPr>
                      <w:b/>
                      <w:i/>
                    </w:rPr>
                  </w:pPr>
                  <w:r w:rsidRPr="003A17E4">
                    <w:t>-295.5</w:t>
                  </w:r>
                </w:p>
              </w:tc>
              <w:tc>
                <w:tcPr>
                  <w:tcW w:w="835" w:type="pct"/>
                </w:tcPr>
                <w:p w:rsidR="00AC2131" w:rsidRPr="003A17E4" w:rsidRDefault="00AC2131" w:rsidP="00AC2131">
                  <w:pPr>
                    <w:pStyle w:val="TableBodyText"/>
                    <w:spacing w:after="25"/>
                    <w:ind w:right="28"/>
                    <w:rPr>
                      <w:b/>
                      <w:i/>
                    </w:rPr>
                  </w:pPr>
                  <w:r w:rsidRPr="003A17E4">
                    <w:t>506.9</w:t>
                  </w:r>
                </w:p>
              </w:tc>
            </w:tr>
            <w:tr w:rsidR="00AC2131" w:rsidTr="00AC2131">
              <w:tc>
                <w:tcPr>
                  <w:tcW w:w="2497" w:type="pct"/>
                </w:tcPr>
                <w:p w:rsidR="00AC2131" w:rsidRPr="00022DDE" w:rsidRDefault="00AC2131" w:rsidP="00AC2131">
                  <w:pPr>
                    <w:pStyle w:val="TableBodyText"/>
                    <w:spacing w:after="25"/>
                    <w:jc w:val="left"/>
                  </w:pPr>
                  <w:r w:rsidRPr="00022DDE">
                    <w:t>Other transport equipment</w:t>
                  </w:r>
                </w:p>
              </w:tc>
              <w:tc>
                <w:tcPr>
                  <w:tcW w:w="834" w:type="pct"/>
                </w:tcPr>
                <w:p w:rsidR="00AC2131" w:rsidRPr="003A17E4" w:rsidRDefault="00AC2131" w:rsidP="00AC2131">
                  <w:pPr>
                    <w:pStyle w:val="TableBodyText"/>
                    <w:spacing w:after="25"/>
                  </w:pPr>
                  <w:r w:rsidRPr="003A17E4">
                    <w:t>74.2</w:t>
                  </w:r>
                </w:p>
              </w:tc>
              <w:tc>
                <w:tcPr>
                  <w:tcW w:w="834" w:type="pct"/>
                </w:tcPr>
                <w:p w:rsidR="00AC2131" w:rsidRPr="003A17E4" w:rsidRDefault="00AC2131" w:rsidP="00AC2131">
                  <w:pPr>
                    <w:pStyle w:val="TableBodyText"/>
                    <w:spacing w:after="25"/>
                    <w:rPr>
                      <w:b/>
                      <w:i/>
                    </w:rPr>
                  </w:pPr>
                  <w:r w:rsidRPr="003A17E4">
                    <w:t>-66.2</w:t>
                  </w:r>
                </w:p>
              </w:tc>
              <w:tc>
                <w:tcPr>
                  <w:tcW w:w="835" w:type="pct"/>
                </w:tcPr>
                <w:p w:rsidR="00AC2131" w:rsidRPr="003A17E4" w:rsidRDefault="00AC2131" w:rsidP="00AC2131">
                  <w:pPr>
                    <w:pStyle w:val="TableBodyText"/>
                    <w:spacing w:after="25"/>
                    <w:ind w:right="28"/>
                    <w:rPr>
                      <w:b/>
                      <w:i/>
                    </w:rPr>
                  </w:pPr>
                  <w:r w:rsidRPr="003A17E4">
                    <w:t>8.0</w:t>
                  </w:r>
                </w:p>
              </w:tc>
            </w:tr>
            <w:tr w:rsidR="00AC2131" w:rsidTr="00AC2131">
              <w:tc>
                <w:tcPr>
                  <w:tcW w:w="2497" w:type="pct"/>
                </w:tcPr>
                <w:p w:rsidR="00AC2131" w:rsidRPr="00022DDE" w:rsidRDefault="00AC2131" w:rsidP="00AC2131">
                  <w:pPr>
                    <w:pStyle w:val="TableBodyText"/>
                    <w:spacing w:after="25"/>
                    <w:jc w:val="left"/>
                  </w:pPr>
                  <w:r w:rsidRPr="00022DDE">
                    <w:t>Machinery and equipment manufacturing</w:t>
                  </w:r>
                </w:p>
              </w:tc>
              <w:tc>
                <w:tcPr>
                  <w:tcW w:w="834" w:type="pct"/>
                </w:tcPr>
                <w:p w:rsidR="00AC2131" w:rsidRPr="003A17E4" w:rsidRDefault="00AC2131" w:rsidP="00AC2131">
                  <w:pPr>
                    <w:pStyle w:val="TableBodyText"/>
                    <w:spacing w:after="25"/>
                  </w:pPr>
                  <w:r w:rsidRPr="003A17E4">
                    <w:t>603.3</w:t>
                  </w:r>
                </w:p>
              </w:tc>
              <w:tc>
                <w:tcPr>
                  <w:tcW w:w="834" w:type="pct"/>
                </w:tcPr>
                <w:p w:rsidR="00AC2131" w:rsidRPr="003A17E4" w:rsidRDefault="00AC2131" w:rsidP="00AC2131">
                  <w:pPr>
                    <w:pStyle w:val="TableBodyText"/>
                    <w:spacing w:after="25"/>
                    <w:rPr>
                      <w:b/>
                      <w:i/>
                    </w:rPr>
                  </w:pPr>
                  <w:r w:rsidRPr="003A17E4">
                    <w:t>-181.8</w:t>
                  </w:r>
                </w:p>
              </w:tc>
              <w:tc>
                <w:tcPr>
                  <w:tcW w:w="835" w:type="pct"/>
                </w:tcPr>
                <w:p w:rsidR="00AC2131" w:rsidRPr="003A17E4" w:rsidRDefault="00AC2131" w:rsidP="00AC2131">
                  <w:pPr>
                    <w:pStyle w:val="TableBodyText"/>
                    <w:spacing w:after="25"/>
                    <w:ind w:right="28"/>
                    <w:rPr>
                      <w:b/>
                      <w:i/>
                    </w:rPr>
                  </w:pPr>
                  <w:r w:rsidRPr="003A17E4">
                    <w:t>421.5</w:t>
                  </w:r>
                </w:p>
              </w:tc>
            </w:tr>
            <w:tr w:rsidR="00AC2131" w:rsidTr="00AC2131">
              <w:tc>
                <w:tcPr>
                  <w:tcW w:w="2497" w:type="pct"/>
                </w:tcPr>
                <w:p w:rsidR="00AC2131" w:rsidRDefault="00AC2131" w:rsidP="00AC2131">
                  <w:pPr>
                    <w:pStyle w:val="TableBodyText"/>
                    <w:spacing w:after="25"/>
                    <w:jc w:val="left"/>
                  </w:pPr>
                  <w:r w:rsidRPr="00022DDE">
                    <w:t>Furniture and other manufacturing</w:t>
                  </w:r>
                </w:p>
              </w:tc>
              <w:tc>
                <w:tcPr>
                  <w:tcW w:w="834" w:type="pct"/>
                </w:tcPr>
                <w:p w:rsidR="00AC2131" w:rsidRPr="003A17E4" w:rsidRDefault="00AC2131" w:rsidP="00AC2131">
                  <w:pPr>
                    <w:pStyle w:val="TableBodyText"/>
                    <w:spacing w:after="25"/>
                  </w:pPr>
                  <w:r w:rsidRPr="003A17E4">
                    <w:t>201.0</w:t>
                  </w:r>
                </w:p>
              </w:tc>
              <w:tc>
                <w:tcPr>
                  <w:tcW w:w="834" w:type="pct"/>
                </w:tcPr>
                <w:p w:rsidR="00AC2131" w:rsidRPr="003A17E4" w:rsidRDefault="00AC2131" w:rsidP="00AC2131">
                  <w:pPr>
                    <w:pStyle w:val="TableBodyText"/>
                    <w:spacing w:after="25"/>
                    <w:rPr>
                      <w:b/>
                      <w:i/>
                    </w:rPr>
                  </w:pPr>
                  <w:r w:rsidRPr="003A17E4">
                    <w:t>-49.0</w:t>
                  </w:r>
                </w:p>
              </w:tc>
              <w:tc>
                <w:tcPr>
                  <w:tcW w:w="835" w:type="pct"/>
                </w:tcPr>
                <w:p w:rsidR="00AC2131" w:rsidRPr="003A17E4" w:rsidRDefault="00AC2131" w:rsidP="00AC2131">
                  <w:pPr>
                    <w:pStyle w:val="TableBodyText"/>
                    <w:spacing w:after="25"/>
                    <w:ind w:right="28"/>
                    <w:rPr>
                      <w:b/>
                      <w:i/>
                    </w:rPr>
                  </w:pPr>
                  <w:r w:rsidRPr="003A17E4">
                    <w:t>152.0</w:t>
                  </w:r>
                </w:p>
              </w:tc>
            </w:tr>
            <w:tr w:rsidR="00AC2131" w:rsidRPr="00477DE6" w:rsidTr="00AC2131">
              <w:tc>
                <w:tcPr>
                  <w:tcW w:w="2497" w:type="pct"/>
                </w:tcPr>
                <w:p w:rsidR="00AC2131" w:rsidRPr="00477DE6" w:rsidRDefault="00AC2131" w:rsidP="00AC2131">
                  <w:pPr>
                    <w:pStyle w:val="TableBodyText"/>
                    <w:spacing w:after="25"/>
                    <w:jc w:val="left"/>
                  </w:pPr>
                  <w:r w:rsidRPr="00477DE6">
                    <w:t>Unallocated manufacturing</w:t>
                  </w:r>
                </w:p>
              </w:tc>
              <w:tc>
                <w:tcPr>
                  <w:tcW w:w="834" w:type="pct"/>
                </w:tcPr>
                <w:p w:rsidR="00AC2131" w:rsidRPr="00477DE6" w:rsidRDefault="00AC2131" w:rsidP="00AC2131">
                  <w:pPr>
                    <w:pStyle w:val="TableBodyText"/>
                    <w:spacing w:after="25"/>
                  </w:pPr>
                  <w:r>
                    <w:t>–</w:t>
                  </w:r>
                </w:p>
              </w:tc>
              <w:tc>
                <w:tcPr>
                  <w:tcW w:w="834" w:type="pct"/>
                </w:tcPr>
                <w:p w:rsidR="00AC2131" w:rsidRPr="00477DE6" w:rsidRDefault="00AC2131" w:rsidP="00AC2131">
                  <w:pPr>
                    <w:pStyle w:val="TableBodyText"/>
                    <w:spacing w:after="25"/>
                    <w:rPr>
                      <w:b/>
                      <w:i/>
                    </w:rPr>
                  </w:pPr>
                  <w:r>
                    <w:t>–</w:t>
                  </w:r>
                </w:p>
              </w:tc>
              <w:tc>
                <w:tcPr>
                  <w:tcW w:w="835" w:type="pct"/>
                </w:tcPr>
                <w:p w:rsidR="00AC2131" w:rsidRPr="00477DE6" w:rsidRDefault="00AC2131" w:rsidP="00AC2131">
                  <w:pPr>
                    <w:pStyle w:val="TableBodyText"/>
                    <w:spacing w:after="25"/>
                    <w:ind w:right="28"/>
                    <w:rPr>
                      <w:b/>
                      <w:i/>
                    </w:rPr>
                  </w:pPr>
                  <w:r>
                    <w:t>–</w:t>
                  </w:r>
                </w:p>
              </w:tc>
            </w:tr>
            <w:tr w:rsidR="00AC2131" w:rsidRPr="006F5146" w:rsidTr="00AC2131">
              <w:tc>
                <w:tcPr>
                  <w:tcW w:w="2497" w:type="pct"/>
                </w:tcPr>
                <w:p w:rsidR="00AC2131" w:rsidRPr="006F5146" w:rsidRDefault="00AC2131" w:rsidP="00AC2131">
                  <w:pPr>
                    <w:pStyle w:val="TableBodyText"/>
                    <w:spacing w:after="30"/>
                    <w:jc w:val="left"/>
                    <w:rPr>
                      <w:b/>
                    </w:rPr>
                  </w:pPr>
                  <w:r w:rsidRPr="006F5146">
                    <w:rPr>
                      <w:b/>
                    </w:rPr>
                    <w:t>Services</w:t>
                  </w:r>
                </w:p>
              </w:tc>
              <w:tc>
                <w:tcPr>
                  <w:tcW w:w="834" w:type="pct"/>
                </w:tcPr>
                <w:p w:rsidR="00AC2131" w:rsidRPr="006F5146" w:rsidRDefault="00AC2131" w:rsidP="00AC2131">
                  <w:pPr>
                    <w:pStyle w:val="TableBodyText"/>
                    <w:spacing w:after="30"/>
                    <w:rPr>
                      <w:b/>
                    </w:rPr>
                  </w:pPr>
                  <w:r w:rsidRPr="006F5146">
                    <w:rPr>
                      <w:b/>
                    </w:rPr>
                    <w:t>–</w:t>
                  </w:r>
                </w:p>
              </w:tc>
              <w:tc>
                <w:tcPr>
                  <w:tcW w:w="834" w:type="pct"/>
                </w:tcPr>
                <w:p w:rsidR="00AC2131" w:rsidRPr="006F5146" w:rsidRDefault="00AC2131" w:rsidP="00AC2131">
                  <w:pPr>
                    <w:pStyle w:val="TableBodyText"/>
                    <w:spacing w:after="30"/>
                    <w:rPr>
                      <w:b/>
                      <w:i/>
                    </w:rPr>
                  </w:pPr>
                  <w:r w:rsidRPr="006F5146">
                    <w:rPr>
                      <w:b/>
                    </w:rPr>
                    <w:t>-4928.3</w:t>
                  </w:r>
                </w:p>
              </w:tc>
              <w:tc>
                <w:tcPr>
                  <w:tcW w:w="835" w:type="pct"/>
                </w:tcPr>
                <w:p w:rsidR="00AC2131" w:rsidRPr="006F5146" w:rsidRDefault="00AC2131" w:rsidP="00AC2131">
                  <w:pPr>
                    <w:pStyle w:val="TableBodyText"/>
                    <w:spacing w:after="30"/>
                    <w:ind w:right="28"/>
                    <w:rPr>
                      <w:b/>
                      <w:i/>
                    </w:rPr>
                  </w:pPr>
                  <w:r w:rsidRPr="006F5146">
                    <w:rPr>
                      <w:b/>
                    </w:rPr>
                    <w:t>-4928.3</w:t>
                  </w:r>
                </w:p>
              </w:tc>
            </w:tr>
            <w:tr w:rsidR="00AC2131" w:rsidTr="00AC2131">
              <w:tc>
                <w:tcPr>
                  <w:tcW w:w="2497" w:type="pct"/>
                </w:tcPr>
                <w:p w:rsidR="00AC2131" w:rsidRPr="004A449C" w:rsidRDefault="00AC2131" w:rsidP="00AC2131">
                  <w:pPr>
                    <w:pStyle w:val="TableBodyText"/>
                    <w:spacing w:after="25"/>
                    <w:jc w:val="left"/>
                  </w:pPr>
                  <w:r w:rsidRPr="004A449C">
                    <w:t>Electricity, gas, water and waste services</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-93.8</w:t>
                  </w:r>
                </w:p>
              </w:tc>
              <w:tc>
                <w:tcPr>
                  <w:tcW w:w="835" w:type="pct"/>
                </w:tcPr>
                <w:p w:rsidR="00AC2131" w:rsidRPr="003A17E4" w:rsidRDefault="00AC2131" w:rsidP="00AC2131">
                  <w:pPr>
                    <w:pStyle w:val="TableBodyText"/>
                    <w:spacing w:after="25"/>
                    <w:ind w:right="28"/>
                    <w:rPr>
                      <w:b/>
                      <w:i/>
                    </w:rPr>
                  </w:pPr>
                  <w:r w:rsidRPr="003A17E4">
                    <w:t>-93.8</w:t>
                  </w:r>
                </w:p>
              </w:tc>
            </w:tr>
            <w:tr w:rsidR="00AC2131" w:rsidTr="00AC2131">
              <w:tc>
                <w:tcPr>
                  <w:tcW w:w="2497" w:type="pct"/>
                </w:tcPr>
                <w:p w:rsidR="00AC2131" w:rsidRPr="004A449C" w:rsidRDefault="00AC2131" w:rsidP="00AC2131">
                  <w:pPr>
                    <w:pStyle w:val="TableBodyText"/>
                    <w:spacing w:after="25"/>
                    <w:jc w:val="left"/>
                  </w:pPr>
                  <w:r w:rsidRPr="004A449C">
                    <w:t>Construction</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-1804.9</w:t>
                  </w:r>
                </w:p>
              </w:tc>
              <w:tc>
                <w:tcPr>
                  <w:tcW w:w="835" w:type="pct"/>
                </w:tcPr>
                <w:p w:rsidR="00AC2131" w:rsidRPr="003A17E4" w:rsidRDefault="00AC2131" w:rsidP="00AC2131">
                  <w:pPr>
                    <w:pStyle w:val="TableBodyText"/>
                    <w:spacing w:after="25"/>
                    <w:ind w:right="28"/>
                    <w:rPr>
                      <w:b/>
                      <w:i/>
                    </w:rPr>
                  </w:pPr>
                  <w:r w:rsidRPr="003A17E4">
                    <w:t>-1804.9</w:t>
                  </w:r>
                </w:p>
              </w:tc>
            </w:tr>
            <w:tr w:rsidR="00AC2131" w:rsidTr="00AC2131">
              <w:tc>
                <w:tcPr>
                  <w:tcW w:w="2497" w:type="pct"/>
                </w:tcPr>
                <w:p w:rsidR="00AC2131" w:rsidRPr="004A449C" w:rsidRDefault="00AC2131" w:rsidP="00AC2131">
                  <w:pPr>
                    <w:pStyle w:val="TableBodyText"/>
                    <w:spacing w:after="25"/>
                    <w:jc w:val="left"/>
                  </w:pPr>
                  <w:r w:rsidRPr="004A449C">
                    <w:t>Wholesale trade</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-262.0</w:t>
                  </w:r>
                </w:p>
              </w:tc>
              <w:tc>
                <w:tcPr>
                  <w:tcW w:w="835" w:type="pct"/>
                </w:tcPr>
                <w:p w:rsidR="00AC2131" w:rsidRPr="003A17E4" w:rsidRDefault="00AC2131" w:rsidP="00AC2131">
                  <w:pPr>
                    <w:pStyle w:val="TableBodyText"/>
                    <w:spacing w:after="25"/>
                    <w:ind w:right="28"/>
                    <w:rPr>
                      <w:b/>
                      <w:i/>
                    </w:rPr>
                  </w:pPr>
                  <w:r w:rsidRPr="003A17E4">
                    <w:t>-262.0</w:t>
                  </w:r>
                </w:p>
              </w:tc>
            </w:tr>
            <w:tr w:rsidR="00AC2131" w:rsidTr="00AC2131">
              <w:tc>
                <w:tcPr>
                  <w:tcW w:w="2497" w:type="pct"/>
                </w:tcPr>
                <w:p w:rsidR="00AC2131" w:rsidRPr="004A449C" w:rsidRDefault="00AC2131" w:rsidP="00AC2131">
                  <w:pPr>
                    <w:pStyle w:val="TableBodyText"/>
                    <w:spacing w:after="25"/>
                    <w:jc w:val="left"/>
                  </w:pPr>
                  <w:r w:rsidRPr="004A449C">
                    <w:t>Retail trade</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-191.3</w:t>
                  </w:r>
                </w:p>
              </w:tc>
              <w:tc>
                <w:tcPr>
                  <w:tcW w:w="835" w:type="pct"/>
                </w:tcPr>
                <w:p w:rsidR="00AC2131" w:rsidRPr="003A17E4" w:rsidRDefault="00AC2131" w:rsidP="00AC2131">
                  <w:pPr>
                    <w:pStyle w:val="TableBodyText"/>
                    <w:spacing w:after="25"/>
                    <w:ind w:right="28"/>
                    <w:rPr>
                      <w:b/>
                      <w:i/>
                    </w:rPr>
                  </w:pPr>
                  <w:r w:rsidRPr="003A17E4">
                    <w:t>-191.3</w:t>
                  </w:r>
                </w:p>
              </w:tc>
            </w:tr>
            <w:tr w:rsidR="00AC2131" w:rsidTr="00AC2131">
              <w:tc>
                <w:tcPr>
                  <w:tcW w:w="2497" w:type="pct"/>
                </w:tcPr>
                <w:p w:rsidR="00AC2131" w:rsidRPr="004A449C" w:rsidRDefault="00AC2131" w:rsidP="00AC2131">
                  <w:pPr>
                    <w:pStyle w:val="TableBodyText"/>
                    <w:spacing w:after="25"/>
                    <w:jc w:val="left"/>
                  </w:pPr>
                  <w:r w:rsidRPr="004A449C">
                    <w:t>Accommodation and food services</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-543.8</w:t>
                  </w:r>
                </w:p>
              </w:tc>
              <w:tc>
                <w:tcPr>
                  <w:tcW w:w="835" w:type="pct"/>
                </w:tcPr>
                <w:p w:rsidR="00AC2131" w:rsidRPr="003A17E4" w:rsidRDefault="00AC2131" w:rsidP="00AC2131">
                  <w:pPr>
                    <w:pStyle w:val="TableBodyText"/>
                    <w:spacing w:after="25"/>
                    <w:ind w:right="28"/>
                    <w:rPr>
                      <w:b/>
                      <w:i/>
                    </w:rPr>
                  </w:pPr>
                  <w:r w:rsidRPr="003A17E4">
                    <w:t>-543.8</w:t>
                  </w:r>
                </w:p>
              </w:tc>
            </w:tr>
            <w:tr w:rsidR="00AC2131" w:rsidTr="00AC2131">
              <w:tc>
                <w:tcPr>
                  <w:tcW w:w="2497" w:type="pct"/>
                </w:tcPr>
                <w:p w:rsidR="00AC2131" w:rsidRPr="004A449C" w:rsidRDefault="00AC2131" w:rsidP="00AC2131">
                  <w:pPr>
                    <w:pStyle w:val="TableBodyText"/>
                    <w:spacing w:after="25"/>
                    <w:jc w:val="left"/>
                  </w:pPr>
                  <w:r w:rsidRPr="004A449C">
                    <w:t>Transport, postal and warehousing</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-216.1</w:t>
                  </w:r>
                </w:p>
              </w:tc>
              <w:tc>
                <w:tcPr>
                  <w:tcW w:w="835" w:type="pct"/>
                </w:tcPr>
                <w:p w:rsidR="00AC2131" w:rsidRPr="003A17E4" w:rsidRDefault="00AC2131" w:rsidP="00AC2131">
                  <w:pPr>
                    <w:pStyle w:val="TableBodyText"/>
                    <w:spacing w:after="25"/>
                    <w:ind w:right="28"/>
                    <w:rPr>
                      <w:b/>
                      <w:i/>
                    </w:rPr>
                  </w:pPr>
                  <w:r w:rsidRPr="003A17E4">
                    <w:t>-216.1</w:t>
                  </w:r>
                </w:p>
              </w:tc>
            </w:tr>
            <w:tr w:rsidR="00AC2131" w:rsidTr="00AC2131">
              <w:tc>
                <w:tcPr>
                  <w:tcW w:w="2497" w:type="pct"/>
                </w:tcPr>
                <w:p w:rsidR="00AC2131" w:rsidRPr="004A449C" w:rsidRDefault="00AC2131" w:rsidP="00AC2131">
                  <w:pPr>
                    <w:pStyle w:val="TableBodyText"/>
                    <w:spacing w:after="25"/>
                    <w:jc w:val="left"/>
                  </w:pPr>
                  <w:r w:rsidRPr="004A449C">
                    <w:t>Information, media and telecommunications</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-151.0</w:t>
                  </w:r>
                </w:p>
              </w:tc>
              <w:tc>
                <w:tcPr>
                  <w:tcW w:w="835" w:type="pct"/>
                </w:tcPr>
                <w:p w:rsidR="00AC2131" w:rsidRPr="003A17E4" w:rsidRDefault="00AC2131" w:rsidP="00AC2131">
                  <w:pPr>
                    <w:pStyle w:val="TableBodyText"/>
                    <w:spacing w:after="25"/>
                    <w:ind w:right="28"/>
                    <w:rPr>
                      <w:b/>
                      <w:i/>
                    </w:rPr>
                  </w:pPr>
                  <w:r w:rsidRPr="003A17E4">
                    <w:t>-151.0</w:t>
                  </w:r>
                </w:p>
              </w:tc>
            </w:tr>
            <w:tr w:rsidR="00AC2131" w:rsidTr="00AC2131">
              <w:tc>
                <w:tcPr>
                  <w:tcW w:w="2497" w:type="pct"/>
                </w:tcPr>
                <w:p w:rsidR="00AC2131" w:rsidRPr="004A449C" w:rsidRDefault="00AC2131" w:rsidP="00AC2131">
                  <w:pPr>
                    <w:pStyle w:val="TableBodyText"/>
                    <w:spacing w:after="25"/>
                    <w:jc w:val="left"/>
                  </w:pPr>
                  <w:r w:rsidRPr="004A449C">
                    <w:t>Financial and insurance services</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-10.5</w:t>
                  </w:r>
                </w:p>
              </w:tc>
              <w:tc>
                <w:tcPr>
                  <w:tcW w:w="835" w:type="pct"/>
                </w:tcPr>
                <w:p w:rsidR="00AC2131" w:rsidRPr="003A17E4" w:rsidRDefault="00AC2131" w:rsidP="00AC2131">
                  <w:pPr>
                    <w:pStyle w:val="TableBodyText"/>
                    <w:spacing w:after="25"/>
                    <w:ind w:right="28"/>
                    <w:rPr>
                      <w:b/>
                      <w:i/>
                    </w:rPr>
                  </w:pPr>
                  <w:r w:rsidRPr="003A17E4">
                    <w:t>-10.5</w:t>
                  </w:r>
                </w:p>
              </w:tc>
            </w:tr>
            <w:tr w:rsidR="00AC2131" w:rsidTr="00AC2131">
              <w:tc>
                <w:tcPr>
                  <w:tcW w:w="2497" w:type="pct"/>
                </w:tcPr>
                <w:p w:rsidR="00AC2131" w:rsidRPr="004A449C" w:rsidRDefault="00AC2131" w:rsidP="00AC2131">
                  <w:pPr>
                    <w:pStyle w:val="TableBodyText"/>
                    <w:spacing w:after="25"/>
                    <w:jc w:val="left"/>
                  </w:pPr>
                  <w:r w:rsidRPr="004A449C">
                    <w:t>Property, professional and admin. services</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-637.2</w:t>
                  </w:r>
                </w:p>
              </w:tc>
              <w:tc>
                <w:tcPr>
                  <w:tcW w:w="835" w:type="pct"/>
                </w:tcPr>
                <w:p w:rsidR="00AC2131" w:rsidRPr="003A17E4" w:rsidRDefault="00AC2131" w:rsidP="00AC2131">
                  <w:pPr>
                    <w:pStyle w:val="TableBodyText"/>
                    <w:spacing w:after="25"/>
                    <w:ind w:right="28"/>
                    <w:rPr>
                      <w:b/>
                      <w:i/>
                    </w:rPr>
                  </w:pPr>
                  <w:r w:rsidRPr="003A17E4">
                    <w:t>-637.2</w:t>
                  </w:r>
                </w:p>
              </w:tc>
            </w:tr>
            <w:tr w:rsidR="00AC2131" w:rsidTr="00AC2131">
              <w:tc>
                <w:tcPr>
                  <w:tcW w:w="2497" w:type="pct"/>
                </w:tcPr>
                <w:p w:rsidR="00AC2131" w:rsidRPr="004A449C" w:rsidRDefault="00AC2131" w:rsidP="00AC2131">
                  <w:pPr>
                    <w:pStyle w:val="TableBodyText"/>
                    <w:spacing w:after="25"/>
                    <w:jc w:val="left"/>
                  </w:pPr>
                  <w:r w:rsidRPr="004A449C">
                    <w:t>Public administration and safety</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-228.2</w:t>
                  </w:r>
                </w:p>
              </w:tc>
              <w:tc>
                <w:tcPr>
                  <w:tcW w:w="835" w:type="pct"/>
                </w:tcPr>
                <w:p w:rsidR="00AC2131" w:rsidRPr="003A17E4" w:rsidRDefault="00AC2131" w:rsidP="00AC2131">
                  <w:pPr>
                    <w:pStyle w:val="TableBodyText"/>
                    <w:spacing w:after="25"/>
                    <w:ind w:right="28"/>
                    <w:rPr>
                      <w:b/>
                      <w:i/>
                    </w:rPr>
                  </w:pPr>
                  <w:r w:rsidRPr="003A17E4">
                    <w:t>-228.2</w:t>
                  </w:r>
                </w:p>
              </w:tc>
            </w:tr>
            <w:tr w:rsidR="00AC2131" w:rsidTr="00AC2131">
              <w:tc>
                <w:tcPr>
                  <w:tcW w:w="2497" w:type="pct"/>
                </w:tcPr>
                <w:p w:rsidR="00AC2131" w:rsidRPr="004A449C" w:rsidRDefault="00AC2131" w:rsidP="00AC2131">
                  <w:pPr>
                    <w:pStyle w:val="TableBodyText"/>
                    <w:spacing w:after="25"/>
                    <w:jc w:val="left"/>
                  </w:pPr>
                  <w:r w:rsidRPr="004A449C">
                    <w:t>Education and training</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-126.8</w:t>
                  </w:r>
                </w:p>
              </w:tc>
              <w:tc>
                <w:tcPr>
                  <w:tcW w:w="835" w:type="pct"/>
                </w:tcPr>
                <w:p w:rsidR="00AC2131" w:rsidRPr="003A17E4" w:rsidRDefault="00AC2131" w:rsidP="00AC2131">
                  <w:pPr>
                    <w:pStyle w:val="TableBodyText"/>
                    <w:spacing w:after="25"/>
                    <w:ind w:right="28"/>
                    <w:rPr>
                      <w:b/>
                      <w:i/>
                    </w:rPr>
                  </w:pPr>
                  <w:r w:rsidRPr="003A17E4">
                    <w:t>-126.8</w:t>
                  </w:r>
                </w:p>
              </w:tc>
            </w:tr>
            <w:tr w:rsidR="00AC2131" w:rsidTr="00AC2131">
              <w:tc>
                <w:tcPr>
                  <w:tcW w:w="2497" w:type="pct"/>
                </w:tcPr>
                <w:p w:rsidR="00AC2131" w:rsidRPr="004A449C" w:rsidRDefault="00AC2131" w:rsidP="00AC2131">
                  <w:pPr>
                    <w:pStyle w:val="TableBodyText"/>
                    <w:spacing w:after="25"/>
                    <w:jc w:val="left"/>
                  </w:pPr>
                  <w:r w:rsidRPr="004A449C">
                    <w:t>Health care and social assistance</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-281.6</w:t>
                  </w:r>
                </w:p>
              </w:tc>
              <w:tc>
                <w:tcPr>
                  <w:tcW w:w="835" w:type="pct"/>
                </w:tcPr>
                <w:p w:rsidR="00AC2131" w:rsidRPr="003A17E4" w:rsidRDefault="00AC2131" w:rsidP="00AC2131">
                  <w:pPr>
                    <w:pStyle w:val="TableBodyText"/>
                    <w:spacing w:after="25"/>
                    <w:ind w:right="28"/>
                    <w:rPr>
                      <w:b/>
                      <w:i/>
                    </w:rPr>
                  </w:pPr>
                  <w:r w:rsidRPr="003A17E4">
                    <w:t>-281.6</w:t>
                  </w:r>
                </w:p>
              </w:tc>
            </w:tr>
            <w:tr w:rsidR="00AC2131" w:rsidTr="00AC2131">
              <w:tc>
                <w:tcPr>
                  <w:tcW w:w="2497" w:type="pct"/>
                </w:tcPr>
                <w:p w:rsidR="00AC2131" w:rsidRPr="004A449C" w:rsidRDefault="00AC2131" w:rsidP="00AC2131">
                  <w:pPr>
                    <w:pStyle w:val="TableBodyText"/>
                    <w:spacing w:after="25"/>
                    <w:jc w:val="left"/>
                  </w:pPr>
                  <w:r w:rsidRPr="004A449C">
                    <w:t>Arts and recreation services</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-82.7</w:t>
                  </w:r>
                </w:p>
              </w:tc>
              <w:tc>
                <w:tcPr>
                  <w:tcW w:w="835" w:type="pct"/>
                </w:tcPr>
                <w:p w:rsidR="00AC2131" w:rsidRPr="003A17E4" w:rsidRDefault="00AC2131" w:rsidP="00AC2131">
                  <w:pPr>
                    <w:pStyle w:val="TableBodyText"/>
                    <w:spacing w:after="25"/>
                    <w:ind w:right="28"/>
                    <w:rPr>
                      <w:b/>
                      <w:i/>
                    </w:rPr>
                  </w:pPr>
                  <w:r w:rsidRPr="003A17E4">
                    <w:t>-82.7</w:t>
                  </w:r>
                </w:p>
              </w:tc>
            </w:tr>
            <w:tr w:rsidR="00AC2131" w:rsidTr="00AC2131">
              <w:tc>
                <w:tcPr>
                  <w:tcW w:w="2497" w:type="pct"/>
                </w:tcPr>
                <w:p w:rsidR="00AC2131" w:rsidRDefault="00AC2131" w:rsidP="00AC2131">
                  <w:pPr>
                    <w:pStyle w:val="TableBodyText"/>
                    <w:spacing w:after="25"/>
                    <w:jc w:val="left"/>
                  </w:pPr>
                  <w:r w:rsidRPr="004A449C">
                    <w:t>Other services</w:t>
                  </w:r>
                </w:p>
              </w:tc>
              <w:tc>
                <w:tcPr>
                  <w:tcW w:w="834" w:type="pct"/>
                </w:tcPr>
                <w:p w:rsidR="00AC2131" w:rsidRPr="003A17E4" w:rsidRDefault="00AC2131" w:rsidP="00AC2131">
                  <w:pPr>
                    <w:pStyle w:val="TableBodyText"/>
                    <w:spacing w:after="25"/>
                  </w:pPr>
                  <w:r>
                    <w:t>–</w:t>
                  </w:r>
                </w:p>
              </w:tc>
              <w:tc>
                <w:tcPr>
                  <w:tcW w:w="834" w:type="pct"/>
                </w:tcPr>
                <w:p w:rsidR="00AC2131" w:rsidRPr="003A17E4" w:rsidRDefault="00AC2131" w:rsidP="00AC2131">
                  <w:pPr>
                    <w:pStyle w:val="TableBodyText"/>
                    <w:spacing w:after="25"/>
                    <w:rPr>
                      <w:b/>
                      <w:i/>
                    </w:rPr>
                  </w:pPr>
                  <w:r w:rsidRPr="003A17E4">
                    <w:t>-298.5</w:t>
                  </w:r>
                </w:p>
              </w:tc>
              <w:tc>
                <w:tcPr>
                  <w:tcW w:w="835" w:type="pct"/>
                </w:tcPr>
                <w:p w:rsidR="00AC2131" w:rsidRPr="003A17E4" w:rsidRDefault="00AC2131" w:rsidP="00AC2131">
                  <w:pPr>
                    <w:pStyle w:val="TableBodyText"/>
                    <w:spacing w:after="25"/>
                    <w:ind w:right="28"/>
                    <w:rPr>
                      <w:b/>
                      <w:i/>
                    </w:rPr>
                  </w:pPr>
                  <w:r w:rsidRPr="003A17E4">
                    <w:t>-298.5</w:t>
                  </w:r>
                </w:p>
              </w:tc>
            </w:tr>
            <w:tr w:rsidR="00AC2131" w:rsidRPr="00477DE6" w:rsidTr="00AC2131">
              <w:tc>
                <w:tcPr>
                  <w:tcW w:w="2497" w:type="pct"/>
                </w:tcPr>
                <w:p w:rsidR="00AC2131" w:rsidRPr="00477DE6" w:rsidRDefault="00AC2131" w:rsidP="00AC2131">
                  <w:pPr>
                    <w:pStyle w:val="TableBodyText"/>
                    <w:spacing w:after="25"/>
                    <w:jc w:val="left"/>
                  </w:pPr>
                  <w:r w:rsidRPr="00477DE6">
                    <w:t>Unallocated services</w:t>
                  </w:r>
                </w:p>
              </w:tc>
              <w:tc>
                <w:tcPr>
                  <w:tcW w:w="834" w:type="pct"/>
                </w:tcPr>
                <w:p w:rsidR="00AC2131" w:rsidRPr="00477DE6" w:rsidRDefault="00AC2131" w:rsidP="00AC2131">
                  <w:pPr>
                    <w:pStyle w:val="TableBodyText"/>
                    <w:spacing w:after="25"/>
                  </w:pPr>
                  <w:r>
                    <w:t>–</w:t>
                  </w:r>
                </w:p>
              </w:tc>
              <w:tc>
                <w:tcPr>
                  <w:tcW w:w="834" w:type="pct"/>
                </w:tcPr>
                <w:p w:rsidR="00AC2131" w:rsidRPr="00477DE6" w:rsidRDefault="00AC2131" w:rsidP="00AC2131">
                  <w:pPr>
                    <w:pStyle w:val="TableBodyText"/>
                    <w:spacing w:after="25"/>
                    <w:rPr>
                      <w:b/>
                      <w:i/>
                    </w:rPr>
                  </w:pPr>
                  <w:r>
                    <w:t>–</w:t>
                  </w:r>
                </w:p>
              </w:tc>
              <w:tc>
                <w:tcPr>
                  <w:tcW w:w="835" w:type="pct"/>
                </w:tcPr>
                <w:p w:rsidR="00AC2131" w:rsidRPr="00477DE6" w:rsidRDefault="00AC2131" w:rsidP="00AC2131">
                  <w:pPr>
                    <w:pStyle w:val="TableBodyText"/>
                    <w:spacing w:after="25"/>
                    <w:ind w:right="28"/>
                    <w:rPr>
                      <w:b/>
                      <w:i/>
                    </w:rPr>
                  </w:pPr>
                  <w:r>
                    <w:t>–</w:t>
                  </w:r>
                </w:p>
              </w:tc>
            </w:tr>
            <w:tr w:rsidR="00AC2131" w:rsidRPr="00B44451" w:rsidTr="00AC2131">
              <w:tc>
                <w:tcPr>
                  <w:tcW w:w="2497" w:type="pct"/>
                </w:tcPr>
                <w:p w:rsidR="00AC2131" w:rsidRPr="00B44451" w:rsidRDefault="00AC2131" w:rsidP="00AC2131">
                  <w:pPr>
                    <w:pStyle w:val="TableBodyText"/>
                    <w:spacing w:after="30"/>
                    <w:jc w:val="left"/>
                    <w:rPr>
                      <w:b/>
                    </w:rPr>
                  </w:pPr>
                  <w:r w:rsidRPr="00B44451">
                    <w:rPr>
                      <w:b/>
                    </w:rPr>
                    <w:t>Unallocated other</w:t>
                  </w:r>
                </w:p>
              </w:tc>
              <w:tc>
                <w:tcPr>
                  <w:tcW w:w="834" w:type="pct"/>
                </w:tcPr>
                <w:p w:rsidR="00AC2131" w:rsidRPr="00B44451" w:rsidRDefault="00AC2131" w:rsidP="00AC2131">
                  <w:pPr>
                    <w:pStyle w:val="TableBodyText"/>
                    <w:spacing w:after="30"/>
                    <w:rPr>
                      <w:b/>
                    </w:rPr>
                  </w:pPr>
                  <w:r w:rsidRPr="00B44451">
                    <w:rPr>
                      <w:b/>
                    </w:rPr>
                    <w:t>–</w:t>
                  </w:r>
                </w:p>
              </w:tc>
              <w:tc>
                <w:tcPr>
                  <w:tcW w:w="834" w:type="pct"/>
                </w:tcPr>
                <w:p w:rsidR="00AC2131" w:rsidRPr="00B44451" w:rsidRDefault="00AC2131" w:rsidP="00AC2131">
                  <w:pPr>
                    <w:pStyle w:val="TableBodyText"/>
                    <w:spacing w:after="30"/>
                    <w:rPr>
                      <w:b/>
                      <w:i/>
                    </w:rPr>
                  </w:pPr>
                  <w:r w:rsidRPr="00B44451">
                    <w:rPr>
                      <w:b/>
                    </w:rPr>
                    <w:t>–</w:t>
                  </w:r>
                </w:p>
              </w:tc>
              <w:tc>
                <w:tcPr>
                  <w:tcW w:w="835" w:type="pct"/>
                </w:tcPr>
                <w:p w:rsidR="00AC2131" w:rsidRPr="00B44451" w:rsidRDefault="00AC2131" w:rsidP="00AC2131">
                  <w:pPr>
                    <w:pStyle w:val="TableBodyText"/>
                    <w:spacing w:after="30"/>
                    <w:ind w:right="28"/>
                    <w:rPr>
                      <w:b/>
                      <w:i/>
                    </w:rPr>
                  </w:pPr>
                  <w:r w:rsidRPr="00B44451">
                    <w:rPr>
                      <w:b/>
                    </w:rPr>
                    <w:t>–</w:t>
                  </w:r>
                </w:p>
              </w:tc>
            </w:tr>
            <w:tr w:rsidR="00AC2131" w:rsidRPr="006F5146" w:rsidTr="00AC2131">
              <w:tc>
                <w:tcPr>
                  <w:tcW w:w="2497" w:type="pct"/>
                  <w:tcBorders>
                    <w:bottom w:val="single" w:sz="6" w:space="0" w:color="BFBFBF"/>
                  </w:tcBorders>
                  <w:shd w:val="clear" w:color="auto" w:fill="auto"/>
                </w:tcPr>
                <w:p w:rsidR="00AC2131" w:rsidRPr="006F5146" w:rsidRDefault="00AC2131" w:rsidP="00AC2131">
                  <w:pPr>
                    <w:pStyle w:val="TableBodyText"/>
                    <w:spacing w:after="30"/>
                    <w:jc w:val="left"/>
                    <w:rPr>
                      <w:b/>
                    </w:rPr>
                  </w:pPr>
                  <w:r w:rsidRPr="006F5146">
                    <w:rPr>
                      <w:b/>
                    </w:rPr>
                    <w:t>Total</w:t>
                  </w:r>
                </w:p>
              </w:tc>
              <w:tc>
                <w:tcPr>
                  <w:tcW w:w="834" w:type="pct"/>
                  <w:tcBorders>
                    <w:bottom w:val="single" w:sz="6" w:space="0" w:color="BFBFBF"/>
                  </w:tcBorders>
                </w:tcPr>
                <w:p w:rsidR="00AC2131" w:rsidRPr="006F5146" w:rsidRDefault="00AC2131" w:rsidP="00AC2131">
                  <w:pPr>
                    <w:pStyle w:val="TableBodyText"/>
                    <w:spacing w:after="30"/>
                    <w:rPr>
                      <w:b/>
                    </w:rPr>
                  </w:pPr>
                  <w:r w:rsidRPr="006F5146">
                    <w:rPr>
                      <w:b/>
                    </w:rPr>
                    <w:t>7920.0</w:t>
                  </w:r>
                </w:p>
              </w:tc>
              <w:tc>
                <w:tcPr>
                  <w:tcW w:w="834" w:type="pct"/>
                  <w:tcBorders>
                    <w:bottom w:val="single" w:sz="6" w:space="0" w:color="BFBFBF"/>
                  </w:tcBorders>
                  <w:shd w:val="clear" w:color="auto" w:fill="auto"/>
                </w:tcPr>
                <w:p w:rsidR="00AC2131" w:rsidRPr="006F5146" w:rsidRDefault="00AC2131" w:rsidP="00AC2131">
                  <w:pPr>
                    <w:pStyle w:val="TableBodyText"/>
                    <w:spacing w:after="30"/>
                    <w:rPr>
                      <w:b/>
                      <w:i/>
                    </w:rPr>
                  </w:pPr>
                  <w:r w:rsidRPr="006F5146">
                    <w:rPr>
                      <w:b/>
                    </w:rPr>
                    <w:t>-7321.5</w:t>
                  </w:r>
                </w:p>
              </w:tc>
              <w:tc>
                <w:tcPr>
                  <w:tcW w:w="835" w:type="pct"/>
                  <w:tcBorders>
                    <w:bottom w:val="single" w:sz="6" w:space="0" w:color="BFBFBF"/>
                  </w:tcBorders>
                  <w:shd w:val="clear" w:color="auto" w:fill="auto"/>
                </w:tcPr>
                <w:p w:rsidR="00AC2131" w:rsidRPr="006F5146" w:rsidRDefault="00AC2131" w:rsidP="00AC2131">
                  <w:pPr>
                    <w:pStyle w:val="TableBodyText"/>
                    <w:spacing w:after="30"/>
                    <w:ind w:right="28"/>
                    <w:rPr>
                      <w:b/>
                      <w:i/>
                    </w:rPr>
                  </w:pPr>
                  <w:r w:rsidRPr="006F5146">
                    <w:rPr>
                      <w:b/>
                    </w:rPr>
                    <w:t>598.5</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sidRPr="00E61C77">
              <w:t>– Nil.</w:t>
            </w:r>
            <w:r>
              <w:t xml:space="preserve"> </w:t>
            </w:r>
            <w:r w:rsidRPr="008E77FE">
              <w:rPr>
                <w:rStyle w:val="NoteLabel"/>
              </w:rPr>
              <w:t>a</w:t>
            </w:r>
            <w:r>
              <w:t xml:space="preserve"> See footnote (a) in table 5.1. </w:t>
            </w:r>
            <w:r>
              <w:rPr>
                <w:rStyle w:val="NoteLabel"/>
              </w:rPr>
              <w:t>b</w:t>
            </w:r>
            <w:r>
              <w:t> Totals may not add due to rounding.</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2"/>
      </w:pPr>
      <w:r>
        <w:lastRenderedPageBreak/>
        <w:t>5.</w:t>
      </w:r>
      <w:r>
        <w:rPr>
          <w:noProof/>
        </w:rPr>
        <w:t>3</w:t>
      </w:r>
      <w:r>
        <w:tab/>
        <w:t>Australian Government budgetary assistance</w:t>
      </w:r>
    </w:p>
    <w:p w:rsidR="00AC2131" w:rsidRDefault="00AC2131" w:rsidP="00AC2131">
      <w:pPr>
        <w:pStyle w:val="BodyText"/>
      </w:pPr>
      <w:r w:rsidRPr="00DF7A28">
        <w:t>Budgetary assistance includes actual payments (outlays) and industry</w:t>
      </w:r>
      <w:r>
        <w:t xml:space="preserve">- </w:t>
      </w:r>
      <w:r w:rsidRPr="00DF7A28">
        <w:t>and sector</w:t>
      </w:r>
      <w:r>
        <w:t>-</w:t>
      </w:r>
      <w:r w:rsidRPr="00DF7A28">
        <w:t>specific tax concessions that have industry policy objectives (figure</w:t>
      </w:r>
      <w:r>
        <w:t> 5.4</w:t>
      </w:r>
      <w:r w:rsidRPr="00DF7A28">
        <w:t xml:space="preserve">). Some measures provide assistance directly to firms, such as the Automotive Transformation Scheme </w:t>
      </w:r>
      <w:r>
        <w:t>($333 million in 2013</w:t>
      </w:r>
      <w:r>
        <w:noBreakHyphen/>
        <w:t xml:space="preserve">14) </w:t>
      </w:r>
      <w:r w:rsidRPr="00DF7A28">
        <w:t>and taxation concessions on R&amp;D expenditures</w:t>
      </w:r>
      <w:r>
        <w:t xml:space="preserve"> ($1.8 billion in 2013</w:t>
      </w:r>
      <w:r>
        <w:noBreakHyphen/>
        <w:t>14)</w:t>
      </w:r>
      <w:r w:rsidRPr="00DF7A28">
        <w:t xml:space="preserve">, while other budgetary support measures deliver benefits indirectly to an industry via intermediate organisations such as the Rural Research and Development Corporations </w:t>
      </w:r>
      <w:r>
        <w:t>($263 million in 2013</w:t>
      </w:r>
      <w:r>
        <w:noBreakHyphen/>
        <w:t xml:space="preserve">14) </w:t>
      </w:r>
      <w:r w:rsidRPr="00DF7A28">
        <w:t>and the CSIRO</w:t>
      </w:r>
      <w:r>
        <w:t xml:space="preserve"> ($492 million in 2013</w:t>
      </w:r>
      <w:r>
        <w:noBreakHyphen/>
        <w:t>14)</w:t>
      </w:r>
      <w:r w:rsidRPr="00DF7A28">
        <w:t>.</w:t>
      </w:r>
      <w:r>
        <w:rPr>
          <w:rStyle w:val="FootnoteReference"/>
        </w:rPr>
        <w:footnoteReference w:id="40"/>
      </w:r>
      <w:r>
        <w:t xml:space="preserve">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rPr>
                <w:caps/>
              </w:rPr>
            </w:pPr>
            <w:r w:rsidRPr="00784A05">
              <w:rPr>
                <w:b w:val="0"/>
              </w:rPr>
              <w:t xml:space="preserve">Figure </w:t>
            </w:r>
            <w:r>
              <w:rPr>
                <w:b w:val="0"/>
              </w:rPr>
              <w:t>5.</w:t>
            </w:r>
            <w:r>
              <w:rPr>
                <w:b w:val="0"/>
                <w:noProof/>
              </w:rPr>
              <w:t>4</w:t>
            </w:r>
            <w:r>
              <w:tab/>
            </w:r>
            <w:r w:rsidRPr="00DC297C">
              <w:t>Forms of budgetary assistance</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4778BC8F" wp14:editId="7DE68F24">
                        <wp:extent cx="4890770" cy="3030220"/>
                        <wp:effectExtent l="0" t="0" r="5080" b="0"/>
                        <wp:docPr id="26" name="Picture 26" descr="Figure 5.4 outlines the different forms of budgetary assistance in text.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90770" cy="3030220"/>
                                </a:xfrm>
                                <a:prstGeom prst="rect">
                                  <a:avLst/>
                                </a:prstGeom>
                                <a:noFill/>
                                <a:ln>
                                  <a:noFill/>
                                </a:ln>
                              </pic:spPr>
                            </pic:pic>
                          </a:graphicData>
                        </a:graphic>
                      </wp:inline>
                    </w:drawing>
                  </w:r>
                </w:p>
              </w:tc>
            </w:tr>
          </w:tbl>
          <w:p w:rsidR="00AC2131" w:rsidRDefault="00AC2131" w:rsidP="00AC2131">
            <w:pPr>
              <w:pStyle w:val="Figure"/>
            </w:pP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Th</w:t>
      </w:r>
      <w:r w:rsidRPr="00DF7A28">
        <w:t>e budgetary assistance estimates are derived primarily from actual expenditures shown in departmental and agency annual reports, and the Tax Expenditures Statement (TES)</w:t>
      </w:r>
      <w:r>
        <w:t xml:space="preserve"> complied by the Australian Treasury</w:t>
      </w:r>
      <w:r w:rsidRPr="00DF7A28">
        <w:t>. Industry and sectoral disaggregations are based primarily on supplementary information provided by relevant departments or agencies.</w:t>
      </w:r>
      <w:r>
        <w:t xml:space="preserve"> </w:t>
      </w:r>
    </w:p>
    <w:p w:rsidR="00AC2131" w:rsidRDefault="00AC2131" w:rsidP="00AC2131">
      <w:pPr>
        <w:pStyle w:val="BodyText"/>
      </w:pPr>
      <w:r>
        <w:t>In addition to Australian Government budgetary assistance to industry, State and Territory governments also provide budgetary assistance to industry.</w:t>
      </w:r>
      <w:r w:rsidRPr="00634B34">
        <w:t xml:space="preserve"> </w:t>
      </w:r>
      <w:r>
        <w:t>As part of the 2008</w:t>
      </w:r>
      <w:r>
        <w:noBreakHyphen/>
        <w:t>09 Review, the Commission undertook a detailed study of State and Territory government assistance measures. Among other things, this study found that in 2008</w:t>
      </w:r>
      <w:r>
        <w:noBreakHyphen/>
        <w:t xml:space="preserve">09 State and Territory government expended around $4.1 billion on programs and services that provided </w:t>
      </w:r>
      <w:r>
        <w:lastRenderedPageBreak/>
        <w:t xml:space="preserve">assistance to industry. This equated to around $184 per person. Programs relating to primary industries and resources accounted for around 60 per cent of estimated industry assistance with a significant proportion of this expenditure for Rural R&amp;D support. In addition, there was state government drought support, including interest rate and transport subsidies, of over $170 million. Around a third of expenditure on industry programs was also paid in grants and subsidies or used in the provision of other direct support to industry such as marketing and promotion (PC 2011a). </w:t>
      </w:r>
    </w:p>
    <w:p w:rsidR="00AC2131" w:rsidRDefault="00AC2131" w:rsidP="00AC2131">
      <w:pPr>
        <w:pStyle w:val="Heading3"/>
      </w:pPr>
      <w:r>
        <w:t>Aggregate budgetary assistance</w:t>
      </w:r>
    </w:p>
    <w:p w:rsidR="00AC2131" w:rsidRDefault="00AC2131" w:rsidP="00AC2131">
      <w:pPr>
        <w:pStyle w:val="BodyText"/>
      </w:pPr>
      <w:r w:rsidRPr="00341689">
        <w:t>The estimated gross value of budgetary assistance to Australian industry was around $</w:t>
      </w:r>
      <w:r>
        <w:t>9.1 </w:t>
      </w:r>
      <w:r w:rsidRPr="00341689">
        <w:t>billion in 2013</w:t>
      </w:r>
      <w:r>
        <w:noBreakHyphen/>
        <w:t>14</w:t>
      </w:r>
      <w:r w:rsidRPr="00341689">
        <w:t>,</w:t>
      </w:r>
      <w:r>
        <w:rPr>
          <w:rStyle w:val="FootnoteReference"/>
        </w:rPr>
        <w:footnoteReference w:id="41"/>
      </w:r>
      <w:r w:rsidRPr="00341689">
        <w:t xml:space="preserve"> </w:t>
      </w:r>
      <w:r>
        <w:t>17 per cent higher than</w:t>
      </w:r>
      <w:r w:rsidRPr="00341689">
        <w:t xml:space="preserve"> 2012</w:t>
      </w:r>
      <w:r>
        <w:noBreakHyphen/>
        <w:t>13</w:t>
      </w:r>
      <w:r w:rsidRPr="00341689">
        <w:t xml:space="preserve"> in nominal terms (figure</w:t>
      </w:r>
      <w:r>
        <w:t> 5.5</w:t>
      </w:r>
      <w:r w:rsidRPr="00341689">
        <w:t xml:space="preserve">). In real terms, this represents </w:t>
      </w:r>
      <w:r>
        <w:t>an increase of 15 </w:t>
      </w:r>
      <w:r w:rsidRPr="00341689">
        <w:t>per</w:t>
      </w:r>
      <w:r>
        <w:t> </w:t>
      </w:r>
      <w:r w:rsidRPr="00341689">
        <w:t>cent since 20</w:t>
      </w:r>
      <w:r>
        <w:t>12</w:t>
      </w:r>
      <w:r>
        <w:noBreakHyphen/>
        <w:t xml:space="preserve">13, although from </w:t>
      </w:r>
      <w:r w:rsidRPr="00341689">
        <w:t>20</w:t>
      </w:r>
      <w:r>
        <w:t>08</w:t>
      </w:r>
      <w:r>
        <w:noBreakHyphen/>
        <w:t>09</w:t>
      </w:r>
      <w:r w:rsidRPr="00341689">
        <w:t xml:space="preserve"> </w:t>
      </w:r>
      <w:r>
        <w:t>there has been a net decline in the real, inflation adjusted, level of assistance of 2 </w:t>
      </w:r>
      <w:r w:rsidRPr="00341689">
        <w:t>per</w:t>
      </w:r>
      <w:r>
        <w:t> </w:t>
      </w:r>
      <w:r w:rsidRPr="00341689">
        <w:t>cent.</w:t>
      </w:r>
      <w:r>
        <w:t xml:space="preserve">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8"/>
      </w:tblGrid>
      <w:tr w:rsidR="00AC2131" w:rsidTr="00AC2131">
        <w:tc>
          <w:tcPr>
            <w:tcW w:w="8788"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bookmarkStart w:id="9" w:name="OLE_LINK10"/>
            <w:r>
              <w:rPr>
                <w:b w:val="0"/>
              </w:rPr>
              <w:t>5.</w:t>
            </w:r>
            <w:r>
              <w:rPr>
                <w:b w:val="0"/>
                <w:noProof/>
              </w:rPr>
              <w:t>5</w:t>
            </w:r>
            <w:bookmarkEnd w:id="9"/>
            <w:r>
              <w:tab/>
              <w:t>Budgetary assistance to industry, 2008</w:t>
            </w:r>
            <w:r>
              <w:noBreakHyphen/>
              <w:t>09 to 2013</w:t>
            </w:r>
            <w:r>
              <w:noBreakHyphen/>
              <w:t>14</w:t>
            </w:r>
          </w:p>
          <w:p w:rsidR="00AC2131" w:rsidRPr="00176D3F" w:rsidRDefault="00AC2131" w:rsidP="00AC2131">
            <w:pPr>
              <w:pStyle w:val="Subtitle"/>
            </w:pPr>
            <w:r>
              <w:t>$ billion (nominal)</w:t>
            </w:r>
          </w:p>
        </w:tc>
      </w:tr>
      <w:tr w:rsidR="00AC2131" w:rsidTr="00AC2131">
        <w:tc>
          <w:tcPr>
            <w:tcW w:w="8788"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Default="009B392D" w:rsidP="00AC2131">
                  <w:pPr>
                    <w:pStyle w:val="Figure"/>
                    <w:spacing w:before="60" w:after="60"/>
                  </w:pPr>
                  <w:r>
                    <w:rPr>
                      <w:noProof/>
                    </w:rPr>
                    <w:drawing>
                      <wp:inline distT="0" distB="0" distL="0" distR="0" wp14:anchorId="110E4613" wp14:editId="6BA31340">
                        <wp:extent cx="5266055" cy="2709545"/>
                        <wp:effectExtent l="0" t="0" r="0" b="0"/>
                        <wp:docPr id="48" name="Picture 48" descr="Figure 5.5 presents budgetary assistance to industry from 2008-09 to 2013-14.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266055" cy="2709545"/>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88"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Pr>
                <w:i/>
              </w:rPr>
              <w:t>s</w:t>
            </w:r>
            <w:r w:rsidRPr="00176D3F">
              <w:t xml:space="preserve">: </w:t>
            </w:r>
            <w:r>
              <w:t xml:space="preserve">Australian Government Budget and related papers (various years); departmental annual reports (various years); Australian Government (2015a); Commission estimates. </w:t>
            </w:r>
          </w:p>
        </w:tc>
      </w:tr>
      <w:tr w:rsidR="00AC2131" w:rsidTr="00AC2131">
        <w:tc>
          <w:tcPr>
            <w:tcW w:w="8788"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88"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lastRenderedPageBreak/>
        <w:t>The main reasons for the increase in aggregate budgetary assistance from 2012</w:t>
      </w:r>
      <w:r>
        <w:noBreakHyphen/>
        <w:t>13 to 2013</w:t>
      </w:r>
      <w:r>
        <w:noBreakHyphen/>
        <w:t>14 are:</w:t>
      </w:r>
    </w:p>
    <w:p w:rsidR="00AC2131" w:rsidRDefault="00AC2131" w:rsidP="00AC2131">
      <w:pPr>
        <w:pStyle w:val="ListBullet"/>
      </w:pPr>
      <w:r>
        <w:t>an increase of around $1.5 billion in assistance afforded by the Small Business Simplified Depreciation Rules scheme to enable small businesses to access concessional depreciation arrangements for business assets</w:t>
      </w:r>
      <w:r>
        <w:rPr>
          <w:rStyle w:val="FootnoteReference"/>
        </w:rPr>
        <w:footnoteReference w:id="42"/>
      </w:r>
    </w:p>
    <w:p w:rsidR="00AC2131" w:rsidRDefault="00AC2131" w:rsidP="00AC2131">
      <w:pPr>
        <w:pStyle w:val="ListBullet"/>
      </w:pPr>
      <w:r>
        <w:t xml:space="preserve">around $200 million in additional assistance provided through the Australian Renewable Energy Agency to fund a broad range of both commercial and R&amp;D projects in Bioenergy, Geothermal power, Hydropower and Solar energy </w:t>
      </w:r>
    </w:p>
    <w:p w:rsidR="00AC2131" w:rsidRDefault="00AC2131" w:rsidP="00AC2131">
      <w:pPr>
        <w:pStyle w:val="ListBullet"/>
      </w:pPr>
      <w:r>
        <w:t xml:space="preserve">an increase of around $88 million in assistance afforded through the </w:t>
      </w:r>
      <w:r w:rsidRPr="00A755D7">
        <w:t>Carbon Capture and Storage Flagships Program</w:t>
      </w:r>
      <w:r>
        <w:t xml:space="preserve"> to </w:t>
      </w:r>
      <w:r w:rsidRPr="00C1159B">
        <w:t xml:space="preserve">support </w:t>
      </w:r>
      <w:r>
        <w:t xml:space="preserve">the construction and demonstration of large-scale integrated carbon capture and storage projects in Australia. </w:t>
      </w:r>
    </w:p>
    <w:p w:rsidR="00AC2131" w:rsidRDefault="00AC2131" w:rsidP="00AC2131">
      <w:pPr>
        <w:pStyle w:val="BodyText"/>
      </w:pPr>
      <w:r>
        <w:t>Partially offsetting these increases were decreases in budgetary assistance between 2012</w:t>
      </w:r>
      <w:r>
        <w:noBreakHyphen/>
        <w:t>13 to 2013</w:t>
      </w:r>
      <w:r>
        <w:noBreakHyphen/>
        <w:t xml:space="preserve">14, including: </w:t>
      </w:r>
    </w:p>
    <w:p w:rsidR="00AC2131" w:rsidRPr="00E361C1" w:rsidRDefault="00AC2131" w:rsidP="00AC2131">
      <w:pPr>
        <w:pStyle w:val="ListBullet"/>
      </w:pPr>
      <w:r>
        <w:t>a decrease of around</w:t>
      </w:r>
      <w:r w:rsidRPr="00E361C1">
        <w:t xml:space="preserve"> $220 million in assistance afforded by the Small Business and General Business Tax Break</w:t>
      </w:r>
      <w:r>
        <w:t xml:space="preserve"> scheme, as this tax break applies only to eligible assets purchased before 31 December 2009</w:t>
      </w:r>
    </w:p>
    <w:p w:rsidR="00AC2131" w:rsidRDefault="00AC2131" w:rsidP="00AC2131">
      <w:pPr>
        <w:pStyle w:val="ListBullet"/>
      </w:pPr>
      <w:r>
        <w:t>a decrease of $200 million in assistance afforded by the 25 per cent Entrepreneurs’ Tax Offset scheme following the cessation of the scheme beyond the 2011</w:t>
      </w:r>
      <w:r>
        <w:noBreakHyphen/>
        <w:t>12 income year</w:t>
      </w:r>
    </w:p>
    <w:p w:rsidR="00AC2131" w:rsidRDefault="00AC2131" w:rsidP="00AC2131">
      <w:pPr>
        <w:pStyle w:val="ListBullet"/>
      </w:pPr>
      <w:r>
        <w:t>a decrease of around $155 million afforded through the Rebate for Broadcasting Licence Fees scheme following the ending of the rebate.</w:t>
      </w:r>
    </w:p>
    <w:p w:rsidR="00AC2131" w:rsidRDefault="00AC2131" w:rsidP="00AC2131">
      <w:pPr>
        <w:pStyle w:val="BodyText"/>
      </w:pPr>
      <w:r>
        <w:t>The estimated level and composition of budgetary assistance is also affected by program redesign. For example, the estimated assistance afforded by the (new) R&amp;D Tax Incentive scheme increased by around $440 million from 2012</w:t>
      </w:r>
      <w:r>
        <w:noBreakHyphen/>
        <w:t>13 to 2013</w:t>
      </w:r>
      <w:r>
        <w:noBreakHyphen/>
        <w:t>14, although this was largely offset by a decrease in assistance of around $400 million afforded by the scheme that replaced the R&amp;D Tax Concession and Premium R&amp;D Tax Concession schemes.</w:t>
      </w:r>
      <w:r w:rsidRPr="007362FD">
        <w:t xml:space="preserve"> </w:t>
      </w:r>
    </w:p>
    <w:p w:rsidR="00AC2131" w:rsidRDefault="00AC2131" w:rsidP="00AC2131">
      <w:pPr>
        <w:pStyle w:val="Heading4"/>
      </w:pPr>
      <w:r w:rsidRPr="007362FD">
        <w:t>Unqu</w:t>
      </w:r>
      <w:r>
        <w:t>antified tax concessions</w:t>
      </w:r>
    </w:p>
    <w:p w:rsidR="00AC2131" w:rsidRDefault="00AC2131" w:rsidP="00AC2131">
      <w:pPr>
        <w:pStyle w:val="BodyText"/>
      </w:pPr>
      <w:r w:rsidRPr="00D34EDE">
        <w:t>Not all tax concessions affording assistance to industry are quantified in the Treasury’s annual TES. In cases where quantification is not practicable, the TES generally provides indicative ranges within which the value of the concession may fall. The 2013 TES identifies 50 business income tax measures which involve ‘differential’ tax treatment from the ‘norm’, some which may be considered industry assistance such as tax write-offs for horticulture plants, and tax deductions for horse breeding stock.</w:t>
      </w:r>
      <w:r>
        <w:t xml:space="preserve"> </w:t>
      </w:r>
    </w:p>
    <w:p w:rsidR="00AC2131" w:rsidRDefault="00AC2131" w:rsidP="00AC2131">
      <w:pPr>
        <w:pStyle w:val="Heading3"/>
      </w:pPr>
      <w:r>
        <w:lastRenderedPageBreak/>
        <w:t>Activities targeted</w:t>
      </w:r>
    </w:p>
    <w:p w:rsidR="00AC2131" w:rsidRDefault="00AC2131" w:rsidP="00AC2131">
      <w:pPr>
        <w:pStyle w:val="BodyText"/>
      </w:pPr>
      <w:r>
        <w:t xml:space="preserve">Budgetary assistance is often designed to encourage particular activities (such as R&amp;D or exports) or to support particular firms, industries or sectors. To provide an indication of the distribution of assistance among activities and to facilitate more detailed assessments of changes in the composition and nature of assistance, the Commission categorises its estimates of Australian Government budgetary assistance into: </w:t>
      </w:r>
    </w:p>
    <w:p w:rsidR="00AC2131" w:rsidRDefault="00AC2131" w:rsidP="00AC2131">
      <w:pPr>
        <w:pStyle w:val="ListBullet"/>
      </w:pPr>
      <w:r w:rsidRPr="004F4DF9">
        <w:rPr>
          <w:i/>
        </w:rPr>
        <w:t>R&amp;D</w:t>
      </w:r>
      <w:r>
        <w:t xml:space="preserve"> measures, including that undertaken by CSIRO, Cooperative Research Centres and rural R&amp;D corporations, as well as R&amp;D taxation concessions</w:t>
      </w:r>
      <w:r>
        <w:rPr>
          <w:rStyle w:val="FootnoteReference"/>
        </w:rPr>
        <w:footnoteReference w:id="43"/>
      </w:r>
      <w:r>
        <w:t xml:space="preserve"> </w:t>
      </w:r>
    </w:p>
    <w:p w:rsidR="00AC2131" w:rsidRDefault="00AC2131" w:rsidP="00AC2131">
      <w:pPr>
        <w:pStyle w:val="ListBullet"/>
      </w:pPr>
      <w:r w:rsidRPr="004F4DF9">
        <w:rPr>
          <w:i/>
        </w:rPr>
        <w:t>Export</w:t>
      </w:r>
      <w:r>
        <w:t xml:space="preserve"> measures, including through Export Market Development Grants, import duty drawback, TRADEX and Austrade</w:t>
      </w:r>
    </w:p>
    <w:p w:rsidR="00AC2131" w:rsidRDefault="00AC2131" w:rsidP="00AC2131">
      <w:pPr>
        <w:pStyle w:val="ListBullet"/>
      </w:pPr>
      <w:r w:rsidRPr="004F4DF9">
        <w:rPr>
          <w:i/>
        </w:rPr>
        <w:t>Investment</w:t>
      </w:r>
      <w:r>
        <w:t xml:space="preserve"> measures, including development allowances and several former investment attraction packages</w:t>
      </w:r>
    </w:p>
    <w:p w:rsidR="00AC2131" w:rsidRDefault="00AC2131" w:rsidP="00AC2131">
      <w:pPr>
        <w:pStyle w:val="ListBullet"/>
      </w:pPr>
      <w:r w:rsidRPr="004F4DF9">
        <w:rPr>
          <w:i/>
        </w:rPr>
        <w:t>Industry-specific</w:t>
      </w:r>
      <w:r>
        <w:t xml:space="preserve"> measures, including the Automotive Transformation Scheme, the Clothing and Household Textile Building Innovative Capability Program, Film industry offsets scheme and the Offshore Banking Unit Taxation Concession</w:t>
      </w:r>
    </w:p>
    <w:p w:rsidR="00AC2131" w:rsidRDefault="00AC2131" w:rsidP="00AC2131">
      <w:pPr>
        <w:pStyle w:val="ListBullet"/>
      </w:pPr>
      <w:r w:rsidRPr="004F4DF9">
        <w:rPr>
          <w:i/>
        </w:rPr>
        <w:t>Sector-wide</w:t>
      </w:r>
      <w:r>
        <w:t xml:space="preserve"> measures, such as ‘exceptional circumstances’ drought relief payments and the tax concessions under the Farm Management Deposits Scheme, in the case of the primary sector</w:t>
      </w:r>
    </w:p>
    <w:p w:rsidR="00AC2131" w:rsidRDefault="00AC2131" w:rsidP="00AC2131">
      <w:pPr>
        <w:pStyle w:val="ListBullet"/>
      </w:pPr>
      <w:r w:rsidRPr="004F4DF9">
        <w:rPr>
          <w:i/>
        </w:rPr>
        <w:t>Small business</w:t>
      </w:r>
      <w:r>
        <w:t xml:space="preserve"> programs, such as the Small Business and General Business Tax Break, the small business capital gains tax concessions, the 25 per cent Entrepreneurs’ Tax Offset and the Small Business Advisory Services Program</w:t>
      </w:r>
    </w:p>
    <w:p w:rsidR="00AC2131" w:rsidRDefault="00AC2131" w:rsidP="00AC2131">
      <w:pPr>
        <w:pStyle w:val="ListBullet"/>
      </w:pPr>
      <w:r w:rsidRPr="004F4DF9">
        <w:rPr>
          <w:i/>
        </w:rPr>
        <w:t>Regional</w:t>
      </w:r>
      <w:r>
        <w:t xml:space="preserve"> assistance, including the Tasmanian Freight Equalisation Scheme, Bass Straight Passenger Vehicle Equalisation Scheme and various structural adjustment programs with a regional focus </w:t>
      </w:r>
    </w:p>
    <w:p w:rsidR="00AC2131" w:rsidRDefault="00AC2131" w:rsidP="00AC2131">
      <w:pPr>
        <w:pStyle w:val="ListBullet"/>
      </w:pPr>
      <w:r>
        <w:t>a residual ‘</w:t>
      </w:r>
      <w:r w:rsidRPr="004F4DF9">
        <w:rPr>
          <w:i/>
        </w:rPr>
        <w:t>Other</w:t>
      </w:r>
      <w:r>
        <w:t>’ category, including the Textiles, Leather, Clothing and Footwear Corporate Wear Program, the Pooled Development Funds initiative, and the Enterprise Connect Innovation Centres Initiative.</w:t>
      </w:r>
    </w:p>
    <w:p w:rsidR="00AC2131" w:rsidRDefault="00AC2131" w:rsidP="00AC2131">
      <w:pPr>
        <w:pStyle w:val="BodyText"/>
      </w:pPr>
      <w:r>
        <w:t>The majority of budgetary assistance in 2013</w:t>
      </w:r>
      <w:r>
        <w:noBreakHyphen/>
        <w:t>14 was directed to:</w:t>
      </w:r>
    </w:p>
    <w:p w:rsidR="00AC2131" w:rsidRDefault="00AC2131" w:rsidP="00AC2131">
      <w:pPr>
        <w:pStyle w:val="ListBullet"/>
      </w:pPr>
      <w:r>
        <w:t xml:space="preserve">R&amp;D (34 per cent) — including $492 million for CSIRO research with most assistance going to the primary production sector ($154 million), with over half of this allocated to the </w:t>
      </w:r>
      <w:r>
        <w:rPr>
          <w:i/>
        </w:rPr>
        <w:t>S</w:t>
      </w:r>
      <w:r w:rsidRPr="003820B8">
        <w:rPr>
          <w:i/>
        </w:rPr>
        <w:t>heep, beef cattle and grain farming</w:t>
      </w:r>
      <w:r>
        <w:t xml:space="preserve"> industry) followed by the services sector ($137 million), and $112 million for the Cooperative Research Centres program where over half was directed towards services</w:t>
      </w:r>
    </w:p>
    <w:p w:rsidR="00AC2131" w:rsidRDefault="00AC2131" w:rsidP="00AC2131">
      <w:pPr>
        <w:pStyle w:val="ListBullet"/>
      </w:pPr>
      <w:r>
        <w:lastRenderedPageBreak/>
        <w:t xml:space="preserve">small business (31 per cent) — including $1.4 billion for the Small Business Simplified Depreciation Rules scheme, where over 80 per cent of the concession is directed towards the services sector with the </w:t>
      </w:r>
      <w:r w:rsidRPr="00EA7988">
        <w:rPr>
          <w:i/>
        </w:rPr>
        <w:t>Property, professional and administrative services</w:t>
      </w:r>
      <w:r>
        <w:t xml:space="preserve"> industry being the single largest recipient ($379 million)</w:t>
      </w:r>
    </w:p>
    <w:p w:rsidR="00AC2131" w:rsidRDefault="00AC2131" w:rsidP="00AC2131">
      <w:pPr>
        <w:pStyle w:val="ListBullet"/>
      </w:pPr>
      <w:r>
        <w:t xml:space="preserve">specific industries (17 per cent) — including $333 million for the Automotive Transformation Scheme (allocated to </w:t>
      </w:r>
      <w:r w:rsidRPr="00A17C73">
        <w:rPr>
          <w:i/>
        </w:rPr>
        <w:t>Motor vehicles and parts</w:t>
      </w:r>
      <w:r>
        <w:t xml:space="preserve">), $252 million for the Film industry offsets scheme (allocated to </w:t>
      </w:r>
      <w:r w:rsidRPr="00A17C73">
        <w:rPr>
          <w:i/>
        </w:rPr>
        <w:t>Arts and recreation services</w:t>
      </w:r>
      <w:r>
        <w:t xml:space="preserve">), $185 million for the Offshore Banking Unit Tax Concession (allocated to </w:t>
      </w:r>
      <w:r w:rsidRPr="00A17C73">
        <w:rPr>
          <w:i/>
        </w:rPr>
        <w:t>Financial and insurance services</w:t>
      </w:r>
      <w:r>
        <w:t xml:space="preserve">) and $102 million for the Ethanol production subsidy (allocated to </w:t>
      </w:r>
      <w:r w:rsidRPr="00A17C73">
        <w:rPr>
          <w:i/>
        </w:rPr>
        <w:t>Petroleum, coal, chemical and rubber products</w:t>
      </w:r>
      <w:r>
        <w:t xml:space="preserve">) (figure 5.6).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bookmarkStart w:id="10" w:name="OLE_LINK3"/>
            <w:r>
              <w:rPr>
                <w:b w:val="0"/>
              </w:rPr>
              <w:t>5.</w:t>
            </w:r>
            <w:r>
              <w:rPr>
                <w:b w:val="0"/>
                <w:noProof/>
              </w:rPr>
              <w:t>6</w:t>
            </w:r>
            <w:bookmarkEnd w:id="10"/>
            <w:r>
              <w:tab/>
              <w:t>Budgetary assistance by category, 2008</w:t>
            </w:r>
            <w:r>
              <w:noBreakHyphen/>
              <w:t>09 to 2013</w:t>
            </w:r>
            <w:r>
              <w:noBreakHyphen/>
              <w:t>14</w:t>
            </w:r>
          </w:p>
          <w:p w:rsidR="00AC2131" w:rsidRPr="00176D3F" w:rsidRDefault="00AC2131" w:rsidP="00AC2131">
            <w:pPr>
              <w:pStyle w:val="Subtitle"/>
            </w:pPr>
            <w:r>
              <w:t>$ billion (nominal)</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Pr="00F07C1D" w:rsidRDefault="00AC2131" w:rsidP="00AC2131">
                  <w:pPr>
                    <w:pStyle w:val="Figure"/>
                    <w:spacing w:before="60" w:after="60"/>
                    <w:rPr>
                      <w:rStyle w:val="NoteLabel"/>
                    </w:rPr>
                  </w:pPr>
                  <w:r>
                    <w:rPr>
                      <w:rFonts w:ascii="Arial" w:hAnsi="Arial"/>
                      <w:b/>
                      <w:noProof/>
                      <w:position w:val="6"/>
                      <w:sz w:val="18"/>
                    </w:rPr>
                    <w:drawing>
                      <wp:inline distT="0" distB="0" distL="0" distR="0" wp14:anchorId="6A2681F9" wp14:editId="625513BB">
                        <wp:extent cx="5400675" cy="2876550"/>
                        <wp:effectExtent l="0" t="0" r="9525" b="0"/>
                        <wp:docPr id="28" name="Picture 28" descr="Figure 5.6 presents budgetary assistance by category from 2008-09 to 2013-14.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Note"/>
            </w:pPr>
            <w:r>
              <w:rPr>
                <w:rStyle w:val="NoteLabel"/>
              </w:rPr>
              <w:t>a</w:t>
            </w:r>
            <w:r>
              <w:t xml:space="preserve"> Includes investment measures. </w:t>
            </w: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 xml:space="preserve">Commission estimates. </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rsidRPr="00A46197">
        <w:t>This compares with a distribution of budgetary assistance comprised of R&amp;D (27 per cent)</w:t>
      </w:r>
      <w:r>
        <w:t>,</w:t>
      </w:r>
      <w:r w:rsidRPr="00A46197">
        <w:t xml:space="preserve"> specific industries (19 per cent) and small business (28 per cent) in 2008</w:t>
      </w:r>
      <w:r w:rsidRPr="00A46197">
        <w:noBreakHyphen/>
        <w:t xml:space="preserve">09. </w:t>
      </w:r>
      <w:r>
        <w:t>As would be expected, the detailed composition has been subject to change over the period 2008</w:t>
      </w:r>
      <w:r>
        <w:noBreakHyphen/>
        <w:t>09 to 2013</w:t>
      </w:r>
      <w:r>
        <w:noBreakHyphen/>
        <w:t>14. For example, the main taxation concession arrangements supporting R&amp;D was referred to as the R&amp;D Tax Concession and Premium R&amp;D Tax Concession. These schemes ended in 2011 and were replaced by the R&amp;D Tax Incentive. In 2008</w:t>
      </w:r>
      <w:r>
        <w:noBreakHyphen/>
        <w:t>09, the flagship program supporting the motor vehicle industry was the Automotive Competitiveness and Investment Scheme (ACIS). This scheme was closed in 2010 when it was replaced by the Automotive Transformation Scheme (ATS). Appendix A provides expenditure details by program for the years 2008</w:t>
      </w:r>
      <w:r>
        <w:noBreakHyphen/>
        <w:t>09 to 2013</w:t>
      </w:r>
      <w:r>
        <w:noBreakHyphen/>
        <w:t xml:space="preserve">14. </w:t>
      </w:r>
    </w:p>
    <w:p w:rsidR="00AC2131" w:rsidRDefault="00AC2131" w:rsidP="00AC2131">
      <w:pPr>
        <w:pStyle w:val="BodyText"/>
      </w:pPr>
      <w:r w:rsidRPr="00A46197">
        <w:lastRenderedPageBreak/>
        <w:t>Over the six year period 2008</w:t>
      </w:r>
      <w:r w:rsidRPr="00A46197">
        <w:noBreakHyphen/>
        <w:t>09 to 2013</w:t>
      </w:r>
      <w:r w:rsidRPr="00A46197">
        <w:noBreakHyphen/>
        <w:t>14, changes in the shares of budgetary assistance to different activities are largely accounted for by</w:t>
      </w:r>
      <w:r>
        <w:t>:</w:t>
      </w:r>
      <w:r w:rsidRPr="00A46197">
        <w:t xml:space="preserve"> </w:t>
      </w:r>
    </w:p>
    <w:p w:rsidR="00AC2131" w:rsidRDefault="00AC2131" w:rsidP="00AC2131">
      <w:pPr>
        <w:pStyle w:val="ListBullet"/>
      </w:pPr>
      <w:r w:rsidRPr="00A46197">
        <w:t>significant increases in concessions under the Small Business and General Business Tax Break up to 2010</w:t>
      </w:r>
      <w:r w:rsidRPr="00A46197">
        <w:noBreakHyphen/>
        <w:t>11 followed by sharp decreases in 2011</w:t>
      </w:r>
      <w:r w:rsidRPr="00A46197">
        <w:noBreakHyphen/>
        <w:t>12 and 2012</w:t>
      </w:r>
      <w:r w:rsidRPr="00A46197">
        <w:noBreakHyphen/>
        <w:t>13</w:t>
      </w:r>
    </w:p>
    <w:p w:rsidR="00AC2131" w:rsidRDefault="00AC2131" w:rsidP="00AC2131">
      <w:pPr>
        <w:pStyle w:val="ListBullet"/>
      </w:pPr>
      <w:r w:rsidRPr="00A46197">
        <w:t xml:space="preserve">an overall reduction in </w:t>
      </w:r>
      <w:r>
        <w:t xml:space="preserve">assistance from </w:t>
      </w:r>
      <w:r w:rsidRPr="00A46197">
        <w:t>drought related programs over the period</w:t>
      </w:r>
      <w:r>
        <w:t xml:space="preserve"> to 2012</w:t>
      </w:r>
      <w:r>
        <w:noBreakHyphen/>
        <w:t>13 following an easing in drought conditions, although in February 2014 the Government announced an expanded drought assistance package leading to an increase in drought related assistance in 2013</w:t>
      </w:r>
      <w:r>
        <w:noBreakHyphen/>
        <w:t>14</w:t>
      </w:r>
      <w:r>
        <w:rPr>
          <w:rStyle w:val="FootnoteReference"/>
        </w:rPr>
        <w:footnoteReference w:id="44"/>
      </w:r>
      <w:r w:rsidRPr="00A46197">
        <w:t xml:space="preserve"> </w:t>
      </w:r>
    </w:p>
    <w:p w:rsidR="00AC2131" w:rsidRDefault="00AC2131" w:rsidP="00AC2131">
      <w:pPr>
        <w:pStyle w:val="ListBullet"/>
      </w:pPr>
      <w:r w:rsidRPr="00A46197">
        <w:t>a significant increase in transitional assistance in relation to the carbon pricing mechanism in 2011</w:t>
      </w:r>
      <w:r w:rsidRPr="00A46197">
        <w:noBreakHyphen/>
        <w:t xml:space="preserve">12 and </w:t>
      </w:r>
      <w:r>
        <w:t xml:space="preserve">its </w:t>
      </w:r>
      <w:r w:rsidRPr="00A46197">
        <w:t>subsequent winding down in 2012</w:t>
      </w:r>
      <w:r w:rsidRPr="00A46197">
        <w:noBreakHyphen/>
        <w:t>13</w:t>
      </w:r>
    </w:p>
    <w:p w:rsidR="00AC2131" w:rsidRDefault="00AC2131" w:rsidP="00AC2131">
      <w:pPr>
        <w:pStyle w:val="ListBullet"/>
      </w:pPr>
      <w:r w:rsidRPr="00A46197">
        <w:t>a gradual increase in funding for R&amp;D activities over the period</w:t>
      </w:r>
    </w:p>
    <w:p w:rsidR="00AC2131" w:rsidRDefault="00AC2131" w:rsidP="00AC2131">
      <w:pPr>
        <w:pStyle w:val="ListBullet"/>
      </w:pPr>
      <w:r w:rsidRPr="00A46197">
        <w:t>a</w:t>
      </w:r>
      <w:r>
        <w:t xml:space="preserve"> significant </w:t>
      </w:r>
      <w:r w:rsidRPr="00A46197">
        <w:t>increase in concessions provided under the Small Business Depreciation Rules scheme in 2013</w:t>
      </w:r>
      <w:r w:rsidRPr="00A46197">
        <w:noBreakHyphen/>
        <w:t xml:space="preserve">14. </w:t>
      </w:r>
    </w:p>
    <w:p w:rsidR="00AC2131" w:rsidRDefault="00AC2131" w:rsidP="00AC2131">
      <w:pPr>
        <w:pStyle w:val="BodyText"/>
      </w:pPr>
      <w:r>
        <w:t xml:space="preserve">Some caution is required when interpreting these shares. While assistance programs have been allocated to the industry to which the assistance first accrues based on the nature of the support and main activities assessed as receiving that support (the ‘initial benefiting industry’), some have characteristics that relate to more than one category. For example, the R&amp;D category includes rural R&amp;D, which could also be considered sector-specific as it relates to agriculture or agricultural product processing activities. </w:t>
      </w:r>
    </w:p>
    <w:p w:rsidR="00AC2131" w:rsidRDefault="00AC2131" w:rsidP="00AC2131">
      <w:pPr>
        <w:pStyle w:val="Heading4"/>
      </w:pPr>
      <w:r>
        <w:t>Carbon emission reduction measures</w:t>
      </w:r>
    </w:p>
    <w:p w:rsidR="00AC2131" w:rsidRDefault="00AC2131" w:rsidP="00AC2131">
      <w:pPr>
        <w:pStyle w:val="BodyText"/>
      </w:pPr>
      <w:r>
        <w:t>A number of budgetary measures included in the estimates relate to carbon emissions reduction, designated renewable energy and energy supply and use goals. These measures support a range of activities that span R&amp;D, industry-specific, sector-specific and other measures. The measures amounted to around $750 million (8 per cent) of estimated budgetary assistance in 2013</w:t>
      </w:r>
      <w:r>
        <w:noBreakHyphen/>
        <w:t>14, about $425 million higher than in 2012</w:t>
      </w:r>
      <w:r>
        <w:noBreakHyphen/>
        <w:t xml:space="preserve">13. </w:t>
      </w:r>
    </w:p>
    <w:p w:rsidR="00AC2131" w:rsidRDefault="00AC2131" w:rsidP="00AC2131">
      <w:pPr>
        <w:pStyle w:val="Heading3"/>
      </w:pPr>
      <w:r>
        <w:t>Sectoral and industry distribution</w:t>
      </w:r>
    </w:p>
    <w:p w:rsidR="00AC2131" w:rsidRDefault="00AC2131" w:rsidP="00AC2131">
      <w:pPr>
        <w:pStyle w:val="BodyText"/>
      </w:pPr>
      <w:r w:rsidRPr="00217C2B">
        <w:t>The Commission records the incidence of budgetary assistance by the initial benefiting industry. Estimates are presented for 34 industry groupings, while four ‘unallocated’ categories are used for programs for which it has not been possible to confidently identify the initial benefiting industry or sector</w:t>
      </w:r>
      <w:r>
        <w:t xml:space="preserve"> from primary information provided</w:t>
      </w:r>
      <w:r w:rsidRPr="00217C2B">
        <w:t>.</w:t>
      </w:r>
      <w:r>
        <w:t xml:space="preserve"> </w:t>
      </w:r>
    </w:p>
    <w:p w:rsidR="00AC2131" w:rsidRPr="00BC6874" w:rsidRDefault="00AC2131" w:rsidP="00AC2131">
      <w:pPr>
        <w:pStyle w:val="BodyText"/>
      </w:pPr>
      <w:r w:rsidRPr="00BC6874">
        <w:lastRenderedPageBreak/>
        <w:t>In 2013</w:t>
      </w:r>
      <w:r w:rsidRPr="00BC6874">
        <w:noBreakHyphen/>
        <w:t xml:space="preserve">14, </w:t>
      </w:r>
      <w:r>
        <w:t xml:space="preserve">as measured by the Commission, </w:t>
      </w:r>
      <w:r w:rsidRPr="00BC6874">
        <w:t xml:space="preserve">most budgetary assistance was afforded through </w:t>
      </w:r>
      <w:r w:rsidRPr="005C7B5D">
        <w:rPr>
          <w:i/>
        </w:rPr>
        <w:t>outlays</w:t>
      </w:r>
      <w:r w:rsidRPr="00BC6874">
        <w:t xml:space="preserve"> for the primary production</w:t>
      </w:r>
      <w:r>
        <w:t>, mining</w:t>
      </w:r>
      <w:r w:rsidRPr="00BC6874">
        <w:t xml:space="preserve"> and manufacturing sectors while for </w:t>
      </w:r>
      <w:r>
        <w:t>s</w:t>
      </w:r>
      <w:r w:rsidRPr="00BC6874">
        <w:t xml:space="preserve">ervices, the majority of budgetary assistance was provided through </w:t>
      </w:r>
      <w:r w:rsidRPr="00E26F86">
        <w:rPr>
          <w:i/>
        </w:rPr>
        <w:t>tax concessions</w:t>
      </w:r>
      <w:r w:rsidRPr="00BC6874">
        <w:t xml:space="preserve">. </w:t>
      </w:r>
    </w:p>
    <w:p w:rsidR="00AC2131" w:rsidRDefault="00AC2131" w:rsidP="00AC2131">
      <w:pPr>
        <w:pStyle w:val="BodyText"/>
      </w:pPr>
      <w:r>
        <w:t>In 2013</w:t>
      </w:r>
      <w:r>
        <w:noBreakHyphen/>
        <w:t>14, the services sector is estimated to have received around 47 per cent of estimated budgetary assistance — down from around 42 per cent in 2008</w:t>
      </w:r>
      <w:r>
        <w:noBreakHyphen/>
        <w:t>09 (figure 5.7). The manufacturing and primary production sectors, which together contribute about 9 per cent of economy-wide value-added, received around one third of total estimated budgetary assistance in 2013</w:t>
      </w:r>
      <w:r>
        <w:noBreakHyphen/>
        <w:t>14, while the mining sector received relatively little measured budgetary assistance. While it has been practicable to assign an initial benefiting industry to over 85 per cent of budgetary assistance, the proportion not assigned to a benefiting industry has increased since 2008</w:t>
      </w:r>
      <w:r>
        <w:noBreakHyphen/>
        <w:t xml:space="preserve">09. </w:t>
      </w:r>
    </w:p>
    <w:p w:rsidR="00AC2131" w:rsidRDefault="00AC2131" w:rsidP="00AC2131">
      <w:pPr>
        <w:pStyle w:val="BodyText"/>
      </w:pPr>
      <w:r>
        <w:t>The three industry groups receiving the largest levels of budgetary assistance accounted for over a quarter of estimated budgetary assistance to industry in 2013</w:t>
      </w:r>
      <w:r>
        <w:noBreakHyphen/>
        <w:t xml:space="preserve">14 (table 5.4). </w:t>
      </w:r>
    </w:p>
    <w:p w:rsidR="00AC2131" w:rsidRDefault="00AC2131" w:rsidP="00AC2131">
      <w:pPr>
        <w:pStyle w:val="ListBullet"/>
      </w:pPr>
      <w:r>
        <w:t xml:space="preserve">Budgetary assistance was highest for the </w:t>
      </w:r>
      <w:r w:rsidRPr="00EA7988">
        <w:rPr>
          <w:i/>
        </w:rPr>
        <w:t>Property, professional and administrative services</w:t>
      </w:r>
      <w:r w:rsidRPr="00F037A3">
        <w:t xml:space="preserve"> </w:t>
      </w:r>
      <w:r>
        <w:t xml:space="preserve">industry ($979 million) consisting mainly of </w:t>
      </w:r>
      <w:r w:rsidRPr="00C711ED">
        <w:t xml:space="preserve">the R&amp;D </w:t>
      </w:r>
      <w:r>
        <w:t>T</w:t>
      </w:r>
      <w:r w:rsidRPr="00C711ED">
        <w:t xml:space="preserve">ax </w:t>
      </w:r>
      <w:r>
        <w:t xml:space="preserve">Incentive scheme </w:t>
      </w:r>
      <w:r w:rsidRPr="00C711ED">
        <w:t xml:space="preserve">and Small </w:t>
      </w:r>
      <w:r>
        <w:t>B</w:t>
      </w:r>
      <w:r w:rsidRPr="00C711ED">
        <w:t xml:space="preserve">usiness </w:t>
      </w:r>
      <w:r>
        <w:t>S</w:t>
      </w:r>
      <w:r w:rsidRPr="0040279F">
        <w:t xml:space="preserve">implified </w:t>
      </w:r>
      <w:r>
        <w:t>D</w:t>
      </w:r>
      <w:r w:rsidRPr="0040279F">
        <w:t xml:space="preserve">epreciation </w:t>
      </w:r>
      <w:r>
        <w:t>R</w:t>
      </w:r>
      <w:r w:rsidRPr="0040279F">
        <w:t xml:space="preserve">ules </w:t>
      </w:r>
      <w:r>
        <w:t>scheme.</w:t>
      </w:r>
    </w:p>
    <w:p w:rsidR="00AC2131" w:rsidRDefault="00AC2131" w:rsidP="00AC2131">
      <w:pPr>
        <w:pStyle w:val="ListBullet"/>
      </w:pPr>
      <w:r w:rsidRPr="00EA7988">
        <w:rPr>
          <w:i/>
        </w:rPr>
        <w:t xml:space="preserve">Financial and insurance services </w:t>
      </w:r>
      <w:r>
        <w:t xml:space="preserve">was the next highest recipient ($960 million), including through </w:t>
      </w:r>
      <w:r w:rsidRPr="00C711ED">
        <w:t xml:space="preserve">the R&amp;D </w:t>
      </w:r>
      <w:r>
        <w:t>T</w:t>
      </w:r>
      <w:r w:rsidRPr="00C711ED">
        <w:t xml:space="preserve">ax </w:t>
      </w:r>
      <w:r>
        <w:t>Incentive scheme</w:t>
      </w:r>
      <w:r w:rsidRPr="00C711ED">
        <w:t xml:space="preserve">, </w:t>
      </w:r>
      <w:r>
        <w:t xml:space="preserve">the </w:t>
      </w:r>
      <w:r w:rsidRPr="00C711ED">
        <w:t xml:space="preserve">Offshore Banking Unit Taxation Concession and the Concessional Rate of Withholding Tax </w:t>
      </w:r>
      <w:r>
        <w:t>C</w:t>
      </w:r>
      <w:r w:rsidRPr="00C711ED">
        <w:t>oncession</w:t>
      </w:r>
      <w:r>
        <w:t>.</w:t>
      </w:r>
      <w:r>
        <w:rPr>
          <w:rStyle w:val="FootnoteReference"/>
        </w:rPr>
        <w:footnoteReference w:id="45"/>
      </w:r>
      <w:r>
        <w:t xml:space="preserve"> </w:t>
      </w:r>
    </w:p>
    <w:p w:rsidR="00AC2131" w:rsidRPr="00EC5471" w:rsidRDefault="00AC2131" w:rsidP="00AC2131">
      <w:pPr>
        <w:pStyle w:val="ListBullet"/>
      </w:pPr>
      <w:r>
        <w:rPr>
          <w:i/>
        </w:rPr>
        <w:t>Sheep, beef cattle and grain farming</w:t>
      </w:r>
      <w:r w:rsidRPr="00EC5471">
        <w:t xml:space="preserve"> accounted for $</w:t>
      </w:r>
      <w:r>
        <w:t>609</w:t>
      </w:r>
      <w:r w:rsidRPr="00EC5471">
        <w:t xml:space="preserve"> million, mainly in the form of R&amp;D </w:t>
      </w:r>
      <w:r>
        <w:t>Tax Incentive scheme a</w:t>
      </w:r>
      <w:r w:rsidRPr="00EC5471">
        <w:t xml:space="preserve">nd assistance </w:t>
      </w:r>
      <w:r>
        <w:t xml:space="preserve">indirectly provided </w:t>
      </w:r>
      <w:r w:rsidRPr="00EC5471">
        <w:t xml:space="preserve">through </w:t>
      </w:r>
      <w:r>
        <w:t xml:space="preserve">the </w:t>
      </w:r>
      <w:r w:rsidRPr="00EC5471">
        <w:t xml:space="preserve">CSIRO. </w:t>
      </w:r>
    </w:p>
    <w:p w:rsidR="00AC2131" w:rsidRDefault="00AC2131" w:rsidP="00AC2131">
      <w:pPr>
        <w:pStyle w:val="BodyText"/>
      </w:pPr>
      <w:r>
        <w:t xml:space="preserve">Although </w:t>
      </w:r>
      <w:r w:rsidRPr="00F121BB">
        <w:rPr>
          <w:i/>
        </w:rPr>
        <w:t>Motor vehicles and parts</w:t>
      </w:r>
      <w:r>
        <w:t xml:space="preserve"> received the seventh highest level of support, accounting for $392 million in budgetary assistance in 2013</w:t>
      </w:r>
      <w:r>
        <w:noBreakHyphen/>
        <w:t xml:space="preserve">14, it has the highest effective rate of assistance of all industry groups because of the relatively high level of assistance relative to the scale of operations (see below). The announced withdrawal of motor vehicle manufacturing in Australia, will result in a consequential reduction in the level of assistance, with any remaining assistance likely to focus on transitional support (such as through the </w:t>
      </w:r>
      <w:r w:rsidRPr="00A576A0">
        <w:t>Automotive Diversification Programme</w:t>
      </w:r>
      <w:r>
        <w:t xml:space="preserve"> for which $18 million is provisioned over the years 2014</w:t>
      </w:r>
      <w:r>
        <w:noBreakHyphen/>
        <w:t>15 to 2017</w:t>
      </w:r>
      <w:r>
        <w:noBreakHyphen/>
        <w:t xml:space="preserve">18 (Department of Industry and Science 2014b)). </w:t>
      </w:r>
    </w:p>
    <w:p w:rsidR="00AC2131" w:rsidRPr="00B46C2D" w:rsidRDefault="00AC2131" w:rsidP="00AC2131">
      <w:pPr>
        <w:pStyle w:val="BodyText"/>
        <w:ind w:right="-57"/>
        <w:rPr>
          <w:spacing w:val="-2"/>
        </w:rPr>
      </w:pPr>
      <w:r w:rsidRPr="00B46C2D">
        <w:rPr>
          <w:spacing w:val="-2"/>
        </w:rPr>
        <w:t xml:space="preserve">Budgetary assistance not assigned to an industry sector is reported in the </w:t>
      </w:r>
      <w:r w:rsidRPr="00B46C2D">
        <w:rPr>
          <w:i/>
          <w:spacing w:val="-2"/>
        </w:rPr>
        <w:t>Unallocated other</w:t>
      </w:r>
      <w:r w:rsidRPr="00B46C2D">
        <w:rPr>
          <w:spacing w:val="-2"/>
        </w:rPr>
        <w:t xml:space="preserve"> category. That assistance accounted for around 13 per cent of total estimated budgetary assistance in 2013</w:t>
      </w:r>
      <w:r w:rsidRPr="00B46C2D">
        <w:rPr>
          <w:spacing w:val="-2"/>
        </w:rPr>
        <w:noBreakHyphen/>
        <w:t>14. The small business capital gains tax concession programs ($755 million), for which industry allocation data is currently not available through taxation.</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bookmarkStart w:id="11" w:name="OLE_LINK11"/>
            <w:r>
              <w:rPr>
                <w:b w:val="0"/>
              </w:rPr>
              <w:t>5.</w:t>
            </w:r>
            <w:r>
              <w:rPr>
                <w:b w:val="0"/>
                <w:noProof/>
              </w:rPr>
              <w:t>7</w:t>
            </w:r>
            <w:bookmarkEnd w:id="11"/>
            <w:r>
              <w:tab/>
              <w:t>Budgetary assistance and value-added shares by industry sector, 2008</w:t>
            </w:r>
            <w:r>
              <w:noBreakHyphen/>
              <w:t>09 to 2013</w:t>
            </w:r>
            <w:r>
              <w:noBreakHyphen/>
              <w:t>14</w:t>
            </w:r>
          </w:p>
          <w:p w:rsidR="00AC2131" w:rsidRPr="00176D3F" w:rsidRDefault="00AC2131" w:rsidP="00AC2131">
            <w:pPr>
              <w:pStyle w:val="Subtitle"/>
            </w:pPr>
            <w:r>
              <w:t>$ billion (nominal)</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Pr="002A251B" w:rsidRDefault="00AC2131" w:rsidP="00AC2131">
                  <w:pPr>
                    <w:pStyle w:val="TableColumnHeading"/>
                    <w:jc w:val="center"/>
                    <w:rPr>
                      <w:b/>
                    </w:rPr>
                  </w:pPr>
                  <w:r w:rsidRPr="002A251B">
                    <w:rPr>
                      <w:b/>
                    </w:rPr>
                    <w:t>Budgetary assistance</w:t>
                  </w:r>
                </w:p>
              </w:tc>
            </w:tr>
            <w:tr w:rsidR="00AC2131" w:rsidTr="00AC2131">
              <w:tblPrEx>
                <w:tblCellMar>
                  <w:left w:w="108" w:type="dxa"/>
                  <w:right w:w="108" w:type="dxa"/>
                </w:tblCellMar>
              </w:tblPrEx>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74E2EACF" wp14:editId="40570D65">
                        <wp:extent cx="5257800" cy="2809875"/>
                        <wp:effectExtent l="0" t="0" r="0" b="9525"/>
                        <wp:docPr id="29" name="Picture 29" descr="Figure 5.7 presents budgetary assistance (top panel) and value added shares (bottom panel)  by sector from 2008-09 to 2013-14.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r w:rsidRPr="0073123D" w:rsidDel="0073123D">
                    <w:t xml:space="preserve"> </w:t>
                  </w:r>
                </w:p>
              </w:tc>
            </w:tr>
            <w:tr w:rsidR="00AC2131" w:rsidTr="00AC2131">
              <w:trPr>
                <w:jc w:val="center"/>
              </w:trPr>
              <w:tc>
                <w:tcPr>
                  <w:tcW w:w="5000" w:type="pct"/>
                  <w:tcBorders>
                    <w:top w:val="nil"/>
                    <w:bottom w:val="nil"/>
                  </w:tcBorders>
                </w:tcPr>
                <w:p w:rsidR="00AC2131" w:rsidRPr="00E86BBD" w:rsidRDefault="00AC2131" w:rsidP="00AC2131">
                  <w:pPr>
                    <w:pStyle w:val="TableColumnHeading"/>
                    <w:jc w:val="center"/>
                    <w:rPr>
                      <w:rFonts w:cs="Arial"/>
                      <w:i w:val="0"/>
                      <w:sz w:val="20"/>
                    </w:rPr>
                  </w:pPr>
                  <w:r w:rsidRPr="002A251B">
                    <w:rPr>
                      <w:b/>
                    </w:rPr>
                    <w:t>Industry value-added</w:t>
                  </w:r>
                </w:p>
              </w:tc>
            </w:tr>
            <w:tr w:rsidR="00AC2131" w:rsidTr="00AC2131">
              <w:tblPrEx>
                <w:tblCellMar>
                  <w:left w:w="108" w:type="dxa"/>
                  <w:right w:w="108" w:type="dxa"/>
                </w:tblCellMar>
              </w:tblPrEx>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66A9C1D1" wp14:editId="197D5EDF">
                        <wp:extent cx="5229225" cy="3181350"/>
                        <wp:effectExtent l="0" t="0" r="9525" b="0"/>
                        <wp:docPr id="30" name="Picture 30" descr="Figure 5.7 presents budgetary assistance (top panel) and value added shares (bottom panel)  by sector from 2008-09 to 2013-14.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229225" cy="3181350"/>
                                </a:xfrm>
                                <a:prstGeom prst="rect">
                                  <a:avLst/>
                                </a:prstGeom>
                                <a:noFill/>
                                <a:ln>
                                  <a:noFill/>
                                </a:ln>
                              </pic:spPr>
                            </pic:pic>
                          </a:graphicData>
                        </a:graphic>
                      </wp:inline>
                    </w:drawing>
                  </w:r>
                  <w:r w:rsidRPr="0073123D" w:rsidDel="0073123D">
                    <w:t xml:space="preserve"> </w:t>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 xml:space="preserve">ABS (2014), Commission estimates. </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spacing w:after="60"/>
            </w:pPr>
            <w:r>
              <w:rPr>
                <w:b w:val="0"/>
              </w:rPr>
              <w:t xml:space="preserve">Table </w:t>
            </w:r>
            <w:bookmarkStart w:id="12" w:name="OLE_LINK12"/>
            <w:r>
              <w:rPr>
                <w:b w:val="0"/>
              </w:rPr>
              <w:t>5.</w:t>
            </w:r>
            <w:r>
              <w:rPr>
                <w:b w:val="0"/>
                <w:noProof/>
              </w:rPr>
              <w:t>4</w:t>
            </w:r>
            <w:bookmarkEnd w:id="12"/>
            <w:r>
              <w:tab/>
              <w:t>Budgetary assistance by industry grouping, 2013</w:t>
            </w:r>
            <w:r>
              <w:noBreakHyphen/>
              <w:t>14</w:t>
            </w:r>
          </w:p>
          <w:p w:rsidR="00AC2131" w:rsidRPr="00784A05" w:rsidRDefault="00AC2131" w:rsidP="00AC2131">
            <w:pPr>
              <w:pStyle w:val="Subtitle"/>
              <w:spacing w:after="60"/>
            </w:pPr>
            <w:r>
              <w:t>$ million (nominal)</w:t>
            </w:r>
          </w:p>
        </w:tc>
      </w:tr>
      <w:tr w:rsidR="00AC2131" w:rsidTr="00AC2131">
        <w:trPr>
          <w:cantSplit/>
        </w:trPr>
        <w:tc>
          <w:tcPr>
            <w:tcW w:w="8771" w:type="dxa"/>
            <w:tcBorders>
              <w:top w:val="nil"/>
              <w:left w:val="nil"/>
              <w:bottom w:val="nil"/>
              <w:right w:val="nil"/>
            </w:tcBorders>
            <w:shd w:val="clear" w:color="auto" w:fill="auto"/>
          </w:tcPr>
          <w:tbl>
            <w:tblPr>
              <w:tblW w:w="8487" w:type="dxa"/>
              <w:tblCellMar>
                <w:top w:w="28" w:type="dxa"/>
                <w:left w:w="0" w:type="dxa"/>
                <w:right w:w="0" w:type="dxa"/>
              </w:tblCellMar>
              <w:tblLook w:val="0000" w:firstRow="0" w:lastRow="0" w:firstColumn="0" w:lastColumn="0" w:noHBand="0" w:noVBand="0"/>
            </w:tblPr>
            <w:tblGrid>
              <w:gridCol w:w="4239"/>
              <w:gridCol w:w="1416"/>
              <w:gridCol w:w="1416"/>
              <w:gridCol w:w="1416"/>
            </w:tblGrid>
            <w:tr w:rsidR="00AC2131" w:rsidTr="00AC2131">
              <w:tc>
                <w:tcPr>
                  <w:tcW w:w="249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spacing w:before="40" w:after="40"/>
                    <w:jc w:val="left"/>
                  </w:pPr>
                </w:p>
              </w:tc>
              <w:tc>
                <w:tcPr>
                  <w:tcW w:w="834" w:type="pct"/>
                  <w:tcBorders>
                    <w:top w:val="single" w:sz="6" w:space="0" w:color="BFBFBF"/>
                    <w:bottom w:val="single" w:sz="6" w:space="0" w:color="BFBFBF"/>
                  </w:tcBorders>
                  <w:vAlign w:val="bottom"/>
                </w:tcPr>
                <w:p w:rsidR="00AC2131" w:rsidRDefault="00AC2131" w:rsidP="00AC2131">
                  <w:pPr>
                    <w:pStyle w:val="TableColumnHeading"/>
                    <w:spacing w:before="40" w:after="40"/>
                    <w:ind w:left="0"/>
                  </w:pPr>
                  <w:r>
                    <w:t>Outlays</w:t>
                  </w:r>
                </w:p>
              </w:tc>
              <w:tc>
                <w:tcPr>
                  <w:tcW w:w="834"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spacing w:before="40" w:after="40"/>
                    <w:ind w:left="0"/>
                  </w:pPr>
                  <w:r>
                    <w:t>Tax concessions</w:t>
                  </w:r>
                </w:p>
              </w:tc>
              <w:tc>
                <w:tcPr>
                  <w:tcW w:w="834"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spacing w:before="40" w:after="40"/>
                    <w:ind w:left="0"/>
                  </w:pPr>
                  <w:r>
                    <w:t>Total budgetary assistance</w:t>
                  </w:r>
                </w:p>
              </w:tc>
            </w:tr>
            <w:tr w:rsidR="00AC2131" w:rsidRPr="00A21AD0" w:rsidTr="00AC2131">
              <w:tc>
                <w:tcPr>
                  <w:tcW w:w="2497" w:type="pct"/>
                </w:tcPr>
                <w:p w:rsidR="00AC2131" w:rsidRPr="00A21AD0" w:rsidRDefault="00AC2131" w:rsidP="00AC2131">
                  <w:pPr>
                    <w:pStyle w:val="TableBodyText"/>
                    <w:spacing w:before="20" w:after="30"/>
                    <w:jc w:val="left"/>
                    <w:rPr>
                      <w:b/>
                    </w:rPr>
                  </w:pPr>
                  <w:r w:rsidRPr="00A21AD0">
                    <w:rPr>
                      <w:b/>
                    </w:rPr>
                    <w:t>Primary production</w:t>
                  </w:r>
                </w:p>
              </w:tc>
              <w:tc>
                <w:tcPr>
                  <w:tcW w:w="834" w:type="pct"/>
                </w:tcPr>
                <w:p w:rsidR="00AC2131" w:rsidRPr="008E75D3" w:rsidRDefault="00AC2131" w:rsidP="00AC2131">
                  <w:pPr>
                    <w:pStyle w:val="TableBodyText"/>
                    <w:spacing w:before="20" w:after="30"/>
                    <w:rPr>
                      <w:b/>
                    </w:rPr>
                  </w:pPr>
                  <w:r w:rsidRPr="008E75D3">
                    <w:rPr>
                      <w:b/>
                    </w:rPr>
                    <w:t>765.9</w:t>
                  </w:r>
                </w:p>
              </w:tc>
              <w:tc>
                <w:tcPr>
                  <w:tcW w:w="834" w:type="pct"/>
                </w:tcPr>
                <w:p w:rsidR="00AC2131" w:rsidRPr="008E75D3" w:rsidRDefault="00AC2131" w:rsidP="00AC2131">
                  <w:pPr>
                    <w:pStyle w:val="TableBodyText"/>
                    <w:spacing w:before="20" w:after="30"/>
                    <w:rPr>
                      <w:b/>
                    </w:rPr>
                  </w:pPr>
                  <w:r w:rsidRPr="008E75D3">
                    <w:rPr>
                      <w:b/>
                    </w:rPr>
                    <w:t>530.1</w:t>
                  </w:r>
                </w:p>
              </w:tc>
              <w:tc>
                <w:tcPr>
                  <w:tcW w:w="834" w:type="pct"/>
                </w:tcPr>
                <w:p w:rsidR="00AC2131" w:rsidRPr="008E75D3" w:rsidRDefault="00AC2131" w:rsidP="00AC2131">
                  <w:pPr>
                    <w:pStyle w:val="TableBodyText"/>
                    <w:spacing w:before="20" w:after="30"/>
                    <w:rPr>
                      <w:b/>
                    </w:rPr>
                  </w:pPr>
                  <w:r w:rsidRPr="008E75D3">
                    <w:rPr>
                      <w:b/>
                    </w:rPr>
                    <w:t>1295.9</w:t>
                  </w:r>
                </w:p>
              </w:tc>
            </w:tr>
            <w:tr w:rsidR="00AC2131" w:rsidTr="00AC2131">
              <w:tc>
                <w:tcPr>
                  <w:tcW w:w="2497" w:type="pct"/>
                </w:tcPr>
                <w:p w:rsidR="00AC2131" w:rsidRPr="00284C93" w:rsidRDefault="00AC2131" w:rsidP="00AC2131">
                  <w:pPr>
                    <w:pStyle w:val="TableBodyText"/>
                    <w:spacing w:after="20"/>
                    <w:jc w:val="left"/>
                  </w:pPr>
                  <w:r w:rsidRPr="00284C93">
                    <w:t>Horticulture and fruit growing</w:t>
                  </w:r>
                </w:p>
              </w:tc>
              <w:tc>
                <w:tcPr>
                  <w:tcW w:w="834" w:type="pct"/>
                </w:tcPr>
                <w:p w:rsidR="00AC2131" w:rsidRDefault="00AC2131" w:rsidP="00AC2131">
                  <w:pPr>
                    <w:pStyle w:val="TableBodyText"/>
                    <w:spacing w:after="20"/>
                  </w:pPr>
                  <w:r w:rsidRPr="008E11B2">
                    <w:t>74.6</w:t>
                  </w:r>
                </w:p>
              </w:tc>
              <w:tc>
                <w:tcPr>
                  <w:tcW w:w="834" w:type="pct"/>
                </w:tcPr>
                <w:p w:rsidR="00AC2131" w:rsidRDefault="00AC2131" w:rsidP="00AC2131">
                  <w:pPr>
                    <w:pStyle w:val="TableBodyText"/>
                    <w:spacing w:after="20"/>
                  </w:pPr>
                  <w:r w:rsidRPr="008E11B2">
                    <w:t>57.7</w:t>
                  </w:r>
                </w:p>
              </w:tc>
              <w:tc>
                <w:tcPr>
                  <w:tcW w:w="834" w:type="pct"/>
                </w:tcPr>
                <w:p w:rsidR="00AC2131" w:rsidRDefault="00AC2131" w:rsidP="00AC2131">
                  <w:pPr>
                    <w:pStyle w:val="TableBodyText"/>
                    <w:spacing w:after="20"/>
                  </w:pPr>
                  <w:r w:rsidRPr="008E11B2">
                    <w:t>132.3</w:t>
                  </w:r>
                </w:p>
              </w:tc>
            </w:tr>
            <w:tr w:rsidR="00AC2131" w:rsidTr="00AC2131">
              <w:tc>
                <w:tcPr>
                  <w:tcW w:w="2497" w:type="pct"/>
                </w:tcPr>
                <w:p w:rsidR="00AC2131" w:rsidRPr="00284C93" w:rsidRDefault="00AC2131" w:rsidP="00AC2131">
                  <w:pPr>
                    <w:pStyle w:val="TableBodyText"/>
                    <w:spacing w:after="20"/>
                    <w:jc w:val="left"/>
                  </w:pPr>
                  <w:r w:rsidRPr="00284C93">
                    <w:t>Sheep, beef cattle and grain farming</w:t>
                  </w:r>
                </w:p>
              </w:tc>
              <w:tc>
                <w:tcPr>
                  <w:tcW w:w="834" w:type="pct"/>
                </w:tcPr>
                <w:p w:rsidR="00AC2131" w:rsidRDefault="00AC2131" w:rsidP="00AC2131">
                  <w:pPr>
                    <w:pStyle w:val="TableBodyText"/>
                    <w:spacing w:after="20"/>
                  </w:pPr>
                  <w:r w:rsidRPr="008E11B2">
                    <w:t>273.3</w:t>
                  </w:r>
                </w:p>
              </w:tc>
              <w:tc>
                <w:tcPr>
                  <w:tcW w:w="834" w:type="pct"/>
                </w:tcPr>
                <w:p w:rsidR="00AC2131" w:rsidRDefault="00AC2131" w:rsidP="00AC2131">
                  <w:pPr>
                    <w:pStyle w:val="TableBodyText"/>
                    <w:spacing w:after="20"/>
                  </w:pPr>
                  <w:r w:rsidRPr="008E11B2">
                    <w:t>335.8</w:t>
                  </w:r>
                </w:p>
              </w:tc>
              <w:tc>
                <w:tcPr>
                  <w:tcW w:w="834" w:type="pct"/>
                </w:tcPr>
                <w:p w:rsidR="00AC2131" w:rsidRDefault="00AC2131" w:rsidP="00AC2131">
                  <w:pPr>
                    <w:pStyle w:val="TableBodyText"/>
                    <w:spacing w:after="20"/>
                  </w:pPr>
                  <w:r w:rsidRPr="008E11B2">
                    <w:t>609.1</w:t>
                  </w:r>
                </w:p>
              </w:tc>
            </w:tr>
            <w:tr w:rsidR="00AC2131" w:rsidTr="00AC2131">
              <w:tc>
                <w:tcPr>
                  <w:tcW w:w="2497" w:type="pct"/>
                </w:tcPr>
                <w:p w:rsidR="00AC2131" w:rsidRPr="00284C93" w:rsidRDefault="00AC2131" w:rsidP="00AC2131">
                  <w:pPr>
                    <w:pStyle w:val="TableBodyText"/>
                    <w:spacing w:after="20"/>
                    <w:jc w:val="left"/>
                  </w:pPr>
                  <w:r w:rsidRPr="00284C93">
                    <w:t>Other crop growing</w:t>
                  </w:r>
                </w:p>
              </w:tc>
              <w:tc>
                <w:tcPr>
                  <w:tcW w:w="834" w:type="pct"/>
                </w:tcPr>
                <w:p w:rsidR="00AC2131" w:rsidRDefault="00AC2131" w:rsidP="00AC2131">
                  <w:pPr>
                    <w:pStyle w:val="TableBodyText"/>
                    <w:spacing w:after="20"/>
                  </w:pPr>
                  <w:r w:rsidRPr="008E11B2">
                    <w:t>51.3</w:t>
                  </w:r>
                </w:p>
              </w:tc>
              <w:tc>
                <w:tcPr>
                  <w:tcW w:w="834" w:type="pct"/>
                </w:tcPr>
                <w:p w:rsidR="00AC2131" w:rsidRDefault="00AC2131" w:rsidP="00AC2131">
                  <w:pPr>
                    <w:pStyle w:val="TableBodyText"/>
                    <w:spacing w:after="20"/>
                  </w:pPr>
                  <w:r w:rsidRPr="008E11B2">
                    <w:t>30.4</w:t>
                  </w:r>
                </w:p>
              </w:tc>
              <w:tc>
                <w:tcPr>
                  <w:tcW w:w="834" w:type="pct"/>
                </w:tcPr>
                <w:p w:rsidR="00AC2131" w:rsidRDefault="00AC2131" w:rsidP="00AC2131">
                  <w:pPr>
                    <w:pStyle w:val="TableBodyText"/>
                    <w:spacing w:after="20"/>
                  </w:pPr>
                  <w:r w:rsidRPr="008E11B2">
                    <w:t>81.7</w:t>
                  </w:r>
                </w:p>
              </w:tc>
            </w:tr>
            <w:tr w:rsidR="00AC2131" w:rsidTr="00AC2131">
              <w:tc>
                <w:tcPr>
                  <w:tcW w:w="2497" w:type="pct"/>
                </w:tcPr>
                <w:p w:rsidR="00AC2131" w:rsidRPr="00284C93" w:rsidRDefault="00AC2131" w:rsidP="00AC2131">
                  <w:pPr>
                    <w:pStyle w:val="TableBodyText"/>
                    <w:spacing w:after="20"/>
                    <w:jc w:val="left"/>
                  </w:pPr>
                  <w:r w:rsidRPr="00284C93">
                    <w:t>Dairy cattle farming</w:t>
                  </w:r>
                </w:p>
              </w:tc>
              <w:tc>
                <w:tcPr>
                  <w:tcW w:w="834" w:type="pct"/>
                </w:tcPr>
                <w:p w:rsidR="00AC2131" w:rsidRDefault="00AC2131" w:rsidP="00AC2131">
                  <w:pPr>
                    <w:pStyle w:val="TableBodyText"/>
                    <w:spacing w:after="20"/>
                  </w:pPr>
                  <w:r w:rsidRPr="008E11B2">
                    <w:t>34.4</w:t>
                  </w:r>
                </w:p>
              </w:tc>
              <w:tc>
                <w:tcPr>
                  <w:tcW w:w="834" w:type="pct"/>
                </w:tcPr>
                <w:p w:rsidR="00AC2131" w:rsidRDefault="00AC2131" w:rsidP="00AC2131">
                  <w:pPr>
                    <w:pStyle w:val="TableBodyText"/>
                    <w:spacing w:after="20"/>
                  </w:pPr>
                  <w:r w:rsidRPr="008E11B2">
                    <w:t>29.3</w:t>
                  </w:r>
                </w:p>
              </w:tc>
              <w:tc>
                <w:tcPr>
                  <w:tcW w:w="834" w:type="pct"/>
                </w:tcPr>
                <w:p w:rsidR="00AC2131" w:rsidRDefault="00AC2131" w:rsidP="00AC2131">
                  <w:pPr>
                    <w:pStyle w:val="TableBodyText"/>
                    <w:spacing w:after="20"/>
                  </w:pPr>
                  <w:r w:rsidRPr="008E11B2">
                    <w:t>63.7</w:t>
                  </w:r>
                </w:p>
              </w:tc>
            </w:tr>
            <w:tr w:rsidR="00AC2131" w:rsidTr="00AC2131">
              <w:tc>
                <w:tcPr>
                  <w:tcW w:w="2497" w:type="pct"/>
                </w:tcPr>
                <w:p w:rsidR="00AC2131" w:rsidRPr="00284C93" w:rsidRDefault="00AC2131" w:rsidP="00AC2131">
                  <w:pPr>
                    <w:pStyle w:val="TableBodyText"/>
                    <w:spacing w:after="20"/>
                    <w:jc w:val="left"/>
                  </w:pPr>
                  <w:r w:rsidRPr="00284C93">
                    <w:t>Other livestock farming</w:t>
                  </w:r>
                </w:p>
              </w:tc>
              <w:tc>
                <w:tcPr>
                  <w:tcW w:w="834" w:type="pct"/>
                </w:tcPr>
                <w:p w:rsidR="00AC2131" w:rsidRDefault="00AC2131" w:rsidP="00AC2131">
                  <w:pPr>
                    <w:pStyle w:val="TableBodyText"/>
                    <w:spacing w:after="20"/>
                  </w:pPr>
                  <w:r w:rsidRPr="008E11B2">
                    <w:t>23.7</w:t>
                  </w:r>
                </w:p>
              </w:tc>
              <w:tc>
                <w:tcPr>
                  <w:tcW w:w="834" w:type="pct"/>
                </w:tcPr>
                <w:p w:rsidR="00AC2131" w:rsidRDefault="00AC2131" w:rsidP="00AC2131">
                  <w:pPr>
                    <w:pStyle w:val="TableBodyText"/>
                    <w:spacing w:after="20"/>
                  </w:pPr>
                  <w:r w:rsidRPr="008E11B2">
                    <w:t>20.0</w:t>
                  </w:r>
                </w:p>
              </w:tc>
              <w:tc>
                <w:tcPr>
                  <w:tcW w:w="834" w:type="pct"/>
                </w:tcPr>
                <w:p w:rsidR="00AC2131" w:rsidRDefault="00AC2131" w:rsidP="00AC2131">
                  <w:pPr>
                    <w:pStyle w:val="TableBodyText"/>
                    <w:spacing w:after="20"/>
                  </w:pPr>
                  <w:r w:rsidRPr="008E11B2">
                    <w:t>43.6</w:t>
                  </w:r>
                </w:p>
              </w:tc>
            </w:tr>
            <w:tr w:rsidR="00AC2131" w:rsidTr="00AC2131">
              <w:tc>
                <w:tcPr>
                  <w:tcW w:w="2497" w:type="pct"/>
                </w:tcPr>
                <w:p w:rsidR="00AC2131" w:rsidRPr="00284C93" w:rsidRDefault="00AC2131" w:rsidP="00AC2131">
                  <w:pPr>
                    <w:pStyle w:val="TableBodyText"/>
                    <w:spacing w:after="20"/>
                    <w:jc w:val="left"/>
                  </w:pPr>
                  <w:r w:rsidRPr="00284C93">
                    <w:t>Aquaculture and fishing</w:t>
                  </w:r>
                  <w:r w:rsidRPr="00E61C77">
                    <w:rPr>
                      <w:rStyle w:val="NoteLabel"/>
                    </w:rPr>
                    <w:t>a</w:t>
                  </w:r>
                </w:p>
              </w:tc>
              <w:tc>
                <w:tcPr>
                  <w:tcW w:w="834" w:type="pct"/>
                </w:tcPr>
                <w:p w:rsidR="00AC2131" w:rsidRDefault="00AC2131" w:rsidP="00AC2131">
                  <w:pPr>
                    <w:pStyle w:val="TableBodyText"/>
                    <w:spacing w:before="40" w:after="20"/>
                  </w:pPr>
                  <w:r w:rsidRPr="008E11B2">
                    <w:t>51.9</w:t>
                  </w:r>
                </w:p>
              </w:tc>
              <w:tc>
                <w:tcPr>
                  <w:tcW w:w="834" w:type="pct"/>
                </w:tcPr>
                <w:p w:rsidR="00AC2131" w:rsidRDefault="00AC2131" w:rsidP="00AC2131">
                  <w:pPr>
                    <w:pStyle w:val="TableBodyText"/>
                    <w:spacing w:before="40" w:after="20"/>
                  </w:pPr>
                  <w:r w:rsidRPr="008E11B2">
                    <w:t>13.1</w:t>
                  </w:r>
                </w:p>
              </w:tc>
              <w:tc>
                <w:tcPr>
                  <w:tcW w:w="834" w:type="pct"/>
                </w:tcPr>
                <w:p w:rsidR="00AC2131" w:rsidRDefault="00AC2131" w:rsidP="00AC2131">
                  <w:pPr>
                    <w:pStyle w:val="TableBodyText"/>
                    <w:spacing w:before="40" w:after="20"/>
                  </w:pPr>
                  <w:r w:rsidRPr="008E11B2">
                    <w:t>65.0</w:t>
                  </w:r>
                </w:p>
              </w:tc>
            </w:tr>
            <w:tr w:rsidR="00AC2131" w:rsidTr="00AC2131">
              <w:tc>
                <w:tcPr>
                  <w:tcW w:w="2497" w:type="pct"/>
                </w:tcPr>
                <w:p w:rsidR="00AC2131" w:rsidRPr="00284C93" w:rsidRDefault="00AC2131" w:rsidP="00AC2131">
                  <w:pPr>
                    <w:pStyle w:val="TableBodyText"/>
                    <w:spacing w:after="20"/>
                    <w:jc w:val="left"/>
                  </w:pPr>
                  <w:r w:rsidRPr="00284C93">
                    <w:t>Forestry and logging</w:t>
                  </w:r>
                </w:p>
              </w:tc>
              <w:tc>
                <w:tcPr>
                  <w:tcW w:w="834" w:type="pct"/>
                </w:tcPr>
                <w:p w:rsidR="00AC2131" w:rsidRDefault="00AC2131" w:rsidP="00AC2131">
                  <w:pPr>
                    <w:pStyle w:val="TableBodyText"/>
                    <w:spacing w:after="20"/>
                  </w:pPr>
                  <w:r w:rsidRPr="008E11B2">
                    <w:t>14.5</w:t>
                  </w:r>
                </w:p>
              </w:tc>
              <w:tc>
                <w:tcPr>
                  <w:tcW w:w="834" w:type="pct"/>
                </w:tcPr>
                <w:p w:rsidR="00AC2131" w:rsidRDefault="00AC2131" w:rsidP="00AC2131">
                  <w:pPr>
                    <w:pStyle w:val="TableBodyText"/>
                    <w:spacing w:after="20"/>
                  </w:pPr>
                  <w:r w:rsidRPr="008E11B2">
                    <w:t>17.0</w:t>
                  </w:r>
                </w:p>
              </w:tc>
              <w:tc>
                <w:tcPr>
                  <w:tcW w:w="834" w:type="pct"/>
                </w:tcPr>
                <w:p w:rsidR="00AC2131" w:rsidRDefault="00AC2131" w:rsidP="00AC2131">
                  <w:pPr>
                    <w:pStyle w:val="TableBodyText"/>
                    <w:spacing w:after="20"/>
                  </w:pPr>
                  <w:r w:rsidRPr="008E11B2">
                    <w:t>31.5</w:t>
                  </w:r>
                </w:p>
              </w:tc>
            </w:tr>
            <w:tr w:rsidR="00AC2131" w:rsidTr="00AC2131">
              <w:tc>
                <w:tcPr>
                  <w:tcW w:w="2497" w:type="pct"/>
                </w:tcPr>
                <w:p w:rsidR="00AC2131" w:rsidRPr="00284C93" w:rsidRDefault="00AC2131" w:rsidP="00AC2131">
                  <w:pPr>
                    <w:pStyle w:val="TableBodyText"/>
                    <w:spacing w:after="20"/>
                    <w:jc w:val="left"/>
                  </w:pPr>
                  <w:r w:rsidRPr="00284C93">
                    <w:t>Primary production support services</w:t>
                  </w:r>
                </w:p>
              </w:tc>
              <w:tc>
                <w:tcPr>
                  <w:tcW w:w="834" w:type="pct"/>
                </w:tcPr>
                <w:p w:rsidR="00AC2131" w:rsidRDefault="00AC2131" w:rsidP="00AC2131">
                  <w:pPr>
                    <w:pStyle w:val="TableBodyText"/>
                    <w:spacing w:after="20"/>
                  </w:pPr>
                  <w:r w:rsidRPr="008E11B2">
                    <w:t>4.9</w:t>
                  </w:r>
                </w:p>
              </w:tc>
              <w:tc>
                <w:tcPr>
                  <w:tcW w:w="834" w:type="pct"/>
                </w:tcPr>
                <w:p w:rsidR="00AC2131" w:rsidRDefault="00AC2131" w:rsidP="00AC2131">
                  <w:pPr>
                    <w:pStyle w:val="TableBodyText"/>
                    <w:spacing w:after="20"/>
                  </w:pPr>
                  <w:r w:rsidRPr="008E11B2">
                    <w:t>24.1</w:t>
                  </w:r>
                </w:p>
              </w:tc>
              <w:tc>
                <w:tcPr>
                  <w:tcW w:w="834" w:type="pct"/>
                </w:tcPr>
                <w:p w:rsidR="00AC2131" w:rsidRDefault="00AC2131" w:rsidP="00AC2131">
                  <w:pPr>
                    <w:pStyle w:val="TableBodyText"/>
                    <w:spacing w:after="20"/>
                  </w:pPr>
                  <w:r w:rsidRPr="008E11B2">
                    <w:t>29.0</w:t>
                  </w:r>
                </w:p>
              </w:tc>
            </w:tr>
            <w:tr w:rsidR="00AC2131" w:rsidTr="00AC2131">
              <w:tc>
                <w:tcPr>
                  <w:tcW w:w="2497" w:type="pct"/>
                </w:tcPr>
                <w:p w:rsidR="00AC2131" w:rsidRPr="00284C93" w:rsidRDefault="00AC2131" w:rsidP="00AC2131">
                  <w:pPr>
                    <w:pStyle w:val="TableBodyText"/>
                    <w:spacing w:after="20"/>
                    <w:jc w:val="left"/>
                  </w:pPr>
                  <w:r w:rsidRPr="00284C93">
                    <w:t>Unallocated primary production</w:t>
                  </w:r>
                  <w:r w:rsidRPr="00E61C77">
                    <w:rPr>
                      <w:rStyle w:val="NoteLabel"/>
                    </w:rPr>
                    <w:t>b</w:t>
                  </w:r>
                </w:p>
              </w:tc>
              <w:tc>
                <w:tcPr>
                  <w:tcW w:w="834" w:type="pct"/>
                </w:tcPr>
                <w:p w:rsidR="00AC2131" w:rsidRDefault="00AC2131" w:rsidP="00AC2131">
                  <w:pPr>
                    <w:pStyle w:val="TableBodyText"/>
                    <w:spacing w:after="20"/>
                  </w:pPr>
                  <w:r w:rsidRPr="008E11B2">
                    <w:t>237.3</w:t>
                  </w:r>
                </w:p>
              </w:tc>
              <w:tc>
                <w:tcPr>
                  <w:tcW w:w="834" w:type="pct"/>
                </w:tcPr>
                <w:p w:rsidR="00AC2131" w:rsidRDefault="00AC2131" w:rsidP="00AC2131">
                  <w:pPr>
                    <w:pStyle w:val="TableBodyText"/>
                    <w:spacing w:after="20"/>
                  </w:pPr>
                  <w:r w:rsidRPr="008E11B2">
                    <w:t>2.7</w:t>
                  </w:r>
                </w:p>
              </w:tc>
              <w:tc>
                <w:tcPr>
                  <w:tcW w:w="834" w:type="pct"/>
                </w:tcPr>
                <w:p w:rsidR="00AC2131" w:rsidRDefault="00AC2131" w:rsidP="00AC2131">
                  <w:pPr>
                    <w:pStyle w:val="TableBodyText"/>
                    <w:spacing w:after="20"/>
                  </w:pPr>
                  <w:r w:rsidRPr="008E11B2">
                    <w:t>240.0</w:t>
                  </w:r>
                </w:p>
              </w:tc>
            </w:tr>
            <w:tr w:rsidR="00AC2131" w:rsidRPr="00A21AD0" w:rsidTr="00AC2131">
              <w:tc>
                <w:tcPr>
                  <w:tcW w:w="2497" w:type="pct"/>
                </w:tcPr>
                <w:p w:rsidR="00AC2131" w:rsidRPr="00A21AD0" w:rsidRDefault="00AC2131" w:rsidP="00AC2131">
                  <w:pPr>
                    <w:pStyle w:val="TableBodyText"/>
                    <w:spacing w:after="30"/>
                    <w:jc w:val="left"/>
                    <w:rPr>
                      <w:b/>
                    </w:rPr>
                  </w:pPr>
                  <w:r w:rsidRPr="00A21AD0">
                    <w:rPr>
                      <w:b/>
                    </w:rPr>
                    <w:t>Mining</w:t>
                  </w:r>
                </w:p>
              </w:tc>
              <w:tc>
                <w:tcPr>
                  <w:tcW w:w="834" w:type="pct"/>
                  <w:vAlign w:val="center"/>
                </w:tcPr>
                <w:p w:rsidR="00AC2131" w:rsidRPr="000E72D9" w:rsidRDefault="00AC2131" w:rsidP="00AC2131">
                  <w:pPr>
                    <w:pStyle w:val="TableBodyText"/>
                    <w:spacing w:after="30"/>
                    <w:rPr>
                      <w:b/>
                    </w:rPr>
                  </w:pPr>
                  <w:r w:rsidRPr="000E72D9">
                    <w:rPr>
                      <w:b/>
                    </w:rPr>
                    <w:t>265.8</w:t>
                  </w:r>
                </w:p>
              </w:tc>
              <w:tc>
                <w:tcPr>
                  <w:tcW w:w="834" w:type="pct"/>
                  <w:vAlign w:val="center"/>
                </w:tcPr>
                <w:p w:rsidR="00AC2131" w:rsidRPr="000E72D9" w:rsidRDefault="00AC2131" w:rsidP="00AC2131">
                  <w:pPr>
                    <w:pStyle w:val="TableBodyText"/>
                    <w:spacing w:after="30"/>
                    <w:rPr>
                      <w:b/>
                    </w:rPr>
                  </w:pPr>
                  <w:r w:rsidRPr="000E72D9">
                    <w:rPr>
                      <w:b/>
                    </w:rPr>
                    <w:t>254.9</w:t>
                  </w:r>
                </w:p>
              </w:tc>
              <w:tc>
                <w:tcPr>
                  <w:tcW w:w="834" w:type="pct"/>
                  <w:vAlign w:val="center"/>
                </w:tcPr>
                <w:p w:rsidR="00AC2131" w:rsidRPr="000E72D9" w:rsidRDefault="00AC2131" w:rsidP="00AC2131">
                  <w:pPr>
                    <w:pStyle w:val="TableBodyText"/>
                    <w:spacing w:after="30"/>
                    <w:rPr>
                      <w:b/>
                    </w:rPr>
                  </w:pPr>
                  <w:r w:rsidRPr="000E72D9">
                    <w:rPr>
                      <w:b/>
                    </w:rPr>
                    <w:t>520.7</w:t>
                  </w:r>
                </w:p>
              </w:tc>
            </w:tr>
            <w:tr w:rsidR="00AC2131" w:rsidRPr="00A21AD0" w:rsidTr="00AC2131">
              <w:tc>
                <w:tcPr>
                  <w:tcW w:w="2497" w:type="pct"/>
                </w:tcPr>
                <w:p w:rsidR="00AC2131" w:rsidRPr="00A21AD0" w:rsidRDefault="00AC2131" w:rsidP="00AC2131">
                  <w:pPr>
                    <w:pStyle w:val="TableBodyText"/>
                    <w:spacing w:after="30"/>
                    <w:jc w:val="left"/>
                    <w:rPr>
                      <w:b/>
                    </w:rPr>
                  </w:pPr>
                  <w:r w:rsidRPr="00A21AD0">
                    <w:rPr>
                      <w:b/>
                    </w:rPr>
                    <w:t>Manufacturing</w:t>
                  </w:r>
                </w:p>
              </w:tc>
              <w:tc>
                <w:tcPr>
                  <w:tcW w:w="834" w:type="pct"/>
                  <w:vAlign w:val="center"/>
                </w:tcPr>
                <w:p w:rsidR="00AC2131" w:rsidRPr="000E72D9" w:rsidRDefault="00AC2131" w:rsidP="00AC2131">
                  <w:pPr>
                    <w:pStyle w:val="TableBodyText"/>
                    <w:spacing w:after="30"/>
                    <w:rPr>
                      <w:b/>
                    </w:rPr>
                  </w:pPr>
                  <w:r w:rsidRPr="000E72D9">
                    <w:rPr>
                      <w:b/>
                    </w:rPr>
                    <w:t>1</w:t>
                  </w:r>
                  <w:r>
                    <w:rPr>
                      <w:b/>
                    </w:rPr>
                    <w:t>119</w:t>
                  </w:r>
                  <w:r w:rsidRPr="000E72D9">
                    <w:rPr>
                      <w:b/>
                    </w:rPr>
                    <w:t>.</w:t>
                  </w:r>
                  <w:r>
                    <w:rPr>
                      <w:b/>
                    </w:rPr>
                    <w:t>1</w:t>
                  </w:r>
                </w:p>
              </w:tc>
              <w:tc>
                <w:tcPr>
                  <w:tcW w:w="834" w:type="pct"/>
                  <w:vAlign w:val="center"/>
                </w:tcPr>
                <w:p w:rsidR="00AC2131" w:rsidRPr="000E72D9" w:rsidRDefault="00AC2131" w:rsidP="00AC2131">
                  <w:pPr>
                    <w:pStyle w:val="TableBodyText"/>
                    <w:spacing w:after="30"/>
                    <w:rPr>
                      <w:b/>
                    </w:rPr>
                  </w:pPr>
                  <w:r w:rsidRPr="000E72D9">
                    <w:rPr>
                      <w:b/>
                    </w:rPr>
                    <w:t>636.6</w:t>
                  </w:r>
                </w:p>
              </w:tc>
              <w:tc>
                <w:tcPr>
                  <w:tcW w:w="834" w:type="pct"/>
                  <w:vAlign w:val="center"/>
                </w:tcPr>
                <w:p w:rsidR="00AC2131" w:rsidRPr="000E72D9" w:rsidRDefault="00AC2131" w:rsidP="00AC2131">
                  <w:pPr>
                    <w:pStyle w:val="TableBodyText"/>
                    <w:spacing w:after="30"/>
                    <w:rPr>
                      <w:b/>
                    </w:rPr>
                  </w:pPr>
                  <w:r w:rsidRPr="000E72D9">
                    <w:rPr>
                      <w:b/>
                    </w:rPr>
                    <w:t>17</w:t>
                  </w:r>
                  <w:r>
                    <w:rPr>
                      <w:b/>
                    </w:rPr>
                    <w:t>55</w:t>
                  </w:r>
                  <w:r w:rsidRPr="000E72D9">
                    <w:rPr>
                      <w:b/>
                    </w:rPr>
                    <w:t>.7</w:t>
                  </w:r>
                </w:p>
              </w:tc>
            </w:tr>
            <w:tr w:rsidR="00AC2131" w:rsidTr="00AC2131">
              <w:tc>
                <w:tcPr>
                  <w:tcW w:w="2497" w:type="pct"/>
                </w:tcPr>
                <w:p w:rsidR="00AC2131" w:rsidRPr="00F22AF1" w:rsidRDefault="00AC2131" w:rsidP="00AC2131">
                  <w:pPr>
                    <w:pStyle w:val="TableBodyText"/>
                    <w:spacing w:after="20"/>
                    <w:jc w:val="left"/>
                  </w:pPr>
                  <w:r w:rsidRPr="00F22AF1">
                    <w:t>Food, beverages and tobacco</w:t>
                  </w:r>
                </w:p>
              </w:tc>
              <w:tc>
                <w:tcPr>
                  <w:tcW w:w="834" w:type="pct"/>
                  <w:vAlign w:val="center"/>
                </w:tcPr>
                <w:p w:rsidR="00AC2131" w:rsidRDefault="00AC2131" w:rsidP="00AC2131">
                  <w:pPr>
                    <w:pStyle w:val="TableBodyText"/>
                    <w:spacing w:after="20"/>
                  </w:pPr>
                  <w:r>
                    <w:t>89.8</w:t>
                  </w:r>
                </w:p>
              </w:tc>
              <w:tc>
                <w:tcPr>
                  <w:tcW w:w="834" w:type="pct"/>
                  <w:vAlign w:val="center"/>
                </w:tcPr>
                <w:p w:rsidR="00AC2131" w:rsidRDefault="00AC2131" w:rsidP="00AC2131">
                  <w:pPr>
                    <w:pStyle w:val="TableBodyText"/>
                    <w:spacing w:after="20"/>
                  </w:pPr>
                  <w:r>
                    <w:t>44.9</w:t>
                  </w:r>
                </w:p>
              </w:tc>
              <w:tc>
                <w:tcPr>
                  <w:tcW w:w="834" w:type="pct"/>
                  <w:vAlign w:val="center"/>
                </w:tcPr>
                <w:p w:rsidR="00AC2131" w:rsidRDefault="00AC2131" w:rsidP="00AC2131">
                  <w:pPr>
                    <w:pStyle w:val="TableBodyText"/>
                    <w:spacing w:after="20"/>
                  </w:pPr>
                  <w:r>
                    <w:t>134.7</w:t>
                  </w:r>
                </w:p>
              </w:tc>
            </w:tr>
            <w:tr w:rsidR="00AC2131" w:rsidTr="00AC2131">
              <w:tc>
                <w:tcPr>
                  <w:tcW w:w="2497" w:type="pct"/>
                </w:tcPr>
                <w:p w:rsidR="00AC2131" w:rsidRPr="00F22AF1" w:rsidRDefault="00AC2131" w:rsidP="00AC2131">
                  <w:pPr>
                    <w:pStyle w:val="TableBodyText"/>
                    <w:spacing w:after="20"/>
                    <w:jc w:val="left"/>
                  </w:pPr>
                  <w:r w:rsidRPr="00F22AF1">
                    <w:t>Textile</w:t>
                  </w:r>
                  <w:r>
                    <w:t>s</w:t>
                  </w:r>
                  <w:r w:rsidRPr="00F22AF1">
                    <w:t>, leather, clothing and footwear</w:t>
                  </w:r>
                </w:p>
              </w:tc>
              <w:tc>
                <w:tcPr>
                  <w:tcW w:w="834" w:type="pct"/>
                  <w:vAlign w:val="center"/>
                </w:tcPr>
                <w:p w:rsidR="00AC2131" w:rsidRDefault="00AC2131" w:rsidP="00AC2131">
                  <w:pPr>
                    <w:pStyle w:val="TableBodyText"/>
                    <w:spacing w:after="20"/>
                  </w:pPr>
                  <w:r>
                    <w:t>51.8</w:t>
                  </w:r>
                </w:p>
              </w:tc>
              <w:tc>
                <w:tcPr>
                  <w:tcW w:w="834" w:type="pct"/>
                  <w:vAlign w:val="center"/>
                </w:tcPr>
                <w:p w:rsidR="00AC2131" w:rsidRDefault="00AC2131" w:rsidP="00AC2131">
                  <w:pPr>
                    <w:pStyle w:val="TableBodyText"/>
                    <w:spacing w:after="20"/>
                  </w:pPr>
                  <w:r>
                    <w:t>12.2</w:t>
                  </w:r>
                </w:p>
              </w:tc>
              <w:tc>
                <w:tcPr>
                  <w:tcW w:w="834" w:type="pct"/>
                  <w:vAlign w:val="center"/>
                </w:tcPr>
                <w:p w:rsidR="00AC2131" w:rsidRDefault="00AC2131" w:rsidP="00AC2131">
                  <w:pPr>
                    <w:pStyle w:val="TableBodyText"/>
                    <w:spacing w:after="20"/>
                  </w:pPr>
                  <w:r>
                    <w:t>64.0</w:t>
                  </w:r>
                </w:p>
              </w:tc>
            </w:tr>
            <w:tr w:rsidR="00AC2131" w:rsidTr="00AC2131">
              <w:tc>
                <w:tcPr>
                  <w:tcW w:w="2497" w:type="pct"/>
                </w:tcPr>
                <w:p w:rsidR="00AC2131" w:rsidRPr="00F22AF1" w:rsidRDefault="00AC2131" w:rsidP="00AC2131">
                  <w:pPr>
                    <w:pStyle w:val="TableBodyText"/>
                    <w:spacing w:after="20"/>
                    <w:jc w:val="left"/>
                  </w:pPr>
                  <w:r w:rsidRPr="00F22AF1">
                    <w:t>Wood and paper products</w:t>
                  </w:r>
                </w:p>
              </w:tc>
              <w:tc>
                <w:tcPr>
                  <w:tcW w:w="834" w:type="pct"/>
                  <w:vAlign w:val="center"/>
                </w:tcPr>
                <w:p w:rsidR="00AC2131" w:rsidRDefault="00AC2131" w:rsidP="00AC2131">
                  <w:pPr>
                    <w:pStyle w:val="TableBodyText"/>
                    <w:spacing w:after="20"/>
                  </w:pPr>
                  <w:r>
                    <w:t>11.4</w:t>
                  </w:r>
                </w:p>
              </w:tc>
              <w:tc>
                <w:tcPr>
                  <w:tcW w:w="834" w:type="pct"/>
                  <w:vAlign w:val="center"/>
                </w:tcPr>
                <w:p w:rsidR="00AC2131" w:rsidRDefault="00AC2131" w:rsidP="00AC2131">
                  <w:pPr>
                    <w:pStyle w:val="TableBodyText"/>
                    <w:spacing w:after="20"/>
                  </w:pPr>
                  <w:r>
                    <w:t>11.2</w:t>
                  </w:r>
                </w:p>
              </w:tc>
              <w:tc>
                <w:tcPr>
                  <w:tcW w:w="834" w:type="pct"/>
                  <w:vAlign w:val="center"/>
                </w:tcPr>
                <w:p w:rsidR="00AC2131" w:rsidRDefault="00AC2131" w:rsidP="00AC2131">
                  <w:pPr>
                    <w:pStyle w:val="TableBodyText"/>
                    <w:spacing w:after="20"/>
                  </w:pPr>
                  <w:r>
                    <w:t>22.6</w:t>
                  </w:r>
                </w:p>
              </w:tc>
            </w:tr>
            <w:tr w:rsidR="00AC2131" w:rsidTr="00AC2131">
              <w:tc>
                <w:tcPr>
                  <w:tcW w:w="2497" w:type="pct"/>
                </w:tcPr>
                <w:p w:rsidR="00AC2131" w:rsidRPr="00F22AF1" w:rsidRDefault="00AC2131" w:rsidP="00AC2131">
                  <w:pPr>
                    <w:pStyle w:val="TableBodyText"/>
                    <w:spacing w:after="20"/>
                    <w:jc w:val="left"/>
                  </w:pPr>
                  <w:r w:rsidRPr="00F22AF1">
                    <w:t>Printing and recorded media</w:t>
                  </w:r>
                </w:p>
              </w:tc>
              <w:tc>
                <w:tcPr>
                  <w:tcW w:w="834" w:type="pct"/>
                  <w:vAlign w:val="center"/>
                </w:tcPr>
                <w:p w:rsidR="00AC2131" w:rsidRDefault="00AC2131" w:rsidP="00AC2131">
                  <w:pPr>
                    <w:pStyle w:val="TableBodyText"/>
                    <w:spacing w:after="20"/>
                  </w:pPr>
                  <w:r>
                    <w:t>7.1</w:t>
                  </w:r>
                </w:p>
              </w:tc>
              <w:tc>
                <w:tcPr>
                  <w:tcW w:w="834" w:type="pct"/>
                  <w:vAlign w:val="center"/>
                </w:tcPr>
                <w:p w:rsidR="00AC2131" w:rsidRDefault="00AC2131" w:rsidP="00AC2131">
                  <w:pPr>
                    <w:pStyle w:val="TableBodyText"/>
                    <w:spacing w:after="20"/>
                  </w:pPr>
                  <w:r>
                    <w:t>12.0</w:t>
                  </w:r>
                </w:p>
              </w:tc>
              <w:tc>
                <w:tcPr>
                  <w:tcW w:w="834" w:type="pct"/>
                  <w:vAlign w:val="center"/>
                </w:tcPr>
                <w:p w:rsidR="00AC2131" w:rsidRDefault="00AC2131" w:rsidP="00AC2131">
                  <w:pPr>
                    <w:pStyle w:val="TableBodyText"/>
                    <w:spacing w:after="20"/>
                  </w:pPr>
                  <w:r>
                    <w:t>19.1</w:t>
                  </w:r>
                </w:p>
              </w:tc>
            </w:tr>
            <w:tr w:rsidR="00AC2131" w:rsidTr="00AC2131">
              <w:tc>
                <w:tcPr>
                  <w:tcW w:w="2497" w:type="pct"/>
                </w:tcPr>
                <w:p w:rsidR="00AC2131" w:rsidRPr="00F22AF1" w:rsidRDefault="00AC2131" w:rsidP="00AC2131">
                  <w:pPr>
                    <w:pStyle w:val="TableBodyText"/>
                    <w:spacing w:after="20"/>
                    <w:jc w:val="left"/>
                  </w:pPr>
                  <w:r w:rsidRPr="00F22AF1">
                    <w:t>Petroleum, coal, chemical and rubber products</w:t>
                  </w:r>
                </w:p>
              </w:tc>
              <w:tc>
                <w:tcPr>
                  <w:tcW w:w="834" w:type="pct"/>
                  <w:vAlign w:val="center"/>
                </w:tcPr>
                <w:p w:rsidR="00AC2131" w:rsidRDefault="00AC2131" w:rsidP="00AC2131">
                  <w:pPr>
                    <w:pStyle w:val="TableBodyText"/>
                    <w:spacing w:after="20"/>
                  </w:pPr>
                  <w:r>
                    <w:t>260.7</w:t>
                  </w:r>
                </w:p>
              </w:tc>
              <w:tc>
                <w:tcPr>
                  <w:tcW w:w="834" w:type="pct"/>
                  <w:vAlign w:val="center"/>
                </w:tcPr>
                <w:p w:rsidR="00AC2131" w:rsidRDefault="00AC2131" w:rsidP="00AC2131">
                  <w:pPr>
                    <w:pStyle w:val="TableBodyText"/>
                    <w:spacing w:after="20"/>
                  </w:pPr>
                  <w:r>
                    <w:t>37.6</w:t>
                  </w:r>
                </w:p>
              </w:tc>
              <w:tc>
                <w:tcPr>
                  <w:tcW w:w="834" w:type="pct"/>
                  <w:vAlign w:val="center"/>
                </w:tcPr>
                <w:p w:rsidR="00AC2131" w:rsidRDefault="00AC2131" w:rsidP="00AC2131">
                  <w:pPr>
                    <w:pStyle w:val="TableBodyText"/>
                    <w:spacing w:after="20"/>
                  </w:pPr>
                  <w:r>
                    <w:t>298.3</w:t>
                  </w:r>
                </w:p>
              </w:tc>
            </w:tr>
            <w:tr w:rsidR="00AC2131" w:rsidTr="00AC2131">
              <w:tc>
                <w:tcPr>
                  <w:tcW w:w="2497" w:type="pct"/>
                </w:tcPr>
                <w:p w:rsidR="00AC2131" w:rsidRPr="00F22AF1" w:rsidRDefault="00AC2131" w:rsidP="00AC2131">
                  <w:pPr>
                    <w:pStyle w:val="TableBodyText"/>
                    <w:spacing w:after="20"/>
                    <w:jc w:val="left"/>
                  </w:pPr>
                  <w:r w:rsidRPr="00F22AF1">
                    <w:t>Non-metallic mineral products</w:t>
                  </w:r>
                </w:p>
              </w:tc>
              <w:tc>
                <w:tcPr>
                  <w:tcW w:w="834" w:type="pct"/>
                  <w:vAlign w:val="center"/>
                </w:tcPr>
                <w:p w:rsidR="00AC2131" w:rsidRDefault="00AC2131" w:rsidP="00AC2131">
                  <w:pPr>
                    <w:pStyle w:val="TableBodyText"/>
                    <w:spacing w:after="20"/>
                  </w:pPr>
                  <w:r>
                    <w:t>26.7</w:t>
                  </w:r>
                </w:p>
              </w:tc>
              <w:tc>
                <w:tcPr>
                  <w:tcW w:w="834" w:type="pct"/>
                  <w:vAlign w:val="center"/>
                </w:tcPr>
                <w:p w:rsidR="00AC2131" w:rsidRDefault="00AC2131" w:rsidP="00AC2131">
                  <w:pPr>
                    <w:pStyle w:val="TableBodyText"/>
                    <w:spacing w:after="20"/>
                  </w:pPr>
                  <w:r>
                    <w:t>5.2</w:t>
                  </w:r>
                </w:p>
              </w:tc>
              <w:tc>
                <w:tcPr>
                  <w:tcW w:w="834" w:type="pct"/>
                  <w:vAlign w:val="center"/>
                </w:tcPr>
                <w:p w:rsidR="00AC2131" w:rsidRDefault="00AC2131" w:rsidP="00AC2131">
                  <w:pPr>
                    <w:pStyle w:val="TableBodyText"/>
                    <w:spacing w:after="20"/>
                  </w:pPr>
                  <w:r>
                    <w:t>31.9</w:t>
                  </w:r>
                </w:p>
              </w:tc>
            </w:tr>
            <w:tr w:rsidR="00AC2131" w:rsidTr="00AC2131">
              <w:tc>
                <w:tcPr>
                  <w:tcW w:w="2497" w:type="pct"/>
                </w:tcPr>
                <w:p w:rsidR="00AC2131" w:rsidRPr="00F22AF1" w:rsidRDefault="00AC2131" w:rsidP="00AC2131">
                  <w:pPr>
                    <w:pStyle w:val="TableBodyText"/>
                    <w:spacing w:after="20"/>
                    <w:jc w:val="left"/>
                  </w:pPr>
                  <w:r w:rsidRPr="00F22AF1">
                    <w:t>Metal and fabricated metal products</w:t>
                  </w:r>
                </w:p>
              </w:tc>
              <w:tc>
                <w:tcPr>
                  <w:tcW w:w="834" w:type="pct"/>
                  <w:vAlign w:val="center"/>
                </w:tcPr>
                <w:p w:rsidR="00AC2131" w:rsidRDefault="00AC2131" w:rsidP="00AC2131">
                  <w:pPr>
                    <w:pStyle w:val="TableBodyText"/>
                    <w:spacing w:after="20"/>
                  </w:pPr>
                  <w:r>
                    <w:t>52.5</w:t>
                  </w:r>
                </w:p>
              </w:tc>
              <w:tc>
                <w:tcPr>
                  <w:tcW w:w="834" w:type="pct"/>
                  <w:vAlign w:val="center"/>
                </w:tcPr>
                <w:p w:rsidR="00AC2131" w:rsidRDefault="00AC2131" w:rsidP="00AC2131">
                  <w:pPr>
                    <w:pStyle w:val="TableBodyText"/>
                    <w:spacing w:after="20"/>
                  </w:pPr>
                  <w:r>
                    <w:t>372.6</w:t>
                  </w:r>
                </w:p>
              </w:tc>
              <w:tc>
                <w:tcPr>
                  <w:tcW w:w="834" w:type="pct"/>
                  <w:vAlign w:val="center"/>
                </w:tcPr>
                <w:p w:rsidR="00AC2131" w:rsidRDefault="00AC2131" w:rsidP="00AC2131">
                  <w:pPr>
                    <w:pStyle w:val="TableBodyText"/>
                    <w:spacing w:after="20"/>
                  </w:pPr>
                  <w:r>
                    <w:t>425.1</w:t>
                  </w:r>
                </w:p>
              </w:tc>
            </w:tr>
            <w:tr w:rsidR="00AC2131" w:rsidTr="00AC2131">
              <w:tc>
                <w:tcPr>
                  <w:tcW w:w="2497" w:type="pct"/>
                </w:tcPr>
                <w:p w:rsidR="00AC2131" w:rsidRPr="00F22AF1" w:rsidRDefault="00AC2131" w:rsidP="00AC2131">
                  <w:pPr>
                    <w:pStyle w:val="TableBodyText"/>
                    <w:spacing w:after="20"/>
                    <w:jc w:val="left"/>
                  </w:pPr>
                  <w:r w:rsidRPr="00F22AF1">
                    <w:t>Motor vehicle</w:t>
                  </w:r>
                  <w:r>
                    <w:t>s</w:t>
                  </w:r>
                  <w:r w:rsidRPr="00F22AF1">
                    <w:t xml:space="preserve"> and parts</w:t>
                  </w:r>
                </w:p>
              </w:tc>
              <w:tc>
                <w:tcPr>
                  <w:tcW w:w="834" w:type="pct"/>
                  <w:vAlign w:val="center"/>
                </w:tcPr>
                <w:p w:rsidR="00AC2131" w:rsidRDefault="00AC2131" w:rsidP="00AC2131">
                  <w:pPr>
                    <w:pStyle w:val="TableBodyText"/>
                    <w:spacing w:after="20"/>
                  </w:pPr>
                  <w:r>
                    <w:t>358.2</w:t>
                  </w:r>
                </w:p>
              </w:tc>
              <w:tc>
                <w:tcPr>
                  <w:tcW w:w="834" w:type="pct"/>
                  <w:vAlign w:val="center"/>
                </w:tcPr>
                <w:p w:rsidR="00AC2131" w:rsidRDefault="00AC2131" w:rsidP="00AC2131">
                  <w:pPr>
                    <w:pStyle w:val="TableBodyText"/>
                    <w:spacing w:after="20"/>
                  </w:pPr>
                  <w:r>
                    <w:t>34.3</w:t>
                  </w:r>
                </w:p>
              </w:tc>
              <w:tc>
                <w:tcPr>
                  <w:tcW w:w="834" w:type="pct"/>
                  <w:vAlign w:val="center"/>
                </w:tcPr>
                <w:p w:rsidR="00AC2131" w:rsidRDefault="00AC2131" w:rsidP="00AC2131">
                  <w:pPr>
                    <w:pStyle w:val="TableBodyText"/>
                    <w:spacing w:after="20"/>
                  </w:pPr>
                  <w:r>
                    <w:t>392.5</w:t>
                  </w:r>
                </w:p>
              </w:tc>
            </w:tr>
            <w:tr w:rsidR="00AC2131" w:rsidTr="00AC2131">
              <w:tc>
                <w:tcPr>
                  <w:tcW w:w="2497" w:type="pct"/>
                </w:tcPr>
                <w:p w:rsidR="00AC2131" w:rsidRPr="00F22AF1" w:rsidRDefault="00AC2131" w:rsidP="00AC2131">
                  <w:pPr>
                    <w:pStyle w:val="TableBodyText"/>
                    <w:spacing w:after="20"/>
                    <w:jc w:val="left"/>
                  </w:pPr>
                  <w:r w:rsidRPr="00F22AF1">
                    <w:t>Other transport equipment</w:t>
                  </w:r>
                </w:p>
              </w:tc>
              <w:tc>
                <w:tcPr>
                  <w:tcW w:w="834" w:type="pct"/>
                  <w:vAlign w:val="center"/>
                </w:tcPr>
                <w:p w:rsidR="00AC2131" w:rsidRDefault="00AC2131" w:rsidP="00AC2131">
                  <w:pPr>
                    <w:pStyle w:val="TableBodyText"/>
                    <w:spacing w:after="20"/>
                  </w:pPr>
                  <w:r>
                    <w:t>14.8</w:t>
                  </w:r>
                </w:p>
              </w:tc>
              <w:tc>
                <w:tcPr>
                  <w:tcW w:w="834" w:type="pct"/>
                  <w:vAlign w:val="center"/>
                </w:tcPr>
                <w:p w:rsidR="00AC2131" w:rsidRDefault="00AC2131" w:rsidP="00AC2131">
                  <w:pPr>
                    <w:pStyle w:val="TableBodyText"/>
                    <w:spacing w:after="20"/>
                  </w:pPr>
                  <w:r>
                    <w:t>4.4</w:t>
                  </w:r>
                </w:p>
              </w:tc>
              <w:tc>
                <w:tcPr>
                  <w:tcW w:w="834" w:type="pct"/>
                  <w:vAlign w:val="center"/>
                </w:tcPr>
                <w:p w:rsidR="00AC2131" w:rsidRDefault="00AC2131" w:rsidP="00AC2131">
                  <w:pPr>
                    <w:pStyle w:val="TableBodyText"/>
                    <w:spacing w:after="20"/>
                  </w:pPr>
                  <w:r>
                    <w:t>19.2</w:t>
                  </w:r>
                </w:p>
              </w:tc>
            </w:tr>
            <w:tr w:rsidR="00AC2131" w:rsidTr="00AC2131">
              <w:tc>
                <w:tcPr>
                  <w:tcW w:w="2497" w:type="pct"/>
                </w:tcPr>
                <w:p w:rsidR="00AC2131" w:rsidRPr="00F22AF1" w:rsidRDefault="00AC2131" w:rsidP="00AC2131">
                  <w:pPr>
                    <w:pStyle w:val="TableBodyText"/>
                    <w:spacing w:after="20"/>
                    <w:jc w:val="left"/>
                  </w:pPr>
                  <w:r w:rsidRPr="00F22AF1">
                    <w:t>Machinery and equipment manufacturing</w:t>
                  </w:r>
                </w:p>
              </w:tc>
              <w:tc>
                <w:tcPr>
                  <w:tcW w:w="834" w:type="pct"/>
                  <w:vAlign w:val="center"/>
                </w:tcPr>
                <w:p w:rsidR="00AC2131" w:rsidRDefault="00AC2131" w:rsidP="00AC2131">
                  <w:pPr>
                    <w:pStyle w:val="TableBodyText"/>
                    <w:spacing w:after="20"/>
                  </w:pPr>
                  <w:r>
                    <w:t>95.9</w:t>
                  </w:r>
                </w:p>
              </w:tc>
              <w:tc>
                <w:tcPr>
                  <w:tcW w:w="834" w:type="pct"/>
                  <w:vAlign w:val="center"/>
                </w:tcPr>
                <w:p w:rsidR="00AC2131" w:rsidRDefault="00AC2131" w:rsidP="00AC2131">
                  <w:pPr>
                    <w:pStyle w:val="TableBodyText"/>
                    <w:spacing w:after="20"/>
                  </w:pPr>
                  <w:r>
                    <w:t>25.3</w:t>
                  </w:r>
                </w:p>
              </w:tc>
              <w:tc>
                <w:tcPr>
                  <w:tcW w:w="834" w:type="pct"/>
                  <w:vAlign w:val="center"/>
                </w:tcPr>
                <w:p w:rsidR="00AC2131" w:rsidRDefault="00AC2131" w:rsidP="00AC2131">
                  <w:pPr>
                    <w:pStyle w:val="TableBodyText"/>
                    <w:spacing w:after="20"/>
                  </w:pPr>
                  <w:r>
                    <w:t>121.2</w:t>
                  </w:r>
                </w:p>
              </w:tc>
            </w:tr>
            <w:tr w:rsidR="00AC2131" w:rsidTr="00AC2131">
              <w:tc>
                <w:tcPr>
                  <w:tcW w:w="2497" w:type="pct"/>
                </w:tcPr>
                <w:p w:rsidR="00AC2131" w:rsidRPr="00F22AF1" w:rsidRDefault="00AC2131" w:rsidP="00AC2131">
                  <w:pPr>
                    <w:pStyle w:val="TableBodyText"/>
                    <w:spacing w:after="20"/>
                    <w:jc w:val="left"/>
                  </w:pPr>
                  <w:r w:rsidRPr="00F22AF1">
                    <w:t>Furniture and other manufacturing</w:t>
                  </w:r>
                </w:p>
              </w:tc>
              <w:tc>
                <w:tcPr>
                  <w:tcW w:w="834" w:type="pct"/>
                  <w:vAlign w:val="center"/>
                </w:tcPr>
                <w:p w:rsidR="00AC2131" w:rsidRDefault="00AC2131" w:rsidP="00AC2131">
                  <w:pPr>
                    <w:pStyle w:val="TableBodyText"/>
                    <w:spacing w:after="20"/>
                  </w:pPr>
                  <w:r>
                    <w:t>20.5</w:t>
                  </w:r>
                </w:p>
              </w:tc>
              <w:tc>
                <w:tcPr>
                  <w:tcW w:w="834" w:type="pct"/>
                  <w:vAlign w:val="center"/>
                </w:tcPr>
                <w:p w:rsidR="00AC2131" w:rsidRDefault="00AC2131" w:rsidP="00AC2131">
                  <w:pPr>
                    <w:pStyle w:val="TableBodyText"/>
                    <w:spacing w:after="20"/>
                  </w:pPr>
                  <w:r>
                    <w:t>8.6</w:t>
                  </w:r>
                </w:p>
              </w:tc>
              <w:tc>
                <w:tcPr>
                  <w:tcW w:w="834" w:type="pct"/>
                  <w:vAlign w:val="center"/>
                </w:tcPr>
                <w:p w:rsidR="00AC2131" w:rsidRDefault="00AC2131" w:rsidP="00AC2131">
                  <w:pPr>
                    <w:pStyle w:val="TableBodyText"/>
                    <w:spacing w:after="20"/>
                  </w:pPr>
                  <w:r>
                    <w:t>29.1</w:t>
                  </w:r>
                </w:p>
              </w:tc>
            </w:tr>
            <w:tr w:rsidR="00AC2131" w:rsidTr="00AC2131">
              <w:tc>
                <w:tcPr>
                  <w:tcW w:w="2497" w:type="pct"/>
                </w:tcPr>
                <w:p w:rsidR="00AC2131" w:rsidRPr="00F22AF1" w:rsidRDefault="00AC2131" w:rsidP="00AC2131">
                  <w:pPr>
                    <w:pStyle w:val="TableBodyText"/>
                    <w:spacing w:after="20"/>
                    <w:jc w:val="left"/>
                  </w:pPr>
                  <w:r w:rsidRPr="00F22AF1">
                    <w:t>Unallocated manufacturing</w:t>
                  </w:r>
                  <w:r w:rsidRPr="00E61C77">
                    <w:rPr>
                      <w:rStyle w:val="NoteLabel"/>
                    </w:rPr>
                    <w:t>b</w:t>
                  </w:r>
                </w:p>
              </w:tc>
              <w:tc>
                <w:tcPr>
                  <w:tcW w:w="834" w:type="pct"/>
                  <w:vAlign w:val="center"/>
                </w:tcPr>
                <w:p w:rsidR="00AC2131" w:rsidRDefault="00AC2131" w:rsidP="00AC2131">
                  <w:pPr>
                    <w:pStyle w:val="TableBodyText"/>
                    <w:spacing w:after="20"/>
                  </w:pPr>
                  <w:r>
                    <w:t>129.8</w:t>
                  </w:r>
                </w:p>
              </w:tc>
              <w:tc>
                <w:tcPr>
                  <w:tcW w:w="834" w:type="pct"/>
                  <w:vAlign w:val="center"/>
                </w:tcPr>
                <w:p w:rsidR="00AC2131" w:rsidRDefault="00AC2131" w:rsidP="00AC2131">
                  <w:pPr>
                    <w:pStyle w:val="TableBodyText"/>
                    <w:spacing w:after="20"/>
                  </w:pPr>
                  <w:r>
                    <w:t>68.2</w:t>
                  </w:r>
                </w:p>
              </w:tc>
              <w:tc>
                <w:tcPr>
                  <w:tcW w:w="834" w:type="pct"/>
                  <w:vAlign w:val="center"/>
                </w:tcPr>
                <w:p w:rsidR="00AC2131" w:rsidRDefault="00AC2131" w:rsidP="00AC2131">
                  <w:pPr>
                    <w:pStyle w:val="TableBodyText"/>
                    <w:spacing w:after="20"/>
                  </w:pPr>
                  <w:r>
                    <w:t>198.0</w:t>
                  </w:r>
                </w:p>
              </w:tc>
            </w:tr>
            <w:tr w:rsidR="00AC2131" w:rsidRPr="00A21AD0" w:rsidTr="00AC2131">
              <w:tc>
                <w:tcPr>
                  <w:tcW w:w="2497" w:type="pct"/>
                </w:tcPr>
                <w:p w:rsidR="00AC2131" w:rsidRPr="00A21AD0" w:rsidRDefault="00AC2131" w:rsidP="00AC2131">
                  <w:pPr>
                    <w:pStyle w:val="TableBodyText"/>
                    <w:spacing w:after="30"/>
                    <w:jc w:val="left"/>
                    <w:rPr>
                      <w:b/>
                    </w:rPr>
                  </w:pPr>
                  <w:r w:rsidRPr="00A21AD0">
                    <w:rPr>
                      <w:b/>
                    </w:rPr>
                    <w:t>Services</w:t>
                  </w:r>
                </w:p>
              </w:tc>
              <w:tc>
                <w:tcPr>
                  <w:tcW w:w="834" w:type="pct"/>
                  <w:vAlign w:val="center"/>
                </w:tcPr>
                <w:p w:rsidR="00AC2131" w:rsidRPr="000E72D9" w:rsidRDefault="00AC2131" w:rsidP="00AC2131">
                  <w:pPr>
                    <w:pStyle w:val="TableBodyText"/>
                    <w:spacing w:after="30"/>
                    <w:rPr>
                      <w:b/>
                    </w:rPr>
                  </w:pPr>
                  <w:r w:rsidRPr="000E72D9">
                    <w:rPr>
                      <w:b/>
                    </w:rPr>
                    <w:t>15</w:t>
                  </w:r>
                  <w:r>
                    <w:rPr>
                      <w:b/>
                    </w:rPr>
                    <w:t>44</w:t>
                  </w:r>
                  <w:r w:rsidRPr="000E72D9">
                    <w:rPr>
                      <w:b/>
                    </w:rPr>
                    <w:t>.</w:t>
                  </w:r>
                  <w:r>
                    <w:rPr>
                      <w:b/>
                    </w:rPr>
                    <w:t>4</w:t>
                  </w:r>
                </w:p>
              </w:tc>
              <w:tc>
                <w:tcPr>
                  <w:tcW w:w="834" w:type="pct"/>
                  <w:vAlign w:val="center"/>
                </w:tcPr>
                <w:p w:rsidR="00AC2131" w:rsidRPr="000E72D9" w:rsidRDefault="00AC2131" w:rsidP="00AC2131">
                  <w:pPr>
                    <w:pStyle w:val="TableBodyText"/>
                    <w:spacing w:after="30"/>
                    <w:rPr>
                      <w:b/>
                    </w:rPr>
                  </w:pPr>
                  <w:r w:rsidRPr="000E72D9">
                    <w:rPr>
                      <w:b/>
                    </w:rPr>
                    <w:t>2760.7</w:t>
                  </w:r>
                </w:p>
              </w:tc>
              <w:tc>
                <w:tcPr>
                  <w:tcW w:w="834" w:type="pct"/>
                  <w:vAlign w:val="center"/>
                </w:tcPr>
                <w:p w:rsidR="00AC2131" w:rsidRPr="000E72D9" w:rsidRDefault="00AC2131" w:rsidP="00AC2131">
                  <w:pPr>
                    <w:pStyle w:val="TableBodyText"/>
                    <w:spacing w:after="30"/>
                    <w:rPr>
                      <w:b/>
                    </w:rPr>
                  </w:pPr>
                  <w:r w:rsidRPr="000E72D9">
                    <w:rPr>
                      <w:b/>
                    </w:rPr>
                    <w:t>43</w:t>
                  </w:r>
                  <w:r>
                    <w:rPr>
                      <w:b/>
                    </w:rPr>
                    <w:t>05.2</w:t>
                  </w:r>
                </w:p>
              </w:tc>
            </w:tr>
            <w:tr w:rsidR="00AC2131" w:rsidTr="00AC2131">
              <w:tc>
                <w:tcPr>
                  <w:tcW w:w="2497" w:type="pct"/>
                </w:tcPr>
                <w:p w:rsidR="00AC2131" w:rsidRPr="00F22AF1" w:rsidRDefault="00AC2131" w:rsidP="00AC2131">
                  <w:pPr>
                    <w:pStyle w:val="TableBodyText"/>
                    <w:spacing w:after="20"/>
                    <w:jc w:val="left"/>
                  </w:pPr>
                  <w:r w:rsidRPr="00F22AF1">
                    <w:t>Electricity, gas, water and waste services</w:t>
                  </w:r>
                </w:p>
              </w:tc>
              <w:tc>
                <w:tcPr>
                  <w:tcW w:w="834" w:type="pct"/>
                  <w:vAlign w:val="center"/>
                </w:tcPr>
                <w:p w:rsidR="00AC2131" w:rsidRDefault="00AC2131" w:rsidP="00AC2131">
                  <w:pPr>
                    <w:pStyle w:val="TableBodyText"/>
                    <w:spacing w:after="20"/>
                  </w:pPr>
                  <w:r>
                    <w:t>201.1</w:t>
                  </w:r>
                </w:p>
              </w:tc>
              <w:tc>
                <w:tcPr>
                  <w:tcW w:w="834" w:type="pct"/>
                  <w:vAlign w:val="center"/>
                </w:tcPr>
                <w:p w:rsidR="00AC2131" w:rsidRDefault="00AC2131" w:rsidP="00AC2131">
                  <w:pPr>
                    <w:pStyle w:val="TableBodyText"/>
                    <w:spacing w:after="20"/>
                  </w:pPr>
                  <w:r>
                    <w:t>29.3</w:t>
                  </w:r>
                </w:p>
              </w:tc>
              <w:tc>
                <w:tcPr>
                  <w:tcW w:w="834" w:type="pct"/>
                  <w:vAlign w:val="center"/>
                </w:tcPr>
                <w:p w:rsidR="00AC2131" w:rsidRDefault="00AC2131" w:rsidP="00AC2131">
                  <w:pPr>
                    <w:pStyle w:val="TableBodyText"/>
                    <w:spacing w:after="20"/>
                  </w:pPr>
                  <w:r>
                    <w:t>230.4</w:t>
                  </w:r>
                </w:p>
              </w:tc>
            </w:tr>
            <w:tr w:rsidR="00AC2131" w:rsidTr="00AC2131">
              <w:tc>
                <w:tcPr>
                  <w:tcW w:w="2497" w:type="pct"/>
                </w:tcPr>
                <w:p w:rsidR="00AC2131" w:rsidRPr="00F22AF1" w:rsidRDefault="00AC2131" w:rsidP="00AC2131">
                  <w:pPr>
                    <w:pStyle w:val="TableBodyText"/>
                    <w:spacing w:after="20"/>
                    <w:jc w:val="left"/>
                  </w:pPr>
                  <w:r w:rsidRPr="00F22AF1">
                    <w:t>Construction</w:t>
                  </w:r>
                </w:p>
              </w:tc>
              <w:tc>
                <w:tcPr>
                  <w:tcW w:w="834" w:type="pct"/>
                  <w:vAlign w:val="center"/>
                </w:tcPr>
                <w:p w:rsidR="00AC2131" w:rsidRDefault="00AC2131" w:rsidP="00AC2131">
                  <w:pPr>
                    <w:pStyle w:val="TableBodyText"/>
                    <w:spacing w:after="20"/>
                  </w:pPr>
                  <w:r>
                    <w:t>31.1</w:t>
                  </w:r>
                </w:p>
              </w:tc>
              <w:tc>
                <w:tcPr>
                  <w:tcW w:w="834" w:type="pct"/>
                  <w:vAlign w:val="center"/>
                </w:tcPr>
                <w:p w:rsidR="00AC2131" w:rsidRDefault="00AC2131" w:rsidP="00AC2131">
                  <w:pPr>
                    <w:pStyle w:val="TableBodyText"/>
                    <w:spacing w:after="20"/>
                  </w:pPr>
                  <w:r>
                    <w:t>311.3</w:t>
                  </w:r>
                </w:p>
              </w:tc>
              <w:tc>
                <w:tcPr>
                  <w:tcW w:w="834" w:type="pct"/>
                  <w:vAlign w:val="center"/>
                </w:tcPr>
                <w:p w:rsidR="00AC2131" w:rsidRDefault="00AC2131" w:rsidP="00AC2131">
                  <w:pPr>
                    <w:pStyle w:val="TableBodyText"/>
                    <w:spacing w:after="20"/>
                  </w:pPr>
                  <w:r>
                    <w:t>342.4</w:t>
                  </w:r>
                </w:p>
              </w:tc>
            </w:tr>
            <w:tr w:rsidR="00AC2131" w:rsidTr="00AC2131">
              <w:tc>
                <w:tcPr>
                  <w:tcW w:w="2497" w:type="pct"/>
                </w:tcPr>
                <w:p w:rsidR="00AC2131" w:rsidRPr="00F22AF1" w:rsidRDefault="00AC2131" w:rsidP="00AC2131">
                  <w:pPr>
                    <w:pStyle w:val="TableBodyText"/>
                    <w:spacing w:after="20"/>
                    <w:jc w:val="left"/>
                  </w:pPr>
                  <w:r w:rsidRPr="00F22AF1">
                    <w:t>Wholesale trade</w:t>
                  </w:r>
                </w:p>
              </w:tc>
              <w:tc>
                <w:tcPr>
                  <w:tcW w:w="834" w:type="pct"/>
                  <w:vAlign w:val="center"/>
                </w:tcPr>
                <w:p w:rsidR="00AC2131" w:rsidRDefault="00AC2131" w:rsidP="00AC2131">
                  <w:pPr>
                    <w:pStyle w:val="TableBodyText"/>
                    <w:spacing w:after="20"/>
                  </w:pPr>
                  <w:r>
                    <w:t>45.5</w:t>
                  </w:r>
                </w:p>
              </w:tc>
              <w:tc>
                <w:tcPr>
                  <w:tcW w:w="834" w:type="pct"/>
                  <w:vAlign w:val="center"/>
                </w:tcPr>
                <w:p w:rsidR="00AC2131" w:rsidRDefault="00AC2131" w:rsidP="00AC2131">
                  <w:pPr>
                    <w:pStyle w:val="TableBodyText"/>
                    <w:spacing w:after="20"/>
                  </w:pPr>
                  <w:r>
                    <w:t>113.7</w:t>
                  </w:r>
                </w:p>
              </w:tc>
              <w:tc>
                <w:tcPr>
                  <w:tcW w:w="834" w:type="pct"/>
                  <w:vAlign w:val="center"/>
                </w:tcPr>
                <w:p w:rsidR="00AC2131" w:rsidRDefault="00AC2131" w:rsidP="00AC2131">
                  <w:pPr>
                    <w:pStyle w:val="TableBodyText"/>
                    <w:spacing w:after="20"/>
                  </w:pPr>
                  <w:r>
                    <w:t>159.2</w:t>
                  </w:r>
                </w:p>
              </w:tc>
            </w:tr>
            <w:tr w:rsidR="00AC2131" w:rsidTr="00AC2131">
              <w:tc>
                <w:tcPr>
                  <w:tcW w:w="2497" w:type="pct"/>
                </w:tcPr>
                <w:p w:rsidR="00AC2131" w:rsidRPr="00F22AF1" w:rsidRDefault="00AC2131" w:rsidP="00AC2131">
                  <w:pPr>
                    <w:pStyle w:val="TableBodyText"/>
                    <w:spacing w:after="20"/>
                    <w:jc w:val="left"/>
                  </w:pPr>
                  <w:r w:rsidRPr="00F22AF1">
                    <w:t>Retail trade</w:t>
                  </w:r>
                </w:p>
              </w:tc>
              <w:tc>
                <w:tcPr>
                  <w:tcW w:w="834" w:type="pct"/>
                  <w:vAlign w:val="center"/>
                </w:tcPr>
                <w:p w:rsidR="00AC2131" w:rsidRDefault="00AC2131" w:rsidP="00AC2131">
                  <w:pPr>
                    <w:pStyle w:val="TableBodyText"/>
                    <w:spacing w:after="20"/>
                  </w:pPr>
                  <w:r>
                    <w:t>18.5</w:t>
                  </w:r>
                </w:p>
              </w:tc>
              <w:tc>
                <w:tcPr>
                  <w:tcW w:w="834" w:type="pct"/>
                  <w:vAlign w:val="center"/>
                </w:tcPr>
                <w:p w:rsidR="00AC2131" w:rsidRDefault="00AC2131" w:rsidP="00AC2131">
                  <w:pPr>
                    <w:pStyle w:val="TableBodyText"/>
                    <w:spacing w:after="20"/>
                  </w:pPr>
                  <w:r>
                    <w:t>150.4</w:t>
                  </w:r>
                </w:p>
              </w:tc>
              <w:tc>
                <w:tcPr>
                  <w:tcW w:w="834" w:type="pct"/>
                  <w:vAlign w:val="center"/>
                </w:tcPr>
                <w:p w:rsidR="00AC2131" w:rsidRDefault="00AC2131" w:rsidP="00AC2131">
                  <w:pPr>
                    <w:pStyle w:val="TableBodyText"/>
                    <w:spacing w:after="20"/>
                  </w:pPr>
                  <w:r>
                    <w:t>169.0</w:t>
                  </w:r>
                </w:p>
              </w:tc>
            </w:tr>
            <w:tr w:rsidR="00AC2131" w:rsidTr="00AC2131">
              <w:tc>
                <w:tcPr>
                  <w:tcW w:w="2497" w:type="pct"/>
                </w:tcPr>
                <w:p w:rsidR="00AC2131" w:rsidRPr="00F22AF1" w:rsidRDefault="00AC2131" w:rsidP="00AC2131">
                  <w:pPr>
                    <w:pStyle w:val="TableBodyText"/>
                    <w:spacing w:after="20"/>
                    <w:jc w:val="left"/>
                  </w:pPr>
                  <w:r w:rsidRPr="00F22AF1">
                    <w:t>Accommodation and food services</w:t>
                  </w:r>
                </w:p>
              </w:tc>
              <w:tc>
                <w:tcPr>
                  <w:tcW w:w="834" w:type="pct"/>
                  <w:vAlign w:val="center"/>
                </w:tcPr>
                <w:p w:rsidR="00AC2131" w:rsidRDefault="00AC2131" w:rsidP="00AC2131">
                  <w:pPr>
                    <w:pStyle w:val="TableBodyText"/>
                    <w:spacing w:after="20"/>
                  </w:pPr>
                  <w:r>
                    <w:t>4.9</w:t>
                  </w:r>
                </w:p>
              </w:tc>
              <w:tc>
                <w:tcPr>
                  <w:tcW w:w="834" w:type="pct"/>
                  <w:vAlign w:val="center"/>
                </w:tcPr>
                <w:p w:rsidR="00AC2131" w:rsidRDefault="00AC2131" w:rsidP="00AC2131">
                  <w:pPr>
                    <w:pStyle w:val="TableBodyText"/>
                    <w:spacing w:after="20"/>
                  </w:pPr>
                  <w:r>
                    <w:t>119.5</w:t>
                  </w:r>
                </w:p>
              </w:tc>
              <w:tc>
                <w:tcPr>
                  <w:tcW w:w="834" w:type="pct"/>
                  <w:vAlign w:val="center"/>
                </w:tcPr>
                <w:p w:rsidR="00AC2131" w:rsidRDefault="00AC2131" w:rsidP="00AC2131">
                  <w:pPr>
                    <w:pStyle w:val="TableBodyText"/>
                    <w:spacing w:after="20"/>
                  </w:pPr>
                  <w:r>
                    <w:t>124.4</w:t>
                  </w:r>
                </w:p>
              </w:tc>
            </w:tr>
            <w:tr w:rsidR="00AC2131" w:rsidTr="00AC2131">
              <w:tc>
                <w:tcPr>
                  <w:tcW w:w="2497" w:type="pct"/>
                </w:tcPr>
                <w:p w:rsidR="00AC2131" w:rsidRPr="00F22AF1" w:rsidRDefault="00AC2131" w:rsidP="00AC2131">
                  <w:pPr>
                    <w:pStyle w:val="TableBodyText"/>
                    <w:spacing w:after="20"/>
                    <w:jc w:val="left"/>
                  </w:pPr>
                  <w:r w:rsidRPr="00F22AF1">
                    <w:t>Transport, postal and warehousing</w:t>
                  </w:r>
                </w:p>
              </w:tc>
              <w:tc>
                <w:tcPr>
                  <w:tcW w:w="834" w:type="pct"/>
                  <w:vAlign w:val="center"/>
                </w:tcPr>
                <w:p w:rsidR="00AC2131" w:rsidRDefault="00AC2131" w:rsidP="00AC2131">
                  <w:pPr>
                    <w:pStyle w:val="TableBodyText"/>
                    <w:spacing w:after="20"/>
                  </w:pPr>
                  <w:r>
                    <w:t>49.8</w:t>
                  </w:r>
                </w:p>
              </w:tc>
              <w:tc>
                <w:tcPr>
                  <w:tcW w:w="834" w:type="pct"/>
                  <w:vAlign w:val="center"/>
                </w:tcPr>
                <w:p w:rsidR="00AC2131" w:rsidRDefault="00AC2131" w:rsidP="00AC2131">
                  <w:pPr>
                    <w:pStyle w:val="TableBodyText"/>
                    <w:spacing w:after="20"/>
                  </w:pPr>
                  <w:r>
                    <w:t>135.9</w:t>
                  </w:r>
                </w:p>
              </w:tc>
              <w:tc>
                <w:tcPr>
                  <w:tcW w:w="834" w:type="pct"/>
                  <w:vAlign w:val="center"/>
                </w:tcPr>
                <w:p w:rsidR="00AC2131" w:rsidRDefault="00AC2131" w:rsidP="00AC2131">
                  <w:pPr>
                    <w:pStyle w:val="TableBodyText"/>
                    <w:spacing w:after="20"/>
                  </w:pPr>
                  <w:r>
                    <w:t>185.7</w:t>
                  </w:r>
                </w:p>
              </w:tc>
            </w:tr>
            <w:tr w:rsidR="00AC2131" w:rsidTr="00AC2131">
              <w:tc>
                <w:tcPr>
                  <w:tcW w:w="2497" w:type="pct"/>
                </w:tcPr>
                <w:p w:rsidR="00AC2131" w:rsidRPr="00F22AF1" w:rsidRDefault="00AC2131" w:rsidP="00AC2131">
                  <w:pPr>
                    <w:pStyle w:val="TableBodyText"/>
                    <w:spacing w:after="20"/>
                    <w:jc w:val="left"/>
                  </w:pPr>
                  <w:r w:rsidRPr="00F22AF1">
                    <w:t>Information, media and telecommunications</w:t>
                  </w:r>
                </w:p>
              </w:tc>
              <w:tc>
                <w:tcPr>
                  <w:tcW w:w="834" w:type="pct"/>
                  <w:vAlign w:val="center"/>
                </w:tcPr>
                <w:p w:rsidR="00AC2131" w:rsidRDefault="00AC2131" w:rsidP="00AC2131">
                  <w:pPr>
                    <w:pStyle w:val="TableBodyText"/>
                    <w:spacing w:after="20"/>
                  </w:pPr>
                  <w:r>
                    <w:t>122.8</w:t>
                  </w:r>
                </w:p>
              </w:tc>
              <w:tc>
                <w:tcPr>
                  <w:tcW w:w="834" w:type="pct"/>
                  <w:vAlign w:val="center"/>
                </w:tcPr>
                <w:p w:rsidR="00AC2131" w:rsidRDefault="00AC2131" w:rsidP="00AC2131">
                  <w:pPr>
                    <w:pStyle w:val="TableBodyText"/>
                    <w:spacing w:after="20"/>
                  </w:pPr>
                  <w:r>
                    <w:t>25.7</w:t>
                  </w:r>
                </w:p>
              </w:tc>
              <w:tc>
                <w:tcPr>
                  <w:tcW w:w="834" w:type="pct"/>
                  <w:vAlign w:val="center"/>
                </w:tcPr>
                <w:p w:rsidR="00AC2131" w:rsidRDefault="00AC2131" w:rsidP="00AC2131">
                  <w:pPr>
                    <w:pStyle w:val="TableBodyText"/>
                    <w:spacing w:after="20"/>
                  </w:pPr>
                  <w:r>
                    <w:t>148.5</w:t>
                  </w:r>
                </w:p>
              </w:tc>
            </w:tr>
            <w:tr w:rsidR="00AC2131" w:rsidTr="00AC2131">
              <w:tc>
                <w:tcPr>
                  <w:tcW w:w="2497" w:type="pct"/>
                </w:tcPr>
                <w:p w:rsidR="00AC2131" w:rsidRPr="00F22AF1" w:rsidRDefault="00AC2131" w:rsidP="00AC2131">
                  <w:pPr>
                    <w:pStyle w:val="TableBodyText"/>
                    <w:spacing w:after="20"/>
                    <w:jc w:val="left"/>
                  </w:pPr>
                  <w:r w:rsidRPr="00F22AF1">
                    <w:t>Financial and insurance services</w:t>
                  </w:r>
                </w:p>
              </w:tc>
              <w:tc>
                <w:tcPr>
                  <w:tcW w:w="834" w:type="pct"/>
                  <w:vAlign w:val="center"/>
                </w:tcPr>
                <w:p w:rsidR="00AC2131" w:rsidRDefault="00AC2131" w:rsidP="00AC2131">
                  <w:pPr>
                    <w:pStyle w:val="TableBodyText"/>
                    <w:spacing w:after="20"/>
                  </w:pPr>
                  <w:r>
                    <w:t>192.6</w:t>
                  </w:r>
                </w:p>
              </w:tc>
              <w:tc>
                <w:tcPr>
                  <w:tcW w:w="834" w:type="pct"/>
                  <w:vAlign w:val="center"/>
                </w:tcPr>
                <w:p w:rsidR="00AC2131" w:rsidRDefault="00AC2131" w:rsidP="00AC2131">
                  <w:pPr>
                    <w:pStyle w:val="TableBodyText"/>
                    <w:spacing w:after="20"/>
                  </w:pPr>
                  <w:r>
                    <w:t>767.9</w:t>
                  </w:r>
                </w:p>
              </w:tc>
              <w:tc>
                <w:tcPr>
                  <w:tcW w:w="834" w:type="pct"/>
                  <w:vAlign w:val="center"/>
                </w:tcPr>
                <w:p w:rsidR="00AC2131" w:rsidRDefault="00AC2131" w:rsidP="00AC2131">
                  <w:pPr>
                    <w:pStyle w:val="TableBodyText"/>
                    <w:spacing w:after="20"/>
                  </w:pPr>
                  <w:r>
                    <w:t>960.5</w:t>
                  </w:r>
                </w:p>
              </w:tc>
            </w:tr>
            <w:tr w:rsidR="00AC2131" w:rsidTr="00AC2131">
              <w:tc>
                <w:tcPr>
                  <w:tcW w:w="2497" w:type="pct"/>
                </w:tcPr>
                <w:p w:rsidR="00AC2131" w:rsidRPr="00F22AF1" w:rsidRDefault="00AC2131" w:rsidP="00AC2131">
                  <w:pPr>
                    <w:pStyle w:val="TableBodyText"/>
                    <w:spacing w:after="20"/>
                    <w:jc w:val="left"/>
                  </w:pPr>
                  <w:r w:rsidRPr="00F22AF1">
                    <w:t>Property, professional and admin. services</w:t>
                  </w:r>
                </w:p>
              </w:tc>
              <w:tc>
                <w:tcPr>
                  <w:tcW w:w="834" w:type="pct"/>
                  <w:vAlign w:val="center"/>
                </w:tcPr>
                <w:p w:rsidR="00AC2131" w:rsidRDefault="00AC2131" w:rsidP="00AC2131">
                  <w:pPr>
                    <w:pStyle w:val="TableBodyText"/>
                    <w:spacing w:after="20"/>
                  </w:pPr>
                  <w:r>
                    <w:t>430.0</w:t>
                  </w:r>
                </w:p>
              </w:tc>
              <w:tc>
                <w:tcPr>
                  <w:tcW w:w="834" w:type="pct"/>
                  <w:vAlign w:val="center"/>
                </w:tcPr>
                <w:p w:rsidR="00AC2131" w:rsidRDefault="00AC2131" w:rsidP="00AC2131">
                  <w:pPr>
                    <w:pStyle w:val="TableBodyText"/>
                    <w:spacing w:after="20"/>
                  </w:pPr>
                  <w:r>
                    <w:t>549.0</w:t>
                  </w:r>
                </w:p>
              </w:tc>
              <w:tc>
                <w:tcPr>
                  <w:tcW w:w="834" w:type="pct"/>
                  <w:vAlign w:val="center"/>
                </w:tcPr>
                <w:p w:rsidR="00AC2131" w:rsidRDefault="00AC2131" w:rsidP="00AC2131">
                  <w:pPr>
                    <w:pStyle w:val="TableBodyText"/>
                    <w:spacing w:after="20"/>
                  </w:pPr>
                  <w:r>
                    <w:t>979.0</w:t>
                  </w:r>
                </w:p>
              </w:tc>
            </w:tr>
            <w:tr w:rsidR="00AC2131" w:rsidTr="00AC2131">
              <w:tc>
                <w:tcPr>
                  <w:tcW w:w="2497" w:type="pct"/>
                </w:tcPr>
                <w:p w:rsidR="00AC2131" w:rsidRPr="00F22AF1" w:rsidRDefault="00AC2131" w:rsidP="00AC2131">
                  <w:pPr>
                    <w:pStyle w:val="TableBodyText"/>
                    <w:spacing w:after="20"/>
                    <w:jc w:val="left"/>
                  </w:pPr>
                  <w:r w:rsidRPr="00F22AF1">
                    <w:t>Public administration and safety</w:t>
                  </w:r>
                </w:p>
              </w:tc>
              <w:tc>
                <w:tcPr>
                  <w:tcW w:w="834" w:type="pct"/>
                  <w:vAlign w:val="center"/>
                </w:tcPr>
                <w:p w:rsidR="00AC2131" w:rsidRDefault="00AC2131" w:rsidP="00AC2131">
                  <w:pPr>
                    <w:pStyle w:val="TableBodyText"/>
                    <w:spacing w:after="20"/>
                  </w:pPr>
                  <w:r>
                    <w:t>6.5</w:t>
                  </w:r>
                </w:p>
              </w:tc>
              <w:tc>
                <w:tcPr>
                  <w:tcW w:w="834" w:type="pct"/>
                  <w:vAlign w:val="center"/>
                </w:tcPr>
                <w:p w:rsidR="00AC2131" w:rsidRDefault="00AC2131" w:rsidP="00AC2131">
                  <w:pPr>
                    <w:pStyle w:val="TableBodyText"/>
                    <w:spacing w:after="20"/>
                  </w:pPr>
                  <w:r>
                    <w:t>7.2</w:t>
                  </w:r>
                </w:p>
              </w:tc>
              <w:tc>
                <w:tcPr>
                  <w:tcW w:w="834" w:type="pct"/>
                  <w:vAlign w:val="center"/>
                </w:tcPr>
                <w:p w:rsidR="00AC2131" w:rsidRDefault="00AC2131" w:rsidP="00AC2131">
                  <w:pPr>
                    <w:pStyle w:val="TableBodyText"/>
                    <w:spacing w:after="20"/>
                  </w:pPr>
                  <w:r>
                    <w:t>13.8</w:t>
                  </w:r>
                </w:p>
              </w:tc>
            </w:tr>
            <w:tr w:rsidR="00AC2131" w:rsidTr="00AC2131">
              <w:tc>
                <w:tcPr>
                  <w:tcW w:w="2497" w:type="pct"/>
                </w:tcPr>
                <w:p w:rsidR="00AC2131" w:rsidRPr="00F22AF1" w:rsidRDefault="00AC2131" w:rsidP="00AC2131">
                  <w:pPr>
                    <w:pStyle w:val="TableBodyText"/>
                    <w:spacing w:after="20"/>
                    <w:jc w:val="left"/>
                  </w:pPr>
                  <w:r w:rsidRPr="00F22AF1">
                    <w:t>Education and training</w:t>
                  </w:r>
                </w:p>
              </w:tc>
              <w:tc>
                <w:tcPr>
                  <w:tcW w:w="834" w:type="pct"/>
                  <w:vAlign w:val="center"/>
                </w:tcPr>
                <w:p w:rsidR="00AC2131" w:rsidRDefault="00AC2131" w:rsidP="00AC2131">
                  <w:pPr>
                    <w:pStyle w:val="TableBodyText"/>
                    <w:spacing w:after="20"/>
                  </w:pPr>
                  <w:r>
                    <w:t>15.6</w:t>
                  </w:r>
                </w:p>
              </w:tc>
              <w:tc>
                <w:tcPr>
                  <w:tcW w:w="834" w:type="pct"/>
                  <w:vAlign w:val="center"/>
                </w:tcPr>
                <w:p w:rsidR="00AC2131" w:rsidRDefault="00AC2131" w:rsidP="00AC2131">
                  <w:pPr>
                    <w:pStyle w:val="TableBodyText"/>
                    <w:spacing w:after="20"/>
                  </w:pPr>
                  <w:r>
                    <w:t>21.4</w:t>
                  </w:r>
                </w:p>
              </w:tc>
              <w:tc>
                <w:tcPr>
                  <w:tcW w:w="834" w:type="pct"/>
                  <w:vAlign w:val="center"/>
                </w:tcPr>
                <w:p w:rsidR="00AC2131" w:rsidRDefault="00AC2131" w:rsidP="00AC2131">
                  <w:pPr>
                    <w:pStyle w:val="TableBodyText"/>
                    <w:spacing w:after="20"/>
                  </w:pPr>
                  <w:r>
                    <w:t>36.9</w:t>
                  </w:r>
                </w:p>
              </w:tc>
            </w:tr>
            <w:tr w:rsidR="00AC2131" w:rsidTr="00AC2131">
              <w:tc>
                <w:tcPr>
                  <w:tcW w:w="2497" w:type="pct"/>
                </w:tcPr>
                <w:p w:rsidR="00AC2131" w:rsidRPr="0008512F" w:rsidRDefault="00AC2131" w:rsidP="00AC2131">
                  <w:pPr>
                    <w:pStyle w:val="TableBodyText"/>
                    <w:spacing w:after="20"/>
                    <w:jc w:val="left"/>
                  </w:pPr>
                  <w:r w:rsidRPr="0008512F">
                    <w:t>Health care and social assistance</w:t>
                  </w:r>
                </w:p>
              </w:tc>
              <w:tc>
                <w:tcPr>
                  <w:tcW w:w="834" w:type="pct"/>
                  <w:vAlign w:val="center"/>
                </w:tcPr>
                <w:p w:rsidR="00AC2131" w:rsidRDefault="00AC2131" w:rsidP="00AC2131">
                  <w:pPr>
                    <w:pStyle w:val="TableBodyText"/>
                    <w:spacing w:after="20"/>
                  </w:pPr>
                  <w:r>
                    <w:t>123.9</w:t>
                  </w:r>
                </w:p>
              </w:tc>
              <w:tc>
                <w:tcPr>
                  <w:tcW w:w="834" w:type="pct"/>
                  <w:vAlign w:val="center"/>
                </w:tcPr>
                <w:p w:rsidR="00AC2131" w:rsidRDefault="00AC2131" w:rsidP="00AC2131">
                  <w:pPr>
                    <w:pStyle w:val="TableBodyText"/>
                    <w:spacing w:after="20"/>
                  </w:pPr>
                  <w:r>
                    <w:t>116.6</w:t>
                  </w:r>
                </w:p>
              </w:tc>
              <w:tc>
                <w:tcPr>
                  <w:tcW w:w="834" w:type="pct"/>
                  <w:vAlign w:val="center"/>
                </w:tcPr>
                <w:p w:rsidR="00AC2131" w:rsidRDefault="00AC2131" w:rsidP="00AC2131">
                  <w:pPr>
                    <w:pStyle w:val="TableBodyText"/>
                    <w:spacing w:after="20"/>
                  </w:pPr>
                  <w:r>
                    <w:t>240.5</w:t>
                  </w:r>
                </w:p>
              </w:tc>
            </w:tr>
            <w:tr w:rsidR="00AC2131" w:rsidTr="00AC2131">
              <w:tc>
                <w:tcPr>
                  <w:tcW w:w="2497" w:type="pct"/>
                </w:tcPr>
                <w:p w:rsidR="00AC2131" w:rsidRPr="0008512F" w:rsidRDefault="00AC2131" w:rsidP="00AC2131">
                  <w:pPr>
                    <w:pStyle w:val="TableBodyText"/>
                    <w:spacing w:after="20"/>
                    <w:jc w:val="left"/>
                  </w:pPr>
                  <w:r w:rsidRPr="0008512F">
                    <w:t>Arts and recreation services</w:t>
                  </w:r>
                </w:p>
              </w:tc>
              <w:tc>
                <w:tcPr>
                  <w:tcW w:w="834" w:type="pct"/>
                  <w:vAlign w:val="center"/>
                </w:tcPr>
                <w:p w:rsidR="00AC2131" w:rsidRDefault="00AC2131" w:rsidP="00AC2131">
                  <w:pPr>
                    <w:pStyle w:val="TableBodyText"/>
                    <w:spacing w:after="20"/>
                  </w:pPr>
                  <w:r>
                    <w:t>125.6</w:t>
                  </w:r>
                </w:p>
              </w:tc>
              <w:tc>
                <w:tcPr>
                  <w:tcW w:w="834" w:type="pct"/>
                  <w:vAlign w:val="center"/>
                </w:tcPr>
                <w:p w:rsidR="00AC2131" w:rsidRDefault="00AC2131" w:rsidP="00AC2131">
                  <w:pPr>
                    <w:pStyle w:val="TableBodyText"/>
                    <w:spacing w:after="20"/>
                  </w:pPr>
                  <w:r>
                    <w:t>327.0</w:t>
                  </w:r>
                </w:p>
              </w:tc>
              <w:tc>
                <w:tcPr>
                  <w:tcW w:w="834" w:type="pct"/>
                  <w:vAlign w:val="center"/>
                </w:tcPr>
                <w:p w:rsidR="00AC2131" w:rsidRDefault="00AC2131" w:rsidP="00AC2131">
                  <w:pPr>
                    <w:pStyle w:val="TableBodyText"/>
                    <w:spacing w:after="20"/>
                  </w:pPr>
                  <w:r>
                    <w:t>452.6</w:t>
                  </w:r>
                </w:p>
              </w:tc>
            </w:tr>
            <w:tr w:rsidR="00AC2131" w:rsidTr="00AC2131">
              <w:tc>
                <w:tcPr>
                  <w:tcW w:w="2497" w:type="pct"/>
                </w:tcPr>
                <w:p w:rsidR="00AC2131" w:rsidRPr="0008512F" w:rsidRDefault="00AC2131" w:rsidP="00AC2131">
                  <w:pPr>
                    <w:pStyle w:val="TableBodyText"/>
                    <w:spacing w:after="20"/>
                    <w:jc w:val="left"/>
                  </w:pPr>
                  <w:r w:rsidRPr="0008512F">
                    <w:t>Other services</w:t>
                  </w:r>
                </w:p>
              </w:tc>
              <w:tc>
                <w:tcPr>
                  <w:tcW w:w="834" w:type="pct"/>
                  <w:vAlign w:val="center"/>
                </w:tcPr>
                <w:p w:rsidR="00AC2131" w:rsidRDefault="00AC2131" w:rsidP="00AC2131">
                  <w:pPr>
                    <w:pStyle w:val="TableBodyText"/>
                    <w:spacing w:after="20"/>
                  </w:pPr>
                  <w:r>
                    <w:t>19.7</w:t>
                  </w:r>
                </w:p>
              </w:tc>
              <w:tc>
                <w:tcPr>
                  <w:tcW w:w="834" w:type="pct"/>
                  <w:vAlign w:val="center"/>
                </w:tcPr>
                <w:p w:rsidR="00AC2131" w:rsidRDefault="00AC2131" w:rsidP="00AC2131">
                  <w:pPr>
                    <w:pStyle w:val="TableBodyText"/>
                    <w:spacing w:after="20"/>
                  </w:pPr>
                  <w:r>
                    <w:t>85.8</w:t>
                  </w:r>
                </w:p>
              </w:tc>
              <w:tc>
                <w:tcPr>
                  <w:tcW w:w="834" w:type="pct"/>
                  <w:vAlign w:val="center"/>
                </w:tcPr>
                <w:p w:rsidR="00AC2131" w:rsidRDefault="00AC2131" w:rsidP="00AC2131">
                  <w:pPr>
                    <w:pStyle w:val="TableBodyText"/>
                    <w:spacing w:after="20"/>
                  </w:pPr>
                  <w:r>
                    <w:t>105.5</w:t>
                  </w:r>
                </w:p>
              </w:tc>
            </w:tr>
            <w:tr w:rsidR="00AC2131" w:rsidTr="00AC2131">
              <w:tc>
                <w:tcPr>
                  <w:tcW w:w="2497" w:type="pct"/>
                </w:tcPr>
                <w:p w:rsidR="00AC2131" w:rsidRPr="0008512F" w:rsidRDefault="00AC2131" w:rsidP="00AC2131">
                  <w:pPr>
                    <w:pStyle w:val="TableBodyText"/>
                    <w:spacing w:after="20"/>
                    <w:jc w:val="left"/>
                  </w:pPr>
                  <w:r w:rsidRPr="0008512F">
                    <w:t>Unallocated services</w:t>
                  </w:r>
                  <w:r w:rsidRPr="00E61C77">
                    <w:rPr>
                      <w:rStyle w:val="NoteLabel"/>
                    </w:rPr>
                    <w:t>b</w:t>
                  </w:r>
                </w:p>
              </w:tc>
              <w:tc>
                <w:tcPr>
                  <w:tcW w:w="834" w:type="pct"/>
                  <w:vAlign w:val="center"/>
                </w:tcPr>
                <w:p w:rsidR="00AC2131" w:rsidRDefault="00AC2131" w:rsidP="00AC2131">
                  <w:pPr>
                    <w:pStyle w:val="TableBodyText"/>
                    <w:spacing w:after="20"/>
                  </w:pPr>
                  <w:r>
                    <w:t>156.8</w:t>
                  </w:r>
                </w:p>
              </w:tc>
              <w:tc>
                <w:tcPr>
                  <w:tcW w:w="834" w:type="pct"/>
                  <w:vAlign w:val="center"/>
                </w:tcPr>
                <w:p w:rsidR="00AC2131" w:rsidRDefault="00AC2131" w:rsidP="00AC2131">
                  <w:pPr>
                    <w:pStyle w:val="TableBodyText"/>
                    <w:spacing w:after="20"/>
                  </w:pPr>
                  <w:r>
                    <w:t>–</w:t>
                  </w:r>
                </w:p>
              </w:tc>
              <w:tc>
                <w:tcPr>
                  <w:tcW w:w="834" w:type="pct"/>
                  <w:vAlign w:val="center"/>
                </w:tcPr>
                <w:p w:rsidR="00AC2131" w:rsidRDefault="00AC2131" w:rsidP="00AC2131">
                  <w:pPr>
                    <w:pStyle w:val="TableBodyText"/>
                    <w:spacing w:after="20"/>
                  </w:pPr>
                  <w:r>
                    <w:t>156.8</w:t>
                  </w:r>
                </w:p>
              </w:tc>
            </w:tr>
            <w:tr w:rsidR="00AC2131" w:rsidRPr="00A21AD0" w:rsidTr="00AC2131">
              <w:tc>
                <w:tcPr>
                  <w:tcW w:w="2497" w:type="pct"/>
                </w:tcPr>
                <w:p w:rsidR="00AC2131" w:rsidRPr="00A21AD0" w:rsidRDefault="00AC2131" w:rsidP="00AC2131">
                  <w:pPr>
                    <w:pStyle w:val="TableBodyText"/>
                    <w:spacing w:after="30"/>
                    <w:jc w:val="left"/>
                    <w:rPr>
                      <w:b/>
                    </w:rPr>
                  </w:pPr>
                  <w:r w:rsidRPr="00A21AD0">
                    <w:rPr>
                      <w:b/>
                    </w:rPr>
                    <w:t>Unallocated other</w:t>
                  </w:r>
                  <w:r w:rsidRPr="00E61C77">
                    <w:rPr>
                      <w:rStyle w:val="NoteLabel"/>
                    </w:rPr>
                    <w:t>b</w:t>
                  </w:r>
                </w:p>
              </w:tc>
              <w:tc>
                <w:tcPr>
                  <w:tcW w:w="834" w:type="pct"/>
                </w:tcPr>
                <w:p w:rsidR="00AC2131" w:rsidRPr="008E75D3" w:rsidRDefault="00AC2131" w:rsidP="00AC2131">
                  <w:pPr>
                    <w:pStyle w:val="TableBodyText"/>
                    <w:spacing w:before="40" w:after="30"/>
                    <w:rPr>
                      <w:b/>
                    </w:rPr>
                  </w:pPr>
                  <w:r w:rsidRPr="008E75D3">
                    <w:rPr>
                      <w:b/>
                    </w:rPr>
                    <w:t>437</w:t>
                  </w:r>
                  <w:r>
                    <w:rPr>
                      <w:b/>
                    </w:rPr>
                    <w:t>.4</w:t>
                  </w:r>
                </w:p>
              </w:tc>
              <w:tc>
                <w:tcPr>
                  <w:tcW w:w="834" w:type="pct"/>
                </w:tcPr>
                <w:p w:rsidR="00AC2131" w:rsidRPr="008E75D3" w:rsidRDefault="00AC2131" w:rsidP="00AC2131">
                  <w:pPr>
                    <w:pStyle w:val="TableBodyText"/>
                    <w:spacing w:before="40" w:after="30"/>
                    <w:rPr>
                      <w:b/>
                    </w:rPr>
                  </w:pPr>
                  <w:r w:rsidRPr="008E75D3">
                    <w:rPr>
                      <w:b/>
                    </w:rPr>
                    <w:t>773.5</w:t>
                  </w:r>
                </w:p>
              </w:tc>
              <w:tc>
                <w:tcPr>
                  <w:tcW w:w="834" w:type="pct"/>
                </w:tcPr>
                <w:p w:rsidR="00AC2131" w:rsidRPr="008E75D3" w:rsidRDefault="00AC2131" w:rsidP="00AC2131">
                  <w:pPr>
                    <w:pStyle w:val="TableBodyText"/>
                    <w:spacing w:before="40" w:after="30"/>
                    <w:rPr>
                      <w:b/>
                    </w:rPr>
                  </w:pPr>
                  <w:r w:rsidRPr="008E75D3">
                    <w:rPr>
                      <w:b/>
                    </w:rPr>
                    <w:t>12</w:t>
                  </w:r>
                  <w:r>
                    <w:rPr>
                      <w:b/>
                    </w:rPr>
                    <w:t>11</w:t>
                  </w:r>
                  <w:r w:rsidRPr="008E75D3">
                    <w:rPr>
                      <w:b/>
                    </w:rPr>
                    <w:t>.</w:t>
                  </w:r>
                  <w:r>
                    <w:rPr>
                      <w:b/>
                    </w:rPr>
                    <w:t>0</w:t>
                  </w:r>
                </w:p>
              </w:tc>
            </w:tr>
            <w:tr w:rsidR="00AC2131" w:rsidRPr="00A21AD0" w:rsidTr="00AC2131">
              <w:tc>
                <w:tcPr>
                  <w:tcW w:w="2497" w:type="pct"/>
                  <w:tcBorders>
                    <w:bottom w:val="single" w:sz="6" w:space="0" w:color="BFBFBF"/>
                  </w:tcBorders>
                  <w:shd w:val="clear" w:color="auto" w:fill="auto"/>
                </w:tcPr>
                <w:p w:rsidR="00AC2131" w:rsidRPr="00A21AD0" w:rsidRDefault="00AC2131" w:rsidP="00AC2131">
                  <w:pPr>
                    <w:pStyle w:val="TableBodyText"/>
                    <w:spacing w:after="30"/>
                    <w:jc w:val="left"/>
                    <w:rPr>
                      <w:b/>
                      <w:szCs w:val="18"/>
                    </w:rPr>
                  </w:pPr>
                  <w:r w:rsidRPr="00A21AD0">
                    <w:rPr>
                      <w:b/>
                      <w:szCs w:val="18"/>
                    </w:rPr>
                    <w:t>Total</w:t>
                  </w:r>
                </w:p>
              </w:tc>
              <w:tc>
                <w:tcPr>
                  <w:tcW w:w="834" w:type="pct"/>
                  <w:tcBorders>
                    <w:bottom w:val="single" w:sz="6" w:space="0" w:color="BFBFBF"/>
                  </w:tcBorders>
                  <w:vAlign w:val="center"/>
                </w:tcPr>
                <w:p w:rsidR="00AC2131" w:rsidRPr="008C02ED" w:rsidRDefault="00AC2131" w:rsidP="00AC2131">
                  <w:pPr>
                    <w:pStyle w:val="TableBodyText"/>
                    <w:spacing w:after="30"/>
                    <w:rPr>
                      <w:b/>
                      <w:szCs w:val="18"/>
                    </w:rPr>
                  </w:pPr>
                  <w:r w:rsidRPr="008C02ED">
                    <w:rPr>
                      <w:b/>
                      <w:szCs w:val="18"/>
                    </w:rPr>
                    <w:t>4</w:t>
                  </w:r>
                  <w:r>
                    <w:rPr>
                      <w:b/>
                      <w:szCs w:val="18"/>
                    </w:rPr>
                    <w:t>132.6</w:t>
                  </w:r>
                </w:p>
              </w:tc>
              <w:tc>
                <w:tcPr>
                  <w:tcW w:w="834" w:type="pct"/>
                  <w:tcBorders>
                    <w:bottom w:val="single" w:sz="6" w:space="0" w:color="BFBFBF"/>
                  </w:tcBorders>
                  <w:shd w:val="clear" w:color="auto" w:fill="auto"/>
                  <w:vAlign w:val="center"/>
                </w:tcPr>
                <w:p w:rsidR="00AC2131" w:rsidRPr="008C02ED" w:rsidRDefault="00AC2131" w:rsidP="00AC2131">
                  <w:pPr>
                    <w:pStyle w:val="TableBodyText"/>
                    <w:spacing w:after="30"/>
                    <w:rPr>
                      <w:b/>
                      <w:szCs w:val="18"/>
                    </w:rPr>
                  </w:pPr>
                  <w:r w:rsidRPr="008C02ED">
                    <w:rPr>
                      <w:b/>
                      <w:szCs w:val="18"/>
                    </w:rPr>
                    <w:t>4955.8</w:t>
                  </w:r>
                </w:p>
              </w:tc>
              <w:tc>
                <w:tcPr>
                  <w:tcW w:w="834" w:type="pct"/>
                  <w:tcBorders>
                    <w:bottom w:val="single" w:sz="6" w:space="0" w:color="BFBFBF"/>
                  </w:tcBorders>
                  <w:shd w:val="clear" w:color="auto" w:fill="auto"/>
                  <w:vAlign w:val="center"/>
                </w:tcPr>
                <w:p w:rsidR="00AC2131" w:rsidRPr="008C02ED" w:rsidRDefault="00AC2131" w:rsidP="00AC2131">
                  <w:pPr>
                    <w:pStyle w:val="TableBodyText"/>
                    <w:spacing w:after="30"/>
                    <w:rPr>
                      <w:b/>
                      <w:szCs w:val="18"/>
                    </w:rPr>
                  </w:pPr>
                  <w:r w:rsidRPr="008C02ED">
                    <w:rPr>
                      <w:b/>
                      <w:szCs w:val="18"/>
                    </w:rPr>
                    <w:t>9</w:t>
                  </w:r>
                  <w:r>
                    <w:rPr>
                      <w:b/>
                      <w:szCs w:val="18"/>
                    </w:rPr>
                    <w:t>088.4</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spacing w:before="40"/>
              <w:rPr>
                <w:i/>
              </w:rPr>
            </w:pPr>
            <w:r>
              <w:t xml:space="preserve">– Nil. </w:t>
            </w:r>
            <w:r w:rsidRPr="008E77FE">
              <w:rPr>
                <w:rStyle w:val="NoteLabel"/>
              </w:rPr>
              <w:t>a</w:t>
            </w:r>
            <w:r>
              <w:t> </w:t>
            </w:r>
            <w:r w:rsidRPr="009B3029">
              <w:rPr>
                <w:i/>
              </w:rPr>
              <w:t>Aquaculture and fishing</w:t>
            </w:r>
            <w:r w:rsidRPr="009C0A1F">
              <w:t xml:space="preserve"> </w:t>
            </w:r>
            <w:r w:rsidRPr="007E3E60">
              <w:t xml:space="preserve">includes </w:t>
            </w:r>
            <w:r w:rsidRPr="009C0A1F">
              <w:rPr>
                <w:i/>
              </w:rPr>
              <w:t xml:space="preserve">Hunting </w:t>
            </w:r>
            <w:r>
              <w:rPr>
                <w:i/>
              </w:rPr>
              <w:t>and</w:t>
            </w:r>
            <w:r w:rsidRPr="009C0A1F">
              <w:rPr>
                <w:i/>
              </w:rPr>
              <w:t xml:space="preserve"> trapping</w:t>
            </w:r>
            <w:r>
              <w:t xml:space="preserve">. </w:t>
            </w:r>
            <w:r>
              <w:rPr>
                <w:rStyle w:val="NoteLabel"/>
              </w:rPr>
              <w:t>b</w:t>
            </w:r>
            <w:r>
              <w:t> </w:t>
            </w:r>
            <w:r w:rsidRPr="00E61C77">
              <w:t>Unallocated includes programs for which details of the initial benefiting industry cannot be readily identified</w:t>
            </w:r>
            <w:r>
              <w:t>.</w:t>
            </w:r>
            <w:r w:rsidRPr="00E61C77">
              <w:t xml:space="preserve"> </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spacing w:before="40"/>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statistics, accounts for around 60 per cent of the category. Other budgetary assistance not classified to industry included the Australia Centre for Renewable Energy, Austrade and the TCF Corporate Wear Program.</w:t>
      </w:r>
      <w:r>
        <w:rPr>
          <w:rStyle w:val="FootnoteReference"/>
        </w:rPr>
        <w:footnoteReference w:id="46"/>
      </w:r>
      <w:r>
        <w:t xml:space="preserve"> </w:t>
      </w:r>
    </w:p>
    <w:p w:rsidR="00AC2131" w:rsidRDefault="00AC2131" w:rsidP="00AC2131">
      <w:pPr>
        <w:pStyle w:val="Heading2"/>
      </w:pPr>
      <w:r>
        <w:t>5.</w:t>
      </w:r>
      <w:r>
        <w:rPr>
          <w:noProof/>
        </w:rPr>
        <w:t>4</w:t>
      </w:r>
      <w:r>
        <w:tab/>
        <w:t>Combined assistance and effective rates of assistance</w:t>
      </w:r>
    </w:p>
    <w:p w:rsidR="00AC2131" w:rsidRDefault="00AC2131" w:rsidP="00AC2131">
      <w:pPr>
        <w:pStyle w:val="BodyText"/>
      </w:pPr>
      <w:r>
        <w:t xml:space="preserve">This section presents the results for combined tariff, budgetary and agricultural pricing assistance by industry group. Combined assistance is reported in terms of the net value of assistance and its components (reported for broad industries in figure 5.1) and the effective rate of assistance (box 5.4).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5.</w:t>
            </w:r>
            <w:r>
              <w:rPr>
                <w:b w:val="0"/>
                <w:noProof/>
              </w:rPr>
              <w:t>4</w:t>
            </w:r>
            <w:r>
              <w:tab/>
              <w:t>Summary measures of combined assistance</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 xml:space="preserve">In reporting on its estimates of net combined assistance, the Commission adopts two summary measures. </w:t>
            </w:r>
          </w:p>
          <w:p w:rsidR="00AC2131" w:rsidRDefault="00AC2131" w:rsidP="00AC2131">
            <w:pPr>
              <w:pStyle w:val="BoxListBullet"/>
              <w:tabs>
                <w:tab w:val="clear" w:pos="284"/>
                <w:tab w:val="num" w:pos="403"/>
              </w:tabs>
              <w:ind w:left="403" w:hanging="425"/>
            </w:pPr>
            <w:r>
              <w:t xml:space="preserve">First, it reports total net assistance (also referred to in assistance methodologies as the net subsidy equivalent (NSE)), which is the dollar value of net assistance to the land, labour and capital resources used in a particular industry or activity. It indicates the level of transfers of income to benefiting producers from consumers, taxpayers and other firms. NSE estimates are reported for the four broad industry sectors and 34 industry groupings. </w:t>
            </w:r>
          </w:p>
          <w:p w:rsidR="00AC2131" w:rsidRDefault="00AC2131" w:rsidP="00AC2131">
            <w:pPr>
              <w:pStyle w:val="BoxListBullet"/>
              <w:tabs>
                <w:tab w:val="clear" w:pos="284"/>
                <w:tab w:val="num" w:pos="403"/>
              </w:tabs>
              <w:ind w:left="403" w:hanging="425"/>
            </w:pPr>
            <w:r>
              <w:t xml:space="preserve">The second summary measure is the effective rate of assistance (ERA). It measures the NSE of combined assistance to a particular industry in proportion to that industry’s unassisted net output (value added). It provides an indication of the extent to which assistance to an industry enables it to attract and hold economic resources relative to other sectors. That is, where there is some competition between industries for resources, those industries with relatively high effective rates of assistance are more likely, as a result of their assistance, to be able to attract resources away from those with lower rates of effective assistance. ERA estimates are reported for industries in the primary production, mining and manufacturing sectors. Effective rates of assistance are not separately published for the services sector. In line with the ‘Corden’ method for estimating effective assistance, services are treated as not directly traded but as contributing to value-added inputs of the merchandise traded-goods sectors. </w:t>
            </w:r>
          </w:p>
          <w:p w:rsidR="00AC2131" w:rsidRDefault="00AC2131" w:rsidP="00AC2131">
            <w:pPr>
              <w:pStyle w:val="Box"/>
            </w:pPr>
            <w:r>
              <w:t xml:space="preserve">These measures, and the treatment of services, are discussed in more detail in the Commission’s Methodological Annex to </w:t>
            </w:r>
            <w:r w:rsidRPr="000E2048">
              <w:rPr>
                <w:i/>
              </w:rPr>
              <w:t>Trade &amp; Assistance Review</w:t>
            </w:r>
            <w:r>
              <w:rPr>
                <w:i/>
              </w:rPr>
              <w:t xml:space="preserve"> 2011</w:t>
            </w:r>
            <w:r>
              <w:rPr>
                <w:i/>
              </w:rPr>
              <w:noBreakHyphen/>
              <w:t>12</w:t>
            </w:r>
            <w:r>
              <w:t xml:space="preserve"> (PC 2014b).</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3"/>
      </w:pPr>
      <w:r>
        <w:lastRenderedPageBreak/>
        <w:t>Combined assistance by industry grouping</w:t>
      </w:r>
    </w:p>
    <w:p w:rsidR="00AC2131" w:rsidRDefault="00AC2131" w:rsidP="00AC2131">
      <w:pPr>
        <w:pStyle w:val="BodyText"/>
      </w:pPr>
      <w:r w:rsidRPr="00884618">
        <w:t>Table</w:t>
      </w:r>
      <w:r>
        <w:t> 5.5</w:t>
      </w:r>
      <w:r w:rsidRPr="00884618">
        <w:t xml:space="preserve"> summarises, at the industry level, tariff and budgetary assistance for 201</w:t>
      </w:r>
      <w:r>
        <w:t>3</w:t>
      </w:r>
      <w:r>
        <w:noBreakHyphen/>
      </w:r>
      <w:r w:rsidRPr="00884618">
        <w:t>1</w:t>
      </w:r>
      <w:r>
        <w:t>4</w:t>
      </w:r>
      <w:r w:rsidRPr="00884618">
        <w:t>.</w:t>
      </w:r>
      <w:r>
        <w:t xml:space="preserve"> Reflecting the earlier summary discussion and the discussion on individual elements of assistance, the manufacturing division receives the highest level of net combined assistance because of tariff assistance on its outputs. Although services industries receive most budgetary assistance (around 4.3 billion in identifiable support), such assistance is outweighed by the estimated input tariff penalty (around $4.9 billion). The primary production division received the majority of support from budgetary assistance, although some tariff protection continues to be afforded to a range of horticultural, crop and forestry products. By value, the highest level of combined assistance is afforded to the manufacturing industries </w:t>
      </w:r>
      <w:r w:rsidRPr="00DB2E16">
        <w:rPr>
          <w:i/>
        </w:rPr>
        <w:t>Food, beverages and tobacco</w:t>
      </w:r>
      <w:r>
        <w:t xml:space="preserve"> and </w:t>
      </w:r>
      <w:r w:rsidRPr="00DB2E16">
        <w:rPr>
          <w:i/>
        </w:rPr>
        <w:t>Metal and fabricated products</w:t>
      </w:r>
      <w:r>
        <w:t xml:space="preserve"> industries mainly due to tariff assistance, while the highest tariff penalty on inputs is born by the </w:t>
      </w:r>
      <w:r w:rsidRPr="00DB2E16">
        <w:rPr>
          <w:i/>
        </w:rPr>
        <w:t>Construction</w:t>
      </w:r>
      <w:r>
        <w:t xml:space="preserve"> and </w:t>
      </w:r>
      <w:r w:rsidRPr="00DB2E16">
        <w:rPr>
          <w:i/>
        </w:rPr>
        <w:t>Property, professional and administration</w:t>
      </w:r>
      <w:r>
        <w:t xml:space="preserve"> industries. </w:t>
      </w:r>
      <w:r w:rsidRPr="00884618">
        <w:t>A time series of net combined assistance (table</w:t>
      </w:r>
      <w:r>
        <w:t> 5.5,</w:t>
      </w:r>
      <w:r w:rsidRPr="00884618">
        <w:t xml:space="preserve"> </w:t>
      </w:r>
      <w:r>
        <w:t xml:space="preserve">right hand </w:t>
      </w:r>
      <w:r w:rsidRPr="00884618">
        <w:t>column) by industry grouping for the period 200</w:t>
      </w:r>
      <w:r>
        <w:t>8</w:t>
      </w:r>
      <w:r>
        <w:noBreakHyphen/>
      </w:r>
      <w:r w:rsidRPr="00884618">
        <w:t>0</w:t>
      </w:r>
      <w:r>
        <w:t>9</w:t>
      </w:r>
      <w:r w:rsidRPr="00884618">
        <w:t xml:space="preserve"> to 201</w:t>
      </w:r>
      <w:r>
        <w:t>3</w:t>
      </w:r>
      <w:r>
        <w:noBreakHyphen/>
      </w:r>
      <w:r w:rsidRPr="00884618">
        <w:t>1</w:t>
      </w:r>
      <w:r>
        <w:t>4</w:t>
      </w:r>
      <w:r w:rsidRPr="00884618">
        <w:t xml:space="preserve"> is presented in appendix A.</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spacing w:after="40"/>
            </w:pPr>
            <w:r>
              <w:rPr>
                <w:b w:val="0"/>
              </w:rPr>
              <w:t xml:space="preserve">Table </w:t>
            </w:r>
            <w:bookmarkStart w:id="13" w:name="OLE_LINK14"/>
            <w:r>
              <w:rPr>
                <w:b w:val="0"/>
              </w:rPr>
              <w:t>5.</w:t>
            </w:r>
            <w:r>
              <w:rPr>
                <w:b w:val="0"/>
                <w:noProof/>
              </w:rPr>
              <w:t>5</w:t>
            </w:r>
            <w:bookmarkEnd w:id="13"/>
            <w:r>
              <w:tab/>
              <w:t>Combined assistance by industry grouping, 2013</w:t>
            </w:r>
            <w:r>
              <w:noBreakHyphen/>
              <w:t>14</w:t>
            </w:r>
            <w:r w:rsidRPr="00B46C2D">
              <w:rPr>
                <w:rStyle w:val="NoteLabel"/>
              </w:rPr>
              <w:t>a</w:t>
            </w:r>
          </w:p>
          <w:p w:rsidR="00AC2131" w:rsidRPr="00784A05" w:rsidRDefault="00AC2131" w:rsidP="00AC2131">
            <w:pPr>
              <w:pStyle w:val="Subtitle"/>
              <w:spacing w:after="40"/>
            </w:pPr>
            <w:r>
              <w:t>$ million (nominal)</w:t>
            </w:r>
          </w:p>
        </w:tc>
      </w:tr>
      <w:tr w:rsidR="00AC2131" w:rsidTr="00AC2131">
        <w:trPr>
          <w:cantSplit/>
        </w:trPr>
        <w:tc>
          <w:tcPr>
            <w:tcW w:w="8771" w:type="dxa"/>
            <w:tcBorders>
              <w:top w:val="nil"/>
              <w:left w:val="nil"/>
              <w:bottom w:val="nil"/>
              <w:right w:val="nil"/>
            </w:tcBorders>
            <w:shd w:val="clear" w:color="auto" w:fill="auto"/>
          </w:tcPr>
          <w:tbl>
            <w:tblPr>
              <w:tblW w:w="8561" w:type="dxa"/>
              <w:tblLayout w:type="fixed"/>
              <w:tblCellMar>
                <w:top w:w="28" w:type="dxa"/>
                <w:left w:w="0" w:type="dxa"/>
                <w:right w:w="0" w:type="dxa"/>
              </w:tblCellMar>
              <w:tblLook w:val="0000" w:firstRow="0" w:lastRow="0" w:firstColumn="0" w:lastColumn="0" w:noHBand="0" w:noVBand="0"/>
            </w:tblPr>
            <w:tblGrid>
              <w:gridCol w:w="2721"/>
              <w:gridCol w:w="964"/>
              <w:gridCol w:w="964"/>
              <w:gridCol w:w="1020"/>
              <w:gridCol w:w="964"/>
              <w:gridCol w:w="964"/>
              <w:gridCol w:w="964"/>
            </w:tblGrid>
            <w:tr w:rsidR="00AC2131" w:rsidTr="00AC2131">
              <w:trPr>
                <w:trHeight w:val="122"/>
              </w:trPr>
              <w:tc>
                <w:tcPr>
                  <w:tcW w:w="2721" w:type="dxa"/>
                  <w:vMerge w:val="restart"/>
                  <w:tcBorders>
                    <w:top w:val="single" w:sz="6" w:space="0" w:color="BFBFBF"/>
                  </w:tcBorders>
                  <w:shd w:val="clear" w:color="auto" w:fill="auto"/>
                  <w:tcMar>
                    <w:top w:w="28" w:type="dxa"/>
                  </w:tcMar>
                </w:tcPr>
                <w:p w:rsidR="00AC2131" w:rsidRDefault="00AC2131" w:rsidP="00AC2131">
                  <w:pPr>
                    <w:pStyle w:val="TableColumnHeading"/>
                    <w:jc w:val="left"/>
                  </w:pPr>
                </w:p>
                <w:p w:rsidR="00AC2131" w:rsidRDefault="00AC2131" w:rsidP="00AC2131">
                  <w:pPr>
                    <w:pStyle w:val="TableColumnHeading"/>
                    <w:jc w:val="left"/>
                  </w:pPr>
                </w:p>
              </w:tc>
              <w:tc>
                <w:tcPr>
                  <w:tcW w:w="1928" w:type="dxa"/>
                  <w:gridSpan w:val="2"/>
                  <w:tcBorders>
                    <w:top w:val="single" w:sz="6" w:space="0" w:color="BFBFBF"/>
                    <w:bottom w:val="single" w:sz="6" w:space="0" w:color="BFBFBF"/>
                  </w:tcBorders>
                  <w:vAlign w:val="center"/>
                </w:tcPr>
                <w:p w:rsidR="00AC2131" w:rsidRDefault="00AC2131" w:rsidP="00AC2131">
                  <w:pPr>
                    <w:pStyle w:val="TableColumnHeading"/>
                    <w:spacing w:before="20" w:after="20"/>
                    <w:jc w:val="center"/>
                  </w:pPr>
                  <w:r>
                    <w:t>Tariffs</w:t>
                  </w:r>
                </w:p>
              </w:tc>
              <w:tc>
                <w:tcPr>
                  <w:tcW w:w="1020" w:type="dxa"/>
                  <w:vMerge w:val="restart"/>
                  <w:tcBorders>
                    <w:top w:val="single" w:sz="6" w:space="0" w:color="BFBFBF"/>
                  </w:tcBorders>
                  <w:shd w:val="clear" w:color="auto" w:fill="F2F2F2" w:themeFill="accent4"/>
                  <w:vAlign w:val="bottom"/>
                </w:tcPr>
                <w:p w:rsidR="00AC2131" w:rsidRDefault="00AC2131" w:rsidP="00AC2131">
                  <w:pPr>
                    <w:pStyle w:val="TableColumnHeading"/>
                    <w:spacing w:before="40" w:after="40"/>
                    <w:jc w:val="center"/>
                  </w:pPr>
                  <w:r w:rsidRPr="00073FFB">
                    <w:t>Net tariff assistance</w:t>
                  </w:r>
                </w:p>
              </w:tc>
              <w:tc>
                <w:tcPr>
                  <w:tcW w:w="1928" w:type="dxa"/>
                  <w:gridSpan w:val="2"/>
                  <w:tcBorders>
                    <w:top w:val="single" w:sz="6" w:space="0" w:color="BFBFBF"/>
                  </w:tcBorders>
                  <w:vAlign w:val="center"/>
                </w:tcPr>
                <w:p w:rsidR="00AC2131" w:rsidRDefault="00AC2131" w:rsidP="00AC2131">
                  <w:pPr>
                    <w:pStyle w:val="TableColumnHeading"/>
                    <w:spacing w:before="20" w:after="20"/>
                    <w:jc w:val="center"/>
                  </w:pPr>
                  <w:r>
                    <w:t>Budgetary</w:t>
                  </w:r>
                </w:p>
              </w:tc>
              <w:tc>
                <w:tcPr>
                  <w:tcW w:w="964" w:type="dxa"/>
                  <w:vMerge w:val="restart"/>
                  <w:tcBorders>
                    <w:top w:val="single" w:sz="6" w:space="0" w:color="BFBFBF"/>
                  </w:tcBorders>
                  <w:shd w:val="clear" w:color="auto" w:fill="F2F2F2" w:themeFill="accent4"/>
                  <w:tcMar>
                    <w:top w:w="28" w:type="dxa"/>
                  </w:tcMar>
                  <w:vAlign w:val="bottom"/>
                </w:tcPr>
                <w:p w:rsidR="00AC2131" w:rsidRDefault="00AC2131" w:rsidP="00AC2131">
                  <w:pPr>
                    <w:pStyle w:val="TableColumnHeading"/>
                    <w:spacing w:before="40" w:after="40"/>
                    <w:ind w:right="28"/>
                  </w:pPr>
                  <w:r>
                    <w:t>Net combined assistance</w:t>
                  </w:r>
                </w:p>
              </w:tc>
            </w:tr>
            <w:tr w:rsidR="00AC2131" w:rsidTr="00AC2131">
              <w:trPr>
                <w:trHeight w:val="121"/>
              </w:trPr>
              <w:tc>
                <w:tcPr>
                  <w:tcW w:w="2721" w:type="dxa"/>
                  <w:vMerge/>
                  <w:tcBorders>
                    <w:bottom w:val="single" w:sz="6" w:space="0" w:color="BFBFBF"/>
                  </w:tcBorders>
                  <w:shd w:val="clear" w:color="auto" w:fill="auto"/>
                  <w:tcMar>
                    <w:top w:w="28" w:type="dxa"/>
                  </w:tcMar>
                </w:tcPr>
                <w:p w:rsidR="00AC2131" w:rsidRDefault="00AC2131">
                  <w:pPr>
                    <w:pStyle w:val="TableColumnHeading"/>
                    <w:jc w:val="left"/>
                    <w:rPr>
                      <w:szCs w:val="24"/>
                    </w:rPr>
                  </w:pPr>
                </w:p>
              </w:tc>
              <w:tc>
                <w:tcPr>
                  <w:tcW w:w="964" w:type="dxa"/>
                  <w:tcBorders>
                    <w:top w:val="single" w:sz="6" w:space="0" w:color="BFBFBF"/>
                    <w:bottom w:val="single" w:sz="6" w:space="0" w:color="BFBFBF"/>
                  </w:tcBorders>
                  <w:vAlign w:val="bottom"/>
                </w:tcPr>
                <w:p w:rsidR="00AC2131" w:rsidRDefault="00AC2131" w:rsidP="00AC2131">
                  <w:pPr>
                    <w:pStyle w:val="TableColumnHeading"/>
                    <w:spacing w:before="20" w:after="20"/>
                    <w:rPr>
                      <w:b/>
                      <w:i w:val="0"/>
                    </w:rPr>
                  </w:pPr>
                  <w:r>
                    <w:t>Output</w:t>
                  </w:r>
                </w:p>
              </w:tc>
              <w:tc>
                <w:tcPr>
                  <w:tcW w:w="964" w:type="dxa"/>
                  <w:tcBorders>
                    <w:bottom w:val="single" w:sz="6" w:space="0" w:color="BFBFBF"/>
                  </w:tcBorders>
                  <w:vAlign w:val="bottom"/>
                </w:tcPr>
                <w:p w:rsidR="00AC2131" w:rsidRDefault="00AC2131" w:rsidP="00AC2131">
                  <w:pPr>
                    <w:pStyle w:val="TableColumnHeading"/>
                    <w:spacing w:before="20" w:after="20"/>
                    <w:rPr>
                      <w:b/>
                      <w:i w:val="0"/>
                    </w:rPr>
                  </w:pPr>
                  <w:r>
                    <w:t>Input penalty</w:t>
                  </w:r>
                </w:p>
              </w:tc>
              <w:tc>
                <w:tcPr>
                  <w:tcW w:w="1020" w:type="dxa"/>
                  <w:vMerge/>
                  <w:tcBorders>
                    <w:bottom w:val="single" w:sz="6" w:space="0" w:color="BFBFBF"/>
                  </w:tcBorders>
                  <w:shd w:val="clear" w:color="auto" w:fill="F2F2F2" w:themeFill="accent4"/>
                </w:tcPr>
                <w:p w:rsidR="00AC2131" w:rsidRDefault="00AC2131">
                  <w:pPr>
                    <w:pStyle w:val="TableColumnHeading"/>
                    <w:rPr>
                      <w:szCs w:val="24"/>
                    </w:rPr>
                  </w:pPr>
                </w:p>
              </w:tc>
              <w:tc>
                <w:tcPr>
                  <w:tcW w:w="964" w:type="dxa"/>
                  <w:tcBorders>
                    <w:bottom w:val="single" w:sz="6" w:space="0" w:color="BFBFBF"/>
                  </w:tcBorders>
                  <w:vAlign w:val="bottom"/>
                </w:tcPr>
                <w:p w:rsidR="00AC2131" w:rsidRDefault="00AC2131" w:rsidP="00AC2131">
                  <w:pPr>
                    <w:pStyle w:val="TableColumnHeading"/>
                    <w:spacing w:before="20" w:after="20"/>
                    <w:rPr>
                      <w:b/>
                      <w:i w:val="0"/>
                    </w:rPr>
                  </w:pPr>
                  <w:r>
                    <w:t>Outlays</w:t>
                  </w:r>
                </w:p>
              </w:tc>
              <w:tc>
                <w:tcPr>
                  <w:tcW w:w="964" w:type="dxa"/>
                  <w:tcBorders>
                    <w:bottom w:val="single" w:sz="6" w:space="0" w:color="BFBFBF"/>
                  </w:tcBorders>
                  <w:shd w:val="clear" w:color="auto" w:fill="auto"/>
                  <w:tcMar>
                    <w:top w:w="28" w:type="dxa"/>
                  </w:tcMar>
                  <w:vAlign w:val="bottom"/>
                </w:tcPr>
                <w:p w:rsidR="00AC2131" w:rsidRDefault="00AC2131" w:rsidP="00AC2131">
                  <w:pPr>
                    <w:pStyle w:val="TableColumnHeading"/>
                    <w:spacing w:before="20" w:after="20"/>
                    <w:rPr>
                      <w:b/>
                      <w:i w:val="0"/>
                    </w:rPr>
                  </w:pPr>
                  <w:r>
                    <w:t>Tax concess.</w:t>
                  </w:r>
                </w:p>
              </w:tc>
              <w:tc>
                <w:tcPr>
                  <w:tcW w:w="964" w:type="dxa"/>
                  <w:vMerge/>
                  <w:tcBorders>
                    <w:bottom w:val="single" w:sz="6" w:space="0" w:color="BFBFBF"/>
                  </w:tcBorders>
                  <w:shd w:val="clear" w:color="auto" w:fill="F2F2F2" w:themeFill="accent4"/>
                  <w:tcMar>
                    <w:top w:w="28" w:type="dxa"/>
                  </w:tcMar>
                </w:tcPr>
                <w:p w:rsidR="00AC2131" w:rsidRDefault="00AC2131">
                  <w:pPr>
                    <w:pStyle w:val="TableColumnHeading"/>
                    <w:ind w:right="28"/>
                    <w:rPr>
                      <w:szCs w:val="24"/>
                    </w:rPr>
                  </w:pPr>
                </w:p>
              </w:tc>
            </w:tr>
            <w:tr w:rsidR="00AC2131" w:rsidRPr="00450BD4" w:rsidTr="00AC2131">
              <w:tc>
                <w:tcPr>
                  <w:tcW w:w="2721" w:type="dxa"/>
                </w:tcPr>
                <w:p w:rsidR="00AC2131" w:rsidRPr="00450BD4" w:rsidRDefault="00AC2131" w:rsidP="00AC2131">
                  <w:pPr>
                    <w:pStyle w:val="TableBodyText"/>
                    <w:spacing w:before="30" w:after="30"/>
                    <w:jc w:val="left"/>
                    <w:rPr>
                      <w:b/>
                    </w:rPr>
                  </w:pPr>
                  <w:r w:rsidRPr="00450BD4">
                    <w:rPr>
                      <w:b/>
                    </w:rPr>
                    <w:t>Primary production</w:t>
                  </w:r>
                </w:p>
              </w:tc>
              <w:tc>
                <w:tcPr>
                  <w:tcW w:w="964" w:type="dxa"/>
                  <w:vAlign w:val="bottom"/>
                </w:tcPr>
                <w:p w:rsidR="00AC2131" w:rsidRPr="00EA4B71" w:rsidRDefault="00AC2131" w:rsidP="00AC2131">
                  <w:pPr>
                    <w:pStyle w:val="TableBodyText"/>
                    <w:spacing w:before="30" w:after="30"/>
                    <w:rPr>
                      <w:b/>
                      <w:szCs w:val="18"/>
                    </w:rPr>
                  </w:pPr>
                  <w:r w:rsidRPr="00EA4B71">
                    <w:rPr>
                      <w:rFonts w:cs="Arial"/>
                      <w:b/>
                      <w:bCs/>
                      <w:szCs w:val="18"/>
                    </w:rPr>
                    <w:t>314.4</w:t>
                  </w:r>
                </w:p>
              </w:tc>
              <w:tc>
                <w:tcPr>
                  <w:tcW w:w="964" w:type="dxa"/>
                  <w:vAlign w:val="bottom"/>
                </w:tcPr>
                <w:p w:rsidR="00AC2131" w:rsidRPr="00EA4B71" w:rsidRDefault="00AC2131" w:rsidP="00AC2131">
                  <w:pPr>
                    <w:pStyle w:val="TableBodyText"/>
                    <w:spacing w:before="30" w:after="30"/>
                    <w:rPr>
                      <w:b/>
                      <w:szCs w:val="18"/>
                    </w:rPr>
                  </w:pPr>
                  <w:r w:rsidRPr="00EA4B71">
                    <w:rPr>
                      <w:rFonts w:cs="Arial"/>
                      <w:b/>
                      <w:bCs/>
                      <w:szCs w:val="18"/>
                    </w:rPr>
                    <w:t>-86.3</w:t>
                  </w:r>
                </w:p>
              </w:tc>
              <w:tc>
                <w:tcPr>
                  <w:tcW w:w="1020" w:type="dxa"/>
                  <w:shd w:val="clear" w:color="auto" w:fill="F2F2F2" w:themeFill="accent4"/>
                  <w:vAlign w:val="bottom"/>
                </w:tcPr>
                <w:p w:rsidR="00AC2131" w:rsidRPr="00EA4B71" w:rsidRDefault="00AC2131" w:rsidP="00AC2131">
                  <w:pPr>
                    <w:pStyle w:val="TableBodyText"/>
                    <w:spacing w:before="30" w:after="30"/>
                    <w:rPr>
                      <w:b/>
                      <w:szCs w:val="18"/>
                    </w:rPr>
                  </w:pPr>
                  <w:r w:rsidRPr="00EA4B71">
                    <w:rPr>
                      <w:rFonts w:cs="Arial"/>
                      <w:b/>
                      <w:bCs/>
                      <w:szCs w:val="18"/>
                    </w:rPr>
                    <w:t>228.1</w:t>
                  </w:r>
                </w:p>
              </w:tc>
              <w:tc>
                <w:tcPr>
                  <w:tcW w:w="964" w:type="dxa"/>
                </w:tcPr>
                <w:p w:rsidR="00AC2131" w:rsidRPr="004E14E5" w:rsidRDefault="00AC2131" w:rsidP="00AC2131">
                  <w:pPr>
                    <w:pStyle w:val="TableBodyText"/>
                    <w:spacing w:before="30" w:after="30"/>
                    <w:rPr>
                      <w:b/>
                    </w:rPr>
                  </w:pPr>
                  <w:r w:rsidRPr="004E14E5">
                    <w:rPr>
                      <w:b/>
                    </w:rPr>
                    <w:t>765.9</w:t>
                  </w:r>
                </w:p>
              </w:tc>
              <w:tc>
                <w:tcPr>
                  <w:tcW w:w="964" w:type="dxa"/>
                </w:tcPr>
                <w:p w:rsidR="00AC2131" w:rsidRPr="004E14E5" w:rsidRDefault="00AC2131" w:rsidP="00AC2131">
                  <w:pPr>
                    <w:pStyle w:val="TableBodyText"/>
                    <w:spacing w:before="30" w:after="30"/>
                    <w:rPr>
                      <w:b/>
                    </w:rPr>
                  </w:pPr>
                  <w:r w:rsidRPr="004E14E5">
                    <w:rPr>
                      <w:b/>
                    </w:rPr>
                    <w:t>530.1</w:t>
                  </w:r>
                </w:p>
              </w:tc>
              <w:tc>
                <w:tcPr>
                  <w:tcW w:w="964" w:type="dxa"/>
                  <w:shd w:val="clear" w:color="auto" w:fill="F2F2F2" w:themeFill="accent4"/>
                </w:tcPr>
                <w:p w:rsidR="00AC2131" w:rsidRPr="004E14E5" w:rsidRDefault="00AC2131" w:rsidP="00AC2131">
                  <w:pPr>
                    <w:pStyle w:val="TableBodyText"/>
                    <w:spacing w:before="30" w:after="30"/>
                    <w:rPr>
                      <w:b/>
                    </w:rPr>
                  </w:pPr>
                  <w:r w:rsidRPr="004E14E5">
                    <w:rPr>
                      <w:b/>
                    </w:rPr>
                    <w:t>1524.0</w:t>
                  </w:r>
                </w:p>
              </w:tc>
            </w:tr>
            <w:tr w:rsidR="00AC2131" w:rsidTr="00AC2131">
              <w:tc>
                <w:tcPr>
                  <w:tcW w:w="2721" w:type="dxa"/>
                </w:tcPr>
                <w:p w:rsidR="00AC2131" w:rsidRPr="00284C93" w:rsidRDefault="00AC2131" w:rsidP="00AC2131">
                  <w:pPr>
                    <w:pStyle w:val="TableBodyText"/>
                    <w:spacing w:after="20"/>
                    <w:jc w:val="left"/>
                  </w:pPr>
                  <w:r w:rsidRPr="00284C93">
                    <w:t>Horticulture and fruit growing</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251.1</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-13.7</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237.4</w:t>
                  </w:r>
                </w:p>
              </w:tc>
              <w:tc>
                <w:tcPr>
                  <w:tcW w:w="964" w:type="dxa"/>
                  <w:vAlign w:val="bottom"/>
                </w:tcPr>
                <w:p w:rsidR="00AC2131" w:rsidRPr="00C678FC" w:rsidRDefault="00AC2131" w:rsidP="00AC2131">
                  <w:pPr>
                    <w:pStyle w:val="TableBodyText"/>
                    <w:spacing w:after="20"/>
                  </w:pPr>
                  <w:r w:rsidRPr="00C678FC">
                    <w:t>74.6</w:t>
                  </w:r>
                </w:p>
              </w:tc>
              <w:tc>
                <w:tcPr>
                  <w:tcW w:w="964" w:type="dxa"/>
                  <w:vAlign w:val="bottom"/>
                </w:tcPr>
                <w:p w:rsidR="00AC2131" w:rsidRPr="00C678FC" w:rsidRDefault="00AC2131" w:rsidP="00AC2131">
                  <w:pPr>
                    <w:pStyle w:val="TableBodyText"/>
                    <w:spacing w:after="20"/>
                  </w:pPr>
                  <w:r w:rsidRPr="00C678FC">
                    <w:t>57.7</w:t>
                  </w:r>
                </w:p>
              </w:tc>
              <w:tc>
                <w:tcPr>
                  <w:tcW w:w="964" w:type="dxa"/>
                  <w:shd w:val="clear" w:color="auto" w:fill="F2F2F2" w:themeFill="accent4"/>
                  <w:vAlign w:val="bottom"/>
                </w:tcPr>
                <w:p w:rsidR="00AC2131" w:rsidRPr="00C678FC" w:rsidRDefault="00AC2131" w:rsidP="00AC2131">
                  <w:pPr>
                    <w:pStyle w:val="TableBodyText"/>
                    <w:spacing w:after="20"/>
                  </w:pPr>
                  <w:r w:rsidRPr="00C678FC">
                    <w:t>369.7</w:t>
                  </w:r>
                </w:p>
              </w:tc>
            </w:tr>
            <w:tr w:rsidR="00AC2131" w:rsidTr="00AC2131">
              <w:tc>
                <w:tcPr>
                  <w:tcW w:w="2721" w:type="dxa"/>
                </w:tcPr>
                <w:p w:rsidR="00AC2131" w:rsidRPr="00284C93" w:rsidRDefault="00AC2131" w:rsidP="00AC2131">
                  <w:pPr>
                    <w:pStyle w:val="TableBodyText"/>
                    <w:spacing w:after="20"/>
                    <w:jc w:val="left"/>
                  </w:pPr>
                  <w:r w:rsidRPr="00284C93">
                    <w:t>Sheep, cattle and grain farming</w:t>
                  </w:r>
                </w:p>
              </w:tc>
              <w:tc>
                <w:tcPr>
                  <w:tcW w:w="964" w:type="dxa"/>
                  <w:vAlign w:val="bottom"/>
                </w:tcPr>
                <w:p w:rsidR="00AC2131" w:rsidRPr="00EE122A" w:rsidRDefault="00AC2131" w:rsidP="00AC2131">
                  <w:pPr>
                    <w:pStyle w:val="TableBodyText"/>
                    <w:spacing w:after="20"/>
                    <w:rPr>
                      <w:szCs w:val="18"/>
                    </w:rPr>
                  </w:pPr>
                  <w:r w:rsidRPr="00EE122A">
                    <w:rPr>
                      <w:rFonts w:cs="Arial"/>
                      <w:szCs w:val="18"/>
                    </w:rPr>
                    <w:t>0.2</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-16.0</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-15.8</w:t>
                  </w:r>
                </w:p>
              </w:tc>
              <w:tc>
                <w:tcPr>
                  <w:tcW w:w="964" w:type="dxa"/>
                </w:tcPr>
                <w:p w:rsidR="00AC2131" w:rsidRPr="00C678FC" w:rsidRDefault="00AC2131" w:rsidP="00AC2131">
                  <w:pPr>
                    <w:pStyle w:val="TableBodyText"/>
                    <w:spacing w:after="20"/>
                  </w:pPr>
                  <w:r w:rsidRPr="005771E9">
                    <w:t>273.3</w:t>
                  </w:r>
                </w:p>
              </w:tc>
              <w:tc>
                <w:tcPr>
                  <w:tcW w:w="964" w:type="dxa"/>
                </w:tcPr>
                <w:p w:rsidR="00AC2131" w:rsidRPr="00C678FC" w:rsidRDefault="00AC2131" w:rsidP="00AC2131">
                  <w:pPr>
                    <w:pStyle w:val="TableBodyText"/>
                    <w:spacing w:after="20"/>
                  </w:pPr>
                  <w:r w:rsidRPr="005771E9">
                    <w:t>335.8</w:t>
                  </w:r>
                </w:p>
              </w:tc>
              <w:tc>
                <w:tcPr>
                  <w:tcW w:w="964" w:type="dxa"/>
                  <w:shd w:val="clear" w:color="auto" w:fill="F2F2F2" w:themeFill="accent4"/>
                </w:tcPr>
                <w:p w:rsidR="00AC2131" w:rsidRPr="00C678FC" w:rsidRDefault="00AC2131" w:rsidP="00AC2131">
                  <w:pPr>
                    <w:pStyle w:val="TableBodyText"/>
                    <w:spacing w:after="20"/>
                  </w:pPr>
                  <w:r w:rsidRPr="005771E9">
                    <w:t>593.3</w:t>
                  </w:r>
                </w:p>
              </w:tc>
            </w:tr>
            <w:tr w:rsidR="00AC2131" w:rsidTr="00AC2131">
              <w:tc>
                <w:tcPr>
                  <w:tcW w:w="2721" w:type="dxa"/>
                </w:tcPr>
                <w:p w:rsidR="00AC2131" w:rsidRPr="00284C93" w:rsidRDefault="00AC2131" w:rsidP="00AC2131">
                  <w:pPr>
                    <w:pStyle w:val="TableBodyText"/>
                    <w:spacing w:after="20"/>
                    <w:jc w:val="left"/>
                  </w:pPr>
                  <w:r w:rsidRPr="00284C93">
                    <w:t>Other crop growing</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2.4</w:t>
                  </w:r>
                </w:p>
              </w:tc>
              <w:tc>
                <w:tcPr>
                  <w:tcW w:w="964" w:type="dxa"/>
                  <w:vAlign w:val="bottom"/>
                </w:tcPr>
                <w:p w:rsidR="00AC2131" w:rsidRPr="00EE122A" w:rsidRDefault="00AC2131" w:rsidP="00AC2131">
                  <w:pPr>
                    <w:pStyle w:val="TableBodyText"/>
                    <w:spacing w:after="20"/>
                    <w:rPr>
                      <w:szCs w:val="18"/>
                    </w:rPr>
                  </w:pPr>
                  <w:r w:rsidRPr="00EE122A">
                    <w:rPr>
                      <w:rFonts w:cs="Arial"/>
                      <w:szCs w:val="18"/>
                    </w:rPr>
                    <w:t>-4.6</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-2.2</w:t>
                  </w:r>
                </w:p>
              </w:tc>
              <w:tc>
                <w:tcPr>
                  <w:tcW w:w="964" w:type="dxa"/>
                  <w:vAlign w:val="bottom"/>
                </w:tcPr>
                <w:p w:rsidR="00AC2131" w:rsidRPr="00C678FC" w:rsidRDefault="00AC2131" w:rsidP="00AC2131">
                  <w:pPr>
                    <w:pStyle w:val="TableBodyText"/>
                    <w:spacing w:after="20"/>
                  </w:pPr>
                  <w:r w:rsidRPr="00C678FC">
                    <w:t>51.3</w:t>
                  </w:r>
                </w:p>
              </w:tc>
              <w:tc>
                <w:tcPr>
                  <w:tcW w:w="964" w:type="dxa"/>
                  <w:vAlign w:val="bottom"/>
                </w:tcPr>
                <w:p w:rsidR="00AC2131" w:rsidRPr="00C678FC" w:rsidRDefault="00AC2131" w:rsidP="00AC2131">
                  <w:pPr>
                    <w:pStyle w:val="TableBodyText"/>
                    <w:spacing w:after="20"/>
                  </w:pPr>
                  <w:r w:rsidRPr="00C678FC">
                    <w:t>30.4</w:t>
                  </w:r>
                </w:p>
              </w:tc>
              <w:tc>
                <w:tcPr>
                  <w:tcW w:w="964" w:type="dxa"/>
                  <w:shd w:val="clear" w:color="auto" w:fill="F2F2F2" w:themeFill="accent4"/>
                  <w:vAlign w:val="bottom"/>
                </w:tcPr>
                <w:p w:rsidR="00AC2131" w:rsidRPr="00C678FC" w:rsidRDefault="00AC2131" w:rsidP="00AC2131">
                  <w:pPr>
                    <w:pStyle w:val="TableBodyText"/>
                    <w:spacing w:after="20"/>
                  </w:pPr>
                  <w:r w:rsidRPr="00C678FC">
                    <w:t>79.5</w:t>
                  </w:r>
                </w:p>
              </w:tc>
            </w:tr>
            <w:tr w:rsidR="00AC2131" w:rsidTr="00AC2131">
              <w:tc>
                <w:tcPr>
                  <w:tcW w:w="2721" w:type="dxa"/>
                </w:tcPr>
                <w:p w:rsidR="00AC2131" w:rsidRPr="00284C93" w:rsidRDefault="00AC2131" w:rsidP="00AC2131">
                  <w:pPr>
                    <w:pStyle w:val="TableBodyText"/>
                    <w:spacing w:after="20"/>
                    <w:jc w:val="left"/>
                  </w:pPr>
                  <w:r w:rsidRPr="00284C93">
                    <w:t>Dairy cattle farming</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-2.7</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-2.7</w:t>
                  </w:r>
                </w:p>
              </w:tc>
              <w:tc>
                <w:tcPr>
                  <w:tcW w:w="964" w:type="dxa"/>
                  <w:vAlign w:val="bottom"/>
                </w:tcPr>
                <w:p w:rsidR="00AC2131" w:rsidRPr="00C678FC" w:rsidRDefault="00AC2131" w:rsidP="00AC2131">
                  <w:pPr>
                    <w:pStyle w:val="TableBodyText"/>
                    <w:spacing w:after="20"/>
                  </w:pPr>
                  <w:r w:rsidRPr="00C678FC">
                    <w:t>34.4</w:t>
                  </w:r>
                </w:p>
              </w:tc>
              <w:tc>
                <w:tcPr>
                  <w:tcW w:w="964" w:type="dxa"/>
                  <w:vAlign w:val="bottom"/>
                </w:tcPr>
                <w:p w:rsidR="00AC2131" w:rsidRPr="00C678FC" w:rsidRDefault="00AC2131" w:rsidP="00AC2131">
                  <w:pPr>
                    <w:pStyle w:val="TableBodyText"/>
                    <w:spacing w:after="20"/>
                  </w:pPr>
                  <w:r w:rsidRPr="00C678FC">
                    <w:t>29.3</w:t>
                  </w:r>
                </w:p>
              </w:tc>
              <w:tc>
                <w:tcPr>
                  <w:tcW w:w="964" w:type="dxa"/>
                  <w:shd w:val="clear" w:color="auto" w:fill="F2F2F2" w:themeFill="accent4"/>
                  <w:vAlign w:val="bottom"/>
                </w:tcPr>
                <w:p w:rsidR="00AC2131" w:rsidRPr="00C678FC" w:rsidRDefault="00AC2131" w:rsidP="00AC2131">
                  <w:pPr>
                    <w:pStyle w:val="TableBodyText"/>
                    <w:spacing w:after="20"/>
                  </w:pPr>
                  <w:r w:rsidRPr="00C678FC">
                    <w:t>61.0</w:t>
                  </w:r>
                </w:p>
              </w:tc>
            </w:tr>
            <w:tr w:rsidR="00AC2131" w:rsidTr="00AC2131">
              <w:tc>
                <w:tcPr>
                  <w:tcW w:w="2721" w:type="dxa"/>
                </w:tcPr>
                <w:p w:rsidR="00AC2131" w:rsidRPr="00284C93" w:rsidRDefault="00AC2131" w:rsidP="00AC2131">
                  <w:pPr>
                    <w:pStyle w:val="TableBodyText"/>
                    <w:spacing w:after="20"/>
                    <w:jc w:val="left"/>
                  </w:pPr>
                  <w:r w:rsidRPr="00284C93">
                    <w:t>Other livestock farming</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-4.4</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-4.4</w:t>
                  </w:r>
                </w:p>
              </w:tc>
              <w:tc>
                <w:tcPr>
                  <w:tcW w:w="964" w:type="dxa"/>
                  <w:vAlign w:val="bottom"/>
                </w:tcPr>
                <w:p w:rsidR="00AC2131" w:rsidRPr="00C678FC" w:rsidRDefault="00AC2131" w:rsidP="00AC2131">
                  <w:pPr>
                    <w:pStyle w:val="TableBodyText"/>
                    <w:spacing w:after="20"/>
                  </w:pPr>
                  <w:r w:rsidRPr="00C678FC">
                    <w:t>23.7</w:t>
                  </w:r>
                </w:p>
              </w:tc>
              <w:tc>
                <w:tcPr>
                  <w:tcW w:w="964" w:type="dxa"/>
                  <w:vAlign w:val="bottom"/>
                </w:tcPr>
                <w:p w:rsidR="00AC2131" w:rsidRPr="00C678FC" w:rsidRDefault="00AC2131" w:rsidP="00AC2131">
                  <w:pPr>
                    <w:pStyle w:val="TableBodyText"/>
                    <w:spacing w:after="20"/>
                  </w:pPr>
                  <w:r w:rsidRPr="00C678FC">
                    <w:t>20.0</w:t>
                  </w:r>
                </w:p>
              </w:tc>
              <w:tc>
                <w:tcPr>
                  <w:tcW w:w="964" w:type="dxa"/>
                  <w:shd w:val="clear" w:color="auto" w:fill="F2F2F2" w:themeFill="accent4"/>
                  <w:vAlign w:val="bottom"/>
                </w:tcPr>
                <w:p w:rsidR="00AC2131" w:rsidRPr="00C678FC" w:rsidRDefault="00AC2131" w:rsidP="00AC2131">
                  <w:pPr>
                    <w:pStyle w:val="TableBodyText"/>
                    <w:spacing w:after="20"/>
                  </w:pPr>
                  <w:r w:rsidRPr="00C678FC">
                    <w:t>39.2</w:t>
                  </w:r>
                </w:p>
              </w:tc>
            </w:tr>
            <w:tr w:rsidR="00AC2131" w:rsidTr="00AC2131">
              <w:tc>
                <w:tcPr>
                  <w:tcW w:w="2721" w:type="dxa"/>
                </w:tcPr>
                <w:p w:rsidR="00AC2131" w:rsidRPr="00284C93" w:rsidRDefault="00AC2131" w:rsidP="00AC2131">
                  <w:pPr>
                    <w:pStyle w:val="TableBodyText"/>
                    <w:spacing w:after="20"/>
                    <w:jc w:val="left"/>
                  </w:pPr>
                  <w:r w:rsidRPr="00284C93">
                    <w:t>Aquaculture and fishing</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1.0</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-14.9</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-14.0</w:t>
                  </w:r>
                </w:p>
              </w:tc>
              <w:tc>
                <w:tcPr>
                  <w:tcW w:w="964" w:type="dxa"/>
                  <w:vAlign w:val="bottom"/>
                </w:tcPr>
                <w:p w:rsidR="00AC2131" w:rsidRPr="00C678FC" w:rsidRDefault="00AC2131" w:rsidP="00AC2131">
                  <w:pPr>
                    <w:pStyle w:val="TableBodyText"/>
                    <w:spacing w:after="20"/>
                  </w:pPr>
                  <w:r w:rsidRPr="00C678FC">
                    <w:t>51.9</w:t>
                  </w:r>
                </w:p>
              </w:tc>
              <w:tc>
                <w:tcPr>
                  <w:tcW w:w="964" w:type="dxa"/>
                  <w:vAlign w:val="bottom"/>
                </w:tcPr>
                <w:p w:rsidR="00AC2131" w:rsidRPr="00C678FC" w:rsidRDefault="00AC2131" w:rsidP="00AC2131">
                  <w:pPr>
                    <w:pStyle w:val="TableBodyText"/>
                    <w:spacing w:after="20"/>
                  </w:pPr>
                  <w:r w:rsidRPr="00C678FC">
                    <w:t>13.1</w:t>
                  </w:r>
                </w:p>
              </w:tc>
              <w:tc>
                <w:tcPr>
                  <w:tcW w:w="964" w:type="dxa"/>
                  <w:shd w:val="clear" w:color="auto" w:fill="F2F2F2" w:themeFill="accent4"/>
                  <w:vAlign w:val="bottom"/>
                </w:tcPr>
                <w:p w:rsidR="00AC2131" w:rsidRPr="00C678FC" w:rsidRDefault="00AC2131" w:rsidP="00AC2131">
                  <w:pPr>
                    <w:pStyle w:val="TableBodyText"/>
                    <w:spacing w:after="20"/>
                  </w:pPr>
                  <w:r w:rsidRPr="00C678FC">
                    <w:t>51.0</w:t>
                  </w:r>
                </w:p>
              </w:tc>
            </w:tr>
            <w:tr w:rsidR="00AC2131" w:rsidTr="00AC2131">
              <w:tc>
                <w:tcPr>
                  <w:tcW w:w="2721" w:type="dxa"/>
                </w:tcPr>
                <w:p w:rsidR="00AC2131" w:rsidRPr="00284C93" w:rsidRDefault="00AC2131" w:rsidP="00AC2131">
                  <w:pPr>
                    <w:pStyle w:val="TableBodyText"/>
                    <w:spacing w:after="20"/>
                    <w:jc w:val="left"/>
                  </w:pPr>
                  <w:r w:rsidRPr="00284C93">
                    <w:t>Forestry and logging</w:t>
                  </w:r>
                </w:p>
              </w:tc>
              <w:tc>
                <w:tcPr>
                  <w:tcW w:w="964" w:type="dxa"/>
                  <w:vAlign w:val="bottom"/>
                </w:tcPr>
                <w:p w:rsidR="00AC2131" w:rsidRPr="00EE122A" w:rsidRDefault="00AC2131" w:rsidP="00AC2131">
                  <w:pPr>
                    <w:pStyle w:val="TableBodyText"/>
                    <w:spacing w:after="20"/>
                    <w:rPr>
                      <w:szCs w:val="18"/>
                    </w:rPr>
                  </w:pPr>
                  <w:r w:rsidRPr="00EE122A">
                    <w:rPr>
                      <w:rFonts w:cs="Arial"/>
                      <w:szCs w:val="18"/>
                    </w:rPr>
                    <w:t>59.8</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-11.8</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47.9</w:t>
                  </w:r>
                </w:p>
              </w:tc>
              <w:tc>
                <w:tcPr>
                  <w:tcW w:w="964" w:type="dxa"/>
                  <w:vAlign w:val="bottom"/>
                </w:tcPr>
                <w:p w:rsidR="00AC2131" w:rsidRPr="00C678FC" w:rsidRDefault="00AC2131" w:rsidP="00AC2131">
                  <w:pPr>
                    <w:pStyle w:val="TableBodyText"/>
                    <w:spacing w:after="20"/>
                  </w:pPr>
                  <w:r w:rsidRPr="00C678FC">
                    <w:t>14.5</w:t>
                  </w:r>
                </w:p>
              </w:tc>
              <w:tc>
                <w:tcPr>
                  <w:tcW w:w="964" w:type="dxa"/>
                  <w:vAlign w:val="bottom"/>
                </w:tcPr>
                <w:p w:rsidR="00AC2131" w:rsidRPr="00C678FC" w:rsidRDefault="00AC2131" w:rsidP="00AC2131">
                  <w:pPr>
                    <w:pStyle w:val="TableBodyText"/>
                    <w:spacing w:after="20"/>
                  </w:pPr>
                  <w:r w:rsidRPr="00C678FC">
                    <w:t>17.0</w:t>
                  </w:r>
                </w:p>
              </w:tc>
              <w:tc>
                <w:tcPr>
                  <w:tcW w:w="964" w:type="dxa"/>
                  <w:shd w:val="clear" w:color="auto" w:fill="F2F2F2" w:themeFill="accent4"/>
                  <w:vAlign w:val="bottom"/>
                </w:tcPr>
                <w:p w:rsidR="00AC2131" w:rsidRPr="00C678FC" w:rsidRDefault="00AC2131" w:rsidP="00AC2131">
                  <w:pPr>
                    <w:pStyle w:val="TableBodyText"/>
                    <w:spacing w:after="20"/>
                  </w:pPr>
                  <w:r w:rsidRPr="00C678FC">
                    <w:t>79.5</w:t>
                  </w:r>
                </w:p>
              </w:tc>
            </w:tr>
            <w:tr w:rsidR="00AC2131" w:rsidTr="00AC2131">
              <w:tc>
                <w:tcPr>
                  <w:tcW w:w="2721" w:type="dxa"/>
                </w:tcPr>
                <w:p w:rsidR="00AC2131" w:rsidRPr="00284C93" w:rsidRDefault="00AC2131" w:rsidP="00AC2131">
                  <w:pPr>
                    <w:pStyle w:val="TableBodyText"/>
                    <w:spacing w:after="20"/>
                    <w:jc w:val="left"/>
                  </w:pPr>
                  <w:r w:rsidRPr="00284C93">
                    <w:t>Primary production services</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-18.1</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-18.1</w:t>
                  </w:r>
                </w:p>
              </w:tc>
              <w:tc>
                <w:tcPr>
                  <w:tcW w:w="964" w:type="dxa"/>
                  <w:vAlign w:val="bottom"/>
                </w:tcPr>
                <w:p w:rsidR="00AC2131" w:rsidRPr="00C678FC" w:rsidRDefault="00AC2131" w:rsidP="00AC2131">
                  <w:pPr>
                    <w:pStyle w:val="TableBodyText"/>
                    <w:spacing w:after="20"/>
                  </w:pPr>
                  <w:r w:rsidRPr="00C678FC">
                    <w:t>4.9</w:t>
                  </w:r>
                </w:p>
              </w:tc>
              <w:tc>
                <w:tcPr>
                  <w:tcW w:w="964" w:type="dxa"/>
                  <w:vAlign w:val="bottom"/>
                </w:tcPr>
                <w:p w:rsidR="00AC2131" w:rsidRPr="00C678FC" w:rsidRDefault="00AC2131" w:rsidP="00AC2131">
                  <w:pPr>
                    <w:pStyle w:val="TableBodyText"/>
                    <w:spacing w:after="20"/>
                  </w:pPr>
                  <w:r w:rsidRPr="00C678FC">
                    <w:t>24.1</w:t>
                  </w:r>
                </w:p>
              </w:tc>
              <w:tc>
                <w:tcPr>
                  <w:tcW w:w="964" w:type="dxa"/>
                  <w:shd w:val="clear" w:color="auto" w:fill="F2F2F2" w:themeFill="accent4"/>
                  <w:vAlign w:val="bottom"/>
                </w:tcPr>
                <w:p w:rsidR="00AC2131" w:rsidRPr="00C678FC" w:rsidRDefault="00AC2131" w:rsidP="00AC2131">
                  <w:pPr>
                    <w:pStyle w:val="TableBodyText"/>
                    <w:spacing w:after="20"/>
                  </w:pPr>
                  <w:r w:rsidRPr="00C678FC">
                    <w:t>10.9</w:t>
                  </w:r>
                </w:p>
              </w:tc>
            </w:tr>
            <w:tr w:rsidR="00AC2131" w:rsidTr="00AC2131">
              <w:tc>
                <w:tcPr>
                  <w:tcW w:w="2721" w:type="dxa"/>
                </w:tcPr>
                <w:p w:rsidR="00AC2131" w:rsidRPr="00284C93" w:rsidRDefault="00AC2131" w:rsidP="00AC2131">
                  <w:pPr>
                    <w:pStyle w:val="TableBodyText"/>
                    <w:spacing w:after="20"/>
                    <w:jc w:val="left"/>
                  </w:pPr>
                  <w:r w:rsidRPr="00284C93">
                    <w:t>Unallocated primary production</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t>–</w:t>
                  </w:r>
                </w:p>
              </w:tc>
              <w:tc>
                <w:tcPr>
                  <w:tcW w:w="1020" w:type="dxa"/>
                  <w:shd w:val="clear" w:color="auto" w:fill="F2F2F2" w:themeFill="accent4"/>
                  <w:vAlign w:val="bottom"/>
                </w:tcPr>
                <w:p w:rsidR="00AC2131" w:rsidRPr="00EE122A" w:rsidRDefault="00AC2131" w:rsidP="00AC2131">
                  <w:pPr>
                    <w:pStyle w:val="TableBodyText"/>
                    <w:spacing w:after="20"/>
                    <w:rPr>
                      <w:szCs w:val="18"/>
                    </w:rPr>
                  </w:pPr>
                  <w:r>
                    <w:t>–</w:t>
                  </w:r>
                </w:p>
              </w:tc>
              <w:tc>
                <w:tcPr>
                  <w:tcW w:w="964" w:type="dxa"/>
                  <w:vAlign w:val="bottom"/>
                </w:tcPr>
                <w:p w:rsidR="00AC2131" w:rsidRPr="00C678FC" w:rsidRDefault="00AC2131" w:rsidP="00AC2131">
                  <w:pPr>
                    <w:pStyle w:val="TableBodyText"/>
                    <w:spacing w:after="20"/>
                  </w:pPr>
                  <w:r w:rsidRPr="00C678FC">
                    <w:t>2</w:t>
                  </w:r>
                  <w:r>
                    <w:t>3</w:t>
                  </w:r>
                  <w:r w:rsidRPr="00C678FC">
                    <w:t>7.3</w:t>
                  </w:r>
                </w:p>
              </w:tc>
              <w:tc>
                <w:tcPr>
                  <w:tcW w:w="964" w:type="dxa"/>
                  <w:vAlign w:val="bottom"/>
                </w:tcPr>
                <w:p w:rsidR="00AC2131" w:rsidRPr="00C678FC" w:rsidRDefault="00AC2131" w:rsidP="00AC2131">
                  <w:pPr>
                    <w:pStyle w:val="TableBodyText"/>
                    <w:spacing w:after="20"/>
                  </w:pPr>
                  <w:r w:rsidRPr="00C678FC">
                    <w:t>2.7</w:t>
                  </w:r>
                </w:p>
              </w:tc>
              <w:tc>
                <w:tcPr>
                  <w:tcW w:w="964" w:type="dxa"/>
                  <w:shd w:val="clear" w:color="auto" w:fill="F2F2F2" w:themeFill="accent4"/>
                  <w:vAlign w:val="bottom"/>
                </w:tcPr>
                <w:p w:rsidR="00AC2131" w:rsidRPr="00C678FC" w:rsidRDefault="00AC2131" w:rsidP="00AC2131">
                  <w:pPr>
                    <w:pStyle w:val="TableBodyText"/>
                    <w:spacing w:after="20"/>
                  </w:pPr>
                  <w:r w:rsidRPr="00C678FC">
                    <w:t>2</w:t>
                  </w:r>
                  <w:r>
                    <w:t>4</w:t>
                  </w:r>
                  <w:r w:rsidRPr="00C678FC">
                    <w:t>0.0</w:t>
                  </w:r>
                </w:p>
              </w:tc>
            </w:tr>
            <w:tr w:rsidR="00AC2131" w:rsidRPr="00450BD4" w:rsidTr="00AC2131">
              <w:tc>
                <w:tcPr>
                  <w:tcW w:w="2721" w:type="dxa"/>
                </w:tcPr>
                <w:p w:rsidR="00AC2131" w:rsidRPr="00450BD4" w:rsidRDefault="00AC2131" w:rsidP="00AC2131">
                  <w:pPr>
                    <w:pStyle w:val="TableBodyText"/>
                    <w:spacing w:after="30"/>
                    <w:jc w:val="left"/>
                    <w:rPr>
                      <w:b/>
                    </w:rPr>
                  </w:pPr>
                  <w:r w:rsidRPr="00450BD4">
                    <w:rPr>
                      <w:b/>
                    </w:rPr>
                    <w:t>Mining</w:t>
                  </w:r>
                </w:p>
              </w:tc>
              <w:tc>
                <w:tcPr>
                  <w:tcW w:w="964" w:type="dxa"/>
                  <w:vAlign w:val="bottom"/>
                </w:tcPr>
                <w:p w:rsidR="00AC2131" w:rsidRPr="00EA4B71" w:rsidRDefault="00AC2131" w:rsidP="00AC2131">
                  <w:pPr>
                    <w:pStyle w:val="TableBodyText"/>
                    <w:spacing w:after="30"/>
                    <w:rPr>
                      <w:b/>
                      <w:szCs w:val="18"/>
                    </w:rPr>
                  </w:pPr>
                  <w:r w:rsidRPr="00EA4B71">
                    <w:rPr>
                      <w:rFonts w:cs="Arial"/>
                      <w:b/>
                      <w:bCs/>
                      <w:szCs w:val="18"/>
                    </w:rPr>
                    <w:t>1.1</w:t>
                  </w:r>
                </w:p>
              </w:tc>
              <w:tc>
                <w:tcPr>
                  <w:tcW w:w="964" w:type="dxa"/>
                  <w:vAlign w:val="bottom"/>
                </w:tcPr>
                <w:p w:rsidR="00AC2131" w:rsidRPr="00EA4B71" w:rsidRDefault="00AC2131" w:rsidP="00AC2131">
                  <w:pPr>
                    <w:pStyle w:val="TableBodyText"/>
                    <w:spacing w:after="30"/>
                    <w:rPr>
                      <w:b/>
                      <w:szCs w:val="18"/>
                    </w:rPr>
                  </w:pPr>
                  <w:r w:rsidRPr="00EA4B71">
                    <w:rPr>
                      <w:rFonts w:cs="Arial"/>
                      <w:b/>
                      <w:bCs/>
                      <w:szCs w:val="18"/>
                    </w:rPr>
                    <w:t>-236.0</w:t>
                  </w:r>
                </w:p>
              </w:tc>
              <w:tc>
                <w:tcPr>
                  <w:tcW w:w="1020" w:type="dxa"/>
                  <w:shd w:val="clear" w:color="auto" w:fill="F2F2F2" w:themeFill="accent4"/>
                  <w:vAlign w:val="bottom"/>
                </w:tcPr>
                <w:p w:rsidR="00AC2131" w:rsidRPr="00EA4B71" w:rsidRDefault="00AC2131" w:rsidP="00AC2131">
                  <w:pPr>
                    <w:pStyle w:val="TableBodyText"/>
                    <w:spacing w:after="30"/>
                    <w:rPr>
                      <w:b/>
                      <w:szCs w:val="18"/>
                    </w:rPr>
                  </w:pPr>
                  <w:r w:rsidRPr="00EA4B71">
                    <w:rPr>
                      <w:rFonts w:cs="Arial"/>
                      <w:b/>
                      <w:bCs/>
                      <w:szCs w:val="18"/>
                    </w:rPr>
                    <w:t>-234.9</w:t>
                  </w:r>
                </w:p>
              </w:tc>
              <w:tc>
                <w:tcPr>
                  <w:tcW w:w="964" w:type="dxa"/>
                  <w:vAlign w:val="bottom"/>
                </w:tcPr>
                <w:p w:rsidR="00AC2131" w:rsidRPr="00F47095" w:rsidRDefault="00AC2131" w:rsidP="00AC2131">
                  <w:pPr>
                    <w:pStyle w:val="TableBodyText"/>
                    <w:spacing w:after="30"/>
                    <w:rPr>
                      <w:b/>
                    </w:rPr>
                  </w:pPr>
                  <w:r w:rsidRPr="00F47095">
                    <w:rPr>
                      <w:b/>
                    </w:rPr>
                    <w:t>265.8</w:t>
                  </w:r>
                </w:p>
              </w:tc>
              <w:tc>
                <w:tcPr>
                  <w:tcW w:w="964" w:type="dxa"/>
                  <w:vAlign w:val="bottom"/>
                </w:tcPr>
                <w:p w:rsidR="00AC2131" w:rsidRPr="00F47095" w:rsidRDefault="00AC2131" w:rsidP="00AC2131">
                  <w:pPr>
                    <w:pStyle w:val="TableBodyText"/>
                    <w:spacing w:after="30"/>
                    <w:rPr>
                      <w:b/>
                    </w:rPr>
                  </w:pPr>
                  <w:r w:rsidRPr="00F47095">
                    <w:rPr>
                      <w:b/>
                    </w:rPr>
                    <w:t>254.9</w:t>
                  </w:r>
                </w:p>
              </w:tc>
              <w:tc>
                <w:tcPr>
                  <w:tcW w:w="964" w:type="dxa"/>
                  <w:shd w:val="clear" w:color="auto" w:fill="F2F2F2" w:themeFill="accent4"/>
                  <w:vAlign w:val="bottom"/>
                </w:tcPr>
                <w:p w:rsidR="00AC2131" w:rsidRPr="00F47095" w:rsidRDefault="00AC2131" w:rsidP="00AC2131">
                  <w:pPr>
                    <w:pStyle w:val="TableBodyText"/>
                    <w:spacing w:after="30"/>
                    <w:rPr>
                      <w:b/>
                    </w:rPr>
                  </w:pPr>
                  <w:r w:rsidRPr="00F47095">
                    <w:rPr>
                      <w:b/>
                    </w:rPr>
                    <w:t>285.7</w:t>
                  </w:r>
                </w:p>
              </w:tc>
            </w:tr>
            <w:tr w:rsidR="00AC2131" w:rsidRPr="00450BD4" w:rsidTr="00AC2131">
              <w:tc>
                <w:tcPr>
                  <w:tcW w:w="2721" w:type="dxa"/>
                </w:tcPr>
                <w:p w:rsidR="00AC2131" w:rsidRPr="00450BD4" w:rsidRDefault="00AC2131" w:rsidP="00AC2131">
                  <w:pPr>
                    <w:pStyle w:val="TableBodyText"/>
                    <w:spacing w:after="30"/>
                    <w:jc w:val="left"/>
                    <w:rPr>
                      <w:b/>
                    </w:rPr>
                  </w:pPr>
                  <w:r w:rsidRPr="00450BD4">
                    <w:rPr>
                      <w:b/>
                    </w:rPr>
                    <w:t>Manufacturing</w:t>
                  </w:r>
                </w:p>
              </w:tc>
              <w:tc>
                <w:tcPr>
                  <w:tcW w:w="964" w:type="dxa"/>
                  <w:vAlign w:val="bottom"/>
                </w:tcPr>
                <w:p w:rsidR="00AC2131" w:rsidRPr="00EA4B71" w:rsidRDefault="00AC2131" w:rsidP="00AC2131">
                  <w:pPr>
                    <w:pStyle w:val="TableBodyText"/>
                    <w:spacing w:after="30"/>
                    <w:rPr>
                      <w:b/>
                      <w:szCs w:val="18"/>
                    </w:rPr>
                  </w:pPr>
                  <w:r w:rsidRPr="00EA4B71">
                    <w:rPr>
                      <w:rFonts w:cs="Arial"/>
                      <w:b/>
                      <w:bCs/>
                      <w:szCs w:val="18"/>
                    </w:rPr>
                    <w:t>7604.5</w:t>
                  </w:r>
                </w:p>
              </w:tc>
              <w:tc>
                <w:tcPr>
                  <w:tcW w:w="964" w:type="dxa"/>
                  <w:vAlign w:val="bottom"/>
                </w:tcPr>
                <w:p w:rsidR="00AC2131" w:rsidRPr="00EA4B71" w:rsidRDefault="00AC2131" w:rsidP="00AC2131">
                  <w:pPr>
                    <w:pStyle w:val="TableBodyText"/>
                    <w:spacing w:after="30"/>
                    <w:rPr>
                      <w:b/>
                      <w:szCs w:val="18"/>
                    </w:rPr>
                  </w:pPr>
                  <w:r w:rsidRPr="00EA4B71">
                    <w:rPr>
                      <w:rFonts w:cs="Arial"/>
                      <w:b/>
                      <w:bCs/>
                      <w:szCs w:val="18"/>
                    </w:rPr>
                    <w:t>-2070.9</w:t>
                  </w:r>
                </w:p>
              </w:tc>
              <w:tc>
                <w:tcPr>
                  <w:tcW w:w="1020" w:type="dxa"/>
                  <w:shd w:val="clear" w:color="auto" w:fill="F2F2F2" w:themeFill="accent4"/>
                  <w:vAlign w:val="bottom"/>
                </w:tcPr>
                <w:p w:rsidR="00AC2131" w:rsidRPr="00EA4B71" w:rsidRDefault="00AC2131" w:rsidP="00AC2131">
                  <w:pPr>
                    <w:pStyle w:val="TableBodyText"/>
                    <w:spacing w:after="30"/>
                    <w:rPr>
                      <w:b/>
                      <w:szCs w:val="18"/>
                    </w:rPr>
                  </w:pPr>
                  <w:r w:rsidRPr="00EA4B71">
                    <w:rPr>
                      <w:rFonts w:cs="Arial"/>
                      <w:b/>
                      <w:bCs/>
                      <w:szCs w:val="18"/>
                    </w:rPr>
                    <w:t>5533.6</w:t>
                  </w:r>
                </w:p>
              </w:tc>
              <w:tc>
                <w:tcPr>
                  <w:tcW w:w="964" w:type="dxa"/>
                  <w:vAlign w:val="bottom"/>
                </w:tcPr>
                <w:p w:rsidR="00AC2131" w:rsidRPr="00F47095" w:rsidRDefault="00AC2131" w:rsidP="00AC2131">
                  <w:pPr>
                    <w:pStyle w:val="TableBodyText"/>
                    <w:spacing w:after="30"/>
                    <w:rPr>
                      <w:b/>
                    </w:rPr>
                  </w:pPr>
                  <w:r w:rsidRPr="00F47095">
                    <w:rPr>
                      <w:b/>
                    </w:rPr>
                    <w:t>1</w:t>
                  </w:r>
                  <w:r>
                    <w:rPr>
                      <w:b/>
                    </w:rPr>
                    <w:t>119</w:t>
                  </w:r>
                  <w:r w:rsidRPr="00F47095">
                    <w:rPr>
                      <w:b/>
                    </w:rPr>
                    <w:t>.</w:t>
                  </w:r>
                  <w:r>
                    <w:rPr>
                      <w:b/>
                    </w:rPr>
                    <w:t>1</w:t>
                  </w:r>
                </w:p>
              </w:tc>
              <w:tc>
                <w:tcPr>
                  <w:tcW w:w="964" w:type="dxa"/>
                  <w:vAlign w:val="bottom"/>
                </w:tcPr>
                <w:p w:rsidR="00AC2131" w:rsidRPr="00F47095" w:rsidRDefault="00AC2131" w:rsidP="00AC2131">
                  <w:pPr>
                    <w:pStyle w:val="TableBodyText"/>
                    <w:spacing w:after="30"/>
                    <w:rPr>
                      <w:b/>
                    </w:rPr>
                  </w:pPr>
                  <w:r w:rsidRPr="00F47095">
                    <w:rPr>
                      <w:b/>
                    </w:rPr>
                    <w:t>636.6</w:t>
                  </w:r>
                </w:p>
              </w:tc>
              <w:tc>
                <w:tcPr>
                  <w:tcW w:w="964" w:type="dxa"/>
                  <w:shd w:val="clear" w:color="auto" w:fill="F2F2F2" w:themeFill="accent4"/>
                  <w:vAlign w:val="bottom"/>
                </w:tcPr>
                <w:p w:rsidR="00AC2131" w:rsidRPr="00F47095" w:rsidRDefault="00AC2131" w:rsidP="00AC2131">
                  <w:pPr>
                    <w:pStyle w:val="TableBodyText"/>
                    <w:spacing w:after="30"/>
                    <w:rPr>
                      <w:b/>
                    </w:rPr>
                  </w:pPr>
                  <w:r w:rsidRPr="00F47095">
                    <w:rPr>
                      <w:b/>
                    </w:rPr>
                    <w:t>72</w:t>
                  </w:r>
                  <w:r>
                    <w:rPr>
                      <w:b/>
                    </w:rPr>
                    <w:t>89</w:t>
                  </w:r>
                  <w:r w:rsidRPr="00F47095">
                    <w:rPr>
                      <w:b/>
                    </w:rPr>
                    <w:t>.3</w:t>
                  </w:r>
                </w:p>
              </w:tc>
            </w:tr>
            <w:tr w:rsidR="00AC2131" w:rsidTr="00AC2131">
              <w:tc>
                <w:tcPr>
                  <w:tcW w:w="2721" w:type="dxa"/>
                </w:tcPr>
                <w:p w:rsidR="00AC2131" w:rsidRPr="00F22AF1" w:rsidRDefault="00AC2131" w:rsidP="00AC2131">
                  <w:pPr>
                    <w:pStyle w:val="TableBodyText"/>
                    <w:spacing w:after="20"/>
                    <w:jc w:val="left"/>
                  </w:pPr>
                  <w:r w:rsidRPr="00F22AF1">
                    <w:t>Food, beverages and tobacco</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1873.6</w:t>
                  </w:r>
                </w:p>
              </w:tc>
              <w:tc>
                <w:tcPr>
                  <w:tcW w:w="964" w:type="dxa"/>
                  <w:vAlign w:val="bottom"/>
                </w:tcPr>
                <w:p w:rsidR="00AC2131" w:rsidRPr="00EE122A" w:rsidRDefault="00AC2131" w:rsidP="00AC2131">
                  <w:pPr>
                    <w:pStyle w:val="TableBodyText"/>
                    <w:spacing w:after="20"/>
                    <w:rPr>
                      <w:szCs w:val="18"/>
                    </w:rPr>
                  </w:pPr>
                  <w:r w:rsidRPr="00EE122A">
                    <w:rPr>
                      <w:rFonts w:cs="Arial"/>
                      <w:szCs w:val="18"/>
                    </w:rPr>
                    <w:t>-532.8</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1340.8</w:t>
                  </w:r>
                </w:p>
              </w:tc>
              <w:tc>
                <w:tcPr>
                  <w:tcW w:w="964" w:type="dxa"/>
                  <w:vAlign w:val="bottom"/>
                </w:tcPr>
                <w:p w:rsidR="00AC2131" w:rsidRPr="00C678FC" w:rsidRDefault="00AC2131" w:rsidP="00AC2131">
                  <w:pPr>
                    <w:pStyle w:val="TableBodyText"/>
                    <w:spacing w:after="20"/>
                  </w:pPr>
                  <w:r w:rsidRPr="00C678FC">
                    <w:t>89.8</w:t>
                  </w:r>
                </w:p>
              </w:tc>
              <w:tc>
                <w:tcPr>
                  <w:tcW w:w="964" w:type="dxa"/>
                  <w:vAlign w:val="bottom"/>
                </w:tcPr>
                <w:p w:rsidR="00AC2131" w:rsidRPr="00C678FC" w:rsidRDefault="00AC2131" w:rsidP="00AC2131">
                  <w:pPr>
                    <w:pStyle w:val="TableBodyText"/>
                    <w:spacing w:after="20"/>
                  </w:pPr>
                  <w:r w:rsidRPr="00C678FC">
                    <w:t>44.9</w:t>
                  </w:r>
                </w:p>
              </w:tc>
              <w:tc>
                <w:tcPr>
                  <w:tcW w:w="964" w:type="dxa"/>
                  <w:shd w:val="clear" w:color="auto" w:fill="F2F2F2" w:themeFill="accent4"/>
                  <w:vAlign w:val="bottom"/>
                </w:tcPr>
                <w:p w:rsidR="00AC2131" w:rsidRPr="00C678FC" w:rsidRDefault="00AC2131" w:rsidP="00AC2131">
                  <w:pPr>
                    <w:pStyle w:val="TableBodyText"/>
                    <w:spacing w:after="20"/>
                  </w:pPr>
                  <w:r w:rsidRPr="00C678FC">
                    <w:t>1475.5</w:t>
                  </w:r>
                </w:p>
              </w:tc>
            </w:tr>
            <w:tr w:rsidR="00AC2131" w:rsidTr="00AC2131">
              <w:tc>
                <w:tcPr>
                  <w:tcW w:w="2721" w:type="dxa"/>
                </w:tcPr>
                <w:p w:rsidR="00AC2131" w:rsidRPr="00F22AF1" w:rsidRDefault="00AC2131" w:rsidP="00AC2131">
                  <w:pPr>
                    <w:pStyle w:val="TableBodyText"/>
                    <w:spacing w:after="20"/>
                    <w:jc w:val="left"/>
                  </w:pPr>
                  <w:r w:rsidRPr="00F22AF1">
                    <w:t>Textile</w:t>
                  </w:r>
                  <w:r>
                    <w:t>s</w:t>
                  </w:r>
                  <w:r w:rsidRPr="00F22AF1">
                    <w:t>, clothing and footwear</w:t>
                  </w:r>
                </w:p>
              </w:tc>
              <w:tc>
                <w:tcPr>
                  <w:tcW w:w="964" w:type="dxa"/>
                  <w:vAlign w:val="bottom"/>
                </w:tcPr>
                <w:p w:rsidR="00AC2131" w:rsidRPr="00EE122A" w:rsidRDefault="00AC2131" w:rsidP="00AC2131">
                  <w:pPr>
                    <w:pStyle w:val="TableBodyText"/>
                    <w:spacing w:after="20"/>
                    <w:rPr>
                      <w:szCs w:val="18"/>
                    </w:rPr>
                  </w:pPr>
                  <w:r w:rsidRPr="00EE122A">
                    <w:rPr>
                      <w:rFonts w:cs="Arial"/>
                      <w:szCs w:val="18"/>
                    </w:rPr>
                    <w:t>328.4</w:t>
                  </w:r>
                </w:p>
              </w:tc>
              <w:tc>
                <w:tcPr>
                  <w:tcW w:w="964" w:type="dxa"/>
                  <w:vAlign w:val="bottom"/>
                </w:tcPr>
                <w:p w:rsidR="00AC2131" w:rsidRPr="00EE122A" w:rsidRDefault="00AC2131" w:rsidP="00AC2131">
                  <w:pPr>
                    <w:pStyle w:val="TableBodyText"/>
                    <w:spacing w:after="20"/>
                    <w:rPr>
                      <w:szCs w:val="18"/>
                    </w:rPr>
                  </w:pPr>
                  <w:r w:rsidRPr="00EE122A">
                    <w:rPr>
                      <w:rFonts w:cs="Arial"/>
                      <w:szCs w:val="18"/>
                    </w:rPr>
                    <w:t>-67.1</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261.4</w:t>
                  </w:r>
                </w:p>
              </w:tc>
              <w:tc>
                <w:tcPr>
                  <w:tcW w:w="964" w:type="dxa"/>
                  <w:vAlign w:val="bottom"/>
                </w:tcPr>
                <w:p w:rsidR="00AC2131" w:rsidRPr="00C678FC" w:rsidRDefault="00AC2131" w:rsidP="00AC2131">
                  <w:pPr>
                    <w:pStyle w:val="TableBodyText"/>
                    <w:spacing w:after="20"/>
                  </w:pPr>
                  <w:r w:rsidRPr="00C678FC">
                    <w:t>51.8</w:t>
                  </w:r>
                </w:p>
              </w:tc>
              <w:tc>
                <w:tcPr>
                  <w:tcW w:w="964" w:type="dxa"/>
                  <w:vAlign w:val="bottom"/>
                </w:tcPr>
                <w:p w:rsidR="00AC2131" w:rsidRPr="00C678FC" w:rsidRDefault="00AC2131" w:rsidP="00AC2131">
                  <w:pPr>
                    <w:pStyle w:val="TableBodyText"/>
                    <w:spacing w:after="20"/>
                  </w:pPr>
                  <w:r w:rsidRPr="00C678FC">
                    <w:t>12.2</w:t>
                  </w:r>
                </w:p>
              </w:tc>
              <w:tc>
                <w:tcPr>
                  <w:tcW w:w="964" w:type="dxa"/>
                  <w:shd w:val="clear" w:color="auto" w:fill="F2F2F2" w:themeFill="accent4"/>
                  <w:vAlign w:val="bottom"/>
                </w:tcPr>
                <w:p w:rsidR="00AC2131" w:rsidRPr="00C678FC" w:rsidRDefault="00AC2131" w:rsidP="00AC2131">
                  <w:pPr>
                    <w:pStyle w:val="TableBodyText"/>
                    <w:spacing w:after="20"/>
                  </w:pPr>
                  <w:r w:rsidRPr="00C678FC">
                    <w:t>325.4</w:t>
                  </w:r>
                </w:p>
              </w:tc>
            </w:tr>
            <w:tr w:rsidR="00AC2131" w:rsidTr="00AC2131">
              <w:tc>
                <w:tcPr>
                  <w:tcW w:w="2721" w:type="dxa"/>
                </w:tcPr>
                <w:p w:rsidR="00AC2131" w:rsidRPr="00F22AF1" w:rsidRDefault="00AC2131" w:rsidP="00AC2131">
                  <w:pPr>
                    <w:pStyle w:val="TableBodyText"/>
                    <w:spacing w:after="20"/>
                    <w:jc w:val="left"/>
                  </w:pPr>
                  <w:r w:rsidRPr="00F22AF1">
                    <w:t>Wood and paper products</w:t>
                  </w:r>
                </w:p>
              </w:tc>
              <w:tc>
                <w:tcPr>
                  <w:tcW w:w="964" w:type="dxa"/>
                  <w:vAlign w:val="bottom"/>
                </w:tcPr>
                <w:p w:rsidR="00AC2131" w:rsidRPr="00EE122A" w:rsidRDefault="00AC2131" w:rsidP="00AC2131">
                  <w:pPr>
                    <w:pStyle w:val="TableBodyText"/>
                    <w:spacing w:after="20"/>
                    <w:rPr>
                      <w:szCs w:val="18"/>
                    </w:rPr>
                  </w:pPr>
                  <w:r w:rsidRPr="00EE122A">
                    <w:rPr>
                      <w:rFonts w:cs="Arial"/>
                      <w:szCs w:val="18"/>
                    </w:rPr>
                    <w:t>631.8</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-128.0</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503.8</w:t>
                  </w:r>
                </w:p>
              </w:tc>
              <w:tc>
                <w:tcPr>
                  <w:tcW w:w="964" w:type="dxa"/>
                  <w:vAlign w:val="bottom"/>
                </w:tcPr>
                <w:p w:rsidR="00AC2131" w:rsidRPr="00C678FC" w:rsidRDefault="00AC2131" w:rsidP="00AC2131">
                  <w:pPr>
                    <w:pStyle w:val="TableBodyText"/>
                    <w:spacing w:after="20"/>
                  </w:pPr>
                  <w:r w:rsidRPr="00C678FC">
                    <w:t>11.4</w:t>
                  </w:r>
                </w:p>
              </w:tc>
              <w:tc>
                <w:tcPr>
                  <w:tcW w:w="964" w:type="dxa"/>
                  <w:vAlign w:val="bottom"/>
                </w:tcPr>
                <w:p w:rsidR="00AC2131" w:rsidRPr="00C678FC" w:rsidRDefault="00AC2131" w:rsidP="00AC2131">
                  <w:pPr>
                    <w:pStyle w:val="TableBodyText"/>
                    <w:spacing w:after="20"/>
                  </w:pPr>
                  <w:r w:rsidRPr="00C678FC">
                    <w:t>11.2</w:t>
                  </w:r>
                </w:p>
              </w:tc>
              <w:tc>
                <w:tcPr>
                  <w:tcW w:w="964" w:type="dxa"/>
                  <w:shd w:val="clear" w:color="auto" w:fill="F2F2F2" w:themeFill="accent4"/>
                  <w:vAlign w:val="bottom"/>
                </w:tcPr>
                <w:p w:rsidR="00AC2131" w:rsidRPr="00C678FC" w:rsidRDefault="00AC2131" w:rsidP="00AC2131">
                  <w:pPr>
                    <w:pStyle w:val="TableBodyText"/>
                    <w:spacing w:after="20"/>
                  </w:pPr>
                  <w:r w:rsidRPr="00C678FC">
                    <w:t>526.4</w:t>
                  </w:r>
                </w:p>
              </w:tc>
            </w:tr>
            <w:tr w:rsidR="00AC2131" w:rsidTr="00AC2131">
              <w:tc>
                <w:tcPr>
                  <w:tcW w:w="2721" w:type="dxa"/>
                </w:tcPr>
                <w:p w:rsidR="00AC2131" w:rsidRPr="00F22AF1" w:rsidRDefault="00AC2131" w:rsidP="00AC2131">
                  <w:pPr>
                    <w:pStyle w:val="TableBodyText"/>
                    <w:spacing w:after="20"/>
                    <w:jc w:val="left"/>
                  </w:pPr>
                  <w:r w:rsidRPr="00F22AF1">
                    <w:t>Printing and recorded media</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188.1</w:t>
                  </w:r>
                </w:p>
              </w:tc>
              <w:tc>
                <w:tcPr>
                  <w:tcW w:w="964" w:type="dxa"/>
                  <w:vAlign w:val="bottom"/>
                </w:tcPr>
                <w:p w:rsidR="00AC2131" w:rsidRPr="00EE122A" w:rsidRDefault="00AC2131" w:rsidP="00AC2131">
                  <w:pPr>
                    <w:pStyle w:val="TableBodyText"/>
                    <w:spacing w:after="20"/>
                    <w:rPr>
                      <w:szCs w:val="18"/>
                    </w:rPr>
                  </w:pPr>
                  <w:r w:rsidRPr="00EE122A">
                    <w:rPr>
                      <w:rFonts w:cs="Arial"/>
                      <w:szCs w:val="18"/>
                    </w:rPr>
                    <w:t>-30.5</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157.6</w:t>
                  </w:r>
                </w:p>
              </w:tc>
              <w:tc>
                <w:tcPr>
                  <w:tcW w:w="964" w:type="dxa"/>
                  <w:vAlign w:val="bottom"/>
                </w:tcPr>
                <w:p w:rsidR="00AC2131" w:rsidRPr="00C678FC" w:rsidRDefault="00AC2131" w:rsidP="00AC2131">
                  <w:pPr>
                    <w:pStyle w:val="TableBodyText"/>
                    <w:spacing w:after="20"/>
                  </w:pPr>
                  <w:r w:rsidRPr="00C678FC">
                    <w:t>7.1</w:t>
                  </w:r>
                </w:p>
              </w:tc>
              <w:tc>
                <w:tcPr>
                  <w:tcW w:w="964" w:type="dxa"/>
                  <w:vAlign w:val="bottom"/>
                </w:tcPr>
                <w:p w:rsidR="00AC2131" w:rsidRPr="00C678FC" w:rsidRDefault="00AC2131" w:rsidP="00AC2131">
                  <w:pPr>
                    <w:pStyle w:val="TableBodyText"/>
                    <w:spacing w:after="20"/>
                  </w:pPr>
                  <w:r w:rsidRPr="00C678FC">
                    <w:t>12.0</w:t>
                  </w:r>
                </w:p>
              </w:tc>
              <w:tc>
                <w:tcPr>
                  <w:tcW w:w="964" w:type="dxa"/>
                  <w:shd w:val="clear" w:color="auto" w:fill="F2F2F2" w:themeFill="accent4"/>
                  <w:vAlign w:val="bottom"/>
                </w:tcPr>
                <w:p w:rsidR="00AC2131" w:rsidRPr="00C678FC" w:rsidRDefault="00AC2131" w:rsidP="00AC2131">
                  <w:pPr>
                    <w:pStyle w:val="TableBodyText"/>
                    <w:spacing w:after="20"/>
                  </w:pPr>
                  <w:r w:rsidRPr="00C678FC">
                    <w:t>176.8</w:t>
                  </w:r>
                </w:p>
              </w:tc>
            </w:tr>
            <w:tr w:rsidR="00AC2131" w:rsidTr="00AC2131">
              <w:tc>
                <w:tcPr>
                  <w:tcW w:w="2721" w:type="dxa"/>
                </w:tcPr>
                <w:p w:rsidR="00AC2131" w:rsidRPr="00F22AF1" w:rsidRDefault="00AC2131" w:rsidP="00AC2131">
                  <w:pPr>
                    <w:pStyle w:val="TableBodyText"/>
                    <w:spacing w:after="20"/>
                    <w:jc w:val="left"/>
                  </w:pPr>
                  <w:r w:rsidRPr="00F22AF1">
                    <w:t>Petroleum, coal</w:t>
                  </w:r>
                  <w:r>
                    <w:t xml:space="preserve"> and </w:t>
                  </w:r>
                  <w:r w:rsidRPr="00F22AF1">
                    <w:t>chemical</w:t>
                  </w:r>
                  <w:r>
                    <w:t>s</w:t>
                  </w:r>
                </w:p>
              </w:tc>
              <w:tc>
                <w:tcPr>
                  <w:tcW w:w="964" w:type="dxa"/>
                  <w:vAlign w:val="bottom"/>
                </w:tcPr>
                <w:p w:rsidR="00AC2131" w:rsidRPr="00EE122A" w:rsidRDefault="00AC2131" w:rsidP="00AC2131">
                  <w:pPr>
                    <w:pStyle w:val="TableBodyText"/>
                    <w:spacing w:after="20"/>
                    <w:rPr>
                      <w:szCs w:val="18"/>
                    </w:rPr>
                  </w:pPr>
                  <w:r w:rsidRPr="00EE122A">
                    <w:rPr>
                      <w:rFonts w:cs="Arial"/>
                      <w:szCs w:val="18"/>
                    </w:rPr>
                    <w:t>902.8</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-263.7</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639.1</w:t>
                  </w:r>
                </w:p>
              </w:tc>
              <w:tc>
                <w:tcPr>
                  <w:tcW w:w="964" w:type="dxa"/>
                  <w:vAlign w:val="bottom"/>
                </w:tcPr>
                <w:p w:rsidR="00AC2131" w:rsidRPr="00C678FC" w:rsidRDefault="00AC2131" w:rsidP="00AC2131">
                  <w:pPr>
                    <w:pStyle w:val="TableBodyText"/>
                    <w:spacing w:after="20"/>
                  </w:pPr>
                  <w:r w:rsidRPr="00C678FC">
                    <w:t>260.7</w:t>
                  </w:r>
                </w:p>
              </w:tc>
              <w:tc>
                <w:tcPr>
                  <w:tcW w:w="964" w:type="dxa"/>
                  <w:vAlign w:val="bottom"/>
                </w:tcPr>
                <w:p w:rsidR="00AC2131" w:rsidRPr="00C678FC" w:rsidRDefault="00AC2131" w:rsidP="00AC2131">
                  <w:pPr>
                    <w:pStyle w:val="TableBodyText"/>
                    <w:spacing w:after="20"/>
                  </w:pPr>
                  <w:r w:rsidRPr="00C678FC">
                    <w:t>37.6</w:t>
                  </w:r>
                </w:p>
              </w:tc>
              <w:tc>
                <w:tcPr>
                  <w:tcW w:w="964" w:type="dxa"/>
                  <w:shd w:val="clear" w:color="auto" w:fill="F2F2F2" w:themeFill="accent4"/>
                  <w:vAlign w:val="bottom"/>
                </w:tcPr>
                <w:p w:rsidR="00AC2131" w:rsidRPr="00C678FC" w:rsidRDefault="00AC2131" w:rsidP="00AC2131">
                  <w:pPr>
                    <w:pStyle w:val="TableBodyText"/>
                    <w:spacing w:after="20"/>
                  </w:pPr>
                  <w:r w:rsidRPr="00C678FC">
                    <w:t>937.4</w:t>
                  </w:r>
                </w:p>
              </w:tc>
            </w:tr>
            <w:tr w:rsidR="00AC2131" w:rsidTr="00AC2131">
              <w:tc>
                <w:tcPr>
                  <w:tcW w:w="2721" w:type="dxa"/>
                </w:tcPr>
                <w:p w:rsidR="00AC2131" w:rsidRPr="00F22AF1" w:rsidRDefault="00AC2131" w:rsidP="00AC2131">
                  <w:pPr>
                    <w:pStyle w:val="TableBodyText"/>
                    <w:spacing w:after="20"/>
                    <w:jc w:val="left"/>
                  </w:pPr>
                  <w:r w:rsidRPr="00F22AF1">
                    <w:t>Non-metallic mineral products</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275.8</w:t>
                  </w:r>
                </w:p>
              </w:tc>
              <w:tc>
                <w:tcPr>
                  <w:tcW w:w="964" w:type="dxa"/>
                  <w:vAlign w:val="bottom"/>
                </w:tcPr>
                <w:p w:rsidR="00AC2131" w:rsidRPr="00EE122A" w:rsidRDefault="00AC2131" w:rsidP="00AC2131">
                  <w:pPr>
                    <w:pStyle w:val="TableBodyText"/>
                    <w:spacing w:after="20"/>
                    <w:rPr>
                      <w:szCs w:val="18"/>
                    </w:rPr>
                  </w:pPr>
                  <w:r w:rsidRPr="00EE122A">
                    <w:rPr>
                      <w:rFonts w:cs="Arial"/>
                      <w:szCs w:val="18"/>
                    </w:rPr>
                    <w:t>-47.3</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228.5</w:t>
                  </w:r>
                </w:p>
              </w:tc>
              <w:tc>
                <w:tcPr>
                  <w:tcW w:w="964" w:type="dxa"/>
                  <w:vAlign w:val="bottom"/>
                </w:tcPr>
                <w:p w:rsidR="00AC2131" w:rsidRPr="00C678FC" w:rsidRDefault="00AC2131" w:rsidP="00AC2131">
                  <w:pPr>
                    <w:pStyle w:val="TableBodyText"/>
                    <w:spacing w:after="20"/>
                  </w:pPr>
                  <w:r w:rsidRPr="00C678FC">
                    <w:t>26.7</w:t>
                  </w:r>
                </w:p>
              </w:tc>
              <w:tc>
                <w:tcPr>
                  <w:tcW w:w="964" w:type="dxa"/>
                  <w:vAlign w:val="bottom"/>
                </w:tcPr>
                <w:p w:rsidR="00AC2131" w:rsidRPr="00C678FC" w:rsidRDefault="00AC2131" w:rsidP="00AC2131">
                  <w:pPr>
                    <w:pStyle w:val="TableBodyText"/>
                    <w:spacing w:after="20"/>
                  </w:pPr>
                  <w:r w:rsidRPr="00C678FC">
                    <w:t>5.2</w:t>
                  </w:r>
                </w:p>
              </w:tc>
              <w:tc>
                <w:tcPr>
                  <w:tcW w:w="964" w:type="dxa"/>
                  <w:shd w:val="clear" w:color="auto" w:fill="F2F2F2" w:themeFill="accent4"/>
                  <w:vAlign w:val="bottom"/>
                </w:tcPr>
                <w:p w:rsidR="00AC2131" w:rsidRPr="00C678FC" w:rsidRDefault="00AC2131" w:rsidP="00AC2131">
                  <w:pPr>
                    <w:pStyle w:val="TableBodyText"/>
                    <w:spacing w:after="20"/>
                  </w:pPr>
                  <w:r w:rsidRPr="00C678FC">
                    <w:t>260.4</w:t>
                  </w:r>
                </w:p>
              </w:tc>
            </w:tr>
            <w:tr w:rsidR="00AC2131" w:rsidTr="00AC2131">
              <w:tc>
                <w:tcPr>
                  <w:tcW w:w="2721" w:type="dxa"/>
                </w:tcPr>
                <w:p w:rsidR="00AC2131" w:rsidRPr="00F22AF1" w:rsidRDefault="00AC2131" w:rsidP="00AC2131">
                  <w:pPr>
                    <w:pStyle w:val="TableBodyText"/>
                    <w:spacing w:after="20"/>
                    <w:jc w:val="left"/>
                  </w:pPr>
                  <w:r w:rsidRPr="00F22AF1">
                    <w:t>Metal and fabricated products</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1723.1</w:t>
                  </w:r>
                </w:p>
              </w:tc>
              <w:tc>
                <w:tcPr>
                  <w:tcW w:w="964" w:type="dxa"/>
                  <w:vAlign w:val="bottom"/>
                </w:tcPr>
                <w:p w:rsidR="00AC2131" w:rsidRPr="00EE122A" w:rsidRDefault="00AC2131" w:rsidP="00AC2131">
                  <w:pPr>
                    <w:pStyle w:val="TableBodyText"/>
                    <w:spacing w:after="20"/>
                    <w:rPr>
                      <w:szCs w:val="18"/>
                    </w:rPr>
                  </w:pPr>
                  <w:r w:rsidRPr="00EE122A">
                    <w:rPr>
                      <w:rFonts w:cs="Arial"/>
                      <w:szCs w:val="18"/>
                    </w:rPr>
                    <w:t>-409.2</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1314.0</w:t>
                  </w:r>
                </w:p>
              </w:tc>
              <w:tc>
                <w:tcPr>
                  <w:tcW w:w="964" w:type="dxa"/>
                  <w:vAlign w:val="bottom"/>
                </w:tcPr>
                <w:p w:rsidR="00AC2131" w:rsidRPr="00C678FC" w:rsidRDefault="00AC2131" w:rsidP="00AC2131">
                  <w:pPr>
                    <w:pStyle w:val="TableBodyText"/>
                    <w:spacing w:after="20"/>
                  </w:pPr>
                  <w:r w:rsidRPr="00C678FC">
                    <w:t>52.5</w:t>
                  </w:r>
                </w:p>
              </w:tc>
              <w:tc>
                <w:tcPr>
                  <w:tcW w:w="964" w:type="dxa"/>
                  <w:vAlign w:val="bottom"/>
                </w:tcPr>
                <w:p w:rsidR="00AC2131" w:rsidRPr="00C678FC" w:rsidRDefault="00AC2131" w:rsidP="00AC2131">
                  <w:pPr>
                    <w:pStyle w:val="TableBodyText"/>
                    <w:spacing w:after="20"/>
                  </w:pPr>
                  <w:r w:rsidRPr="00C678FC">
                    <w:t>372.6</w:t>
                  </w:r>
                </w:p>
              </w:tc>
              <w:tc>
                <w:tcPr>
                  <w:tcW w:w="964" w:type="dxa"/>
                  <w:shd w:val="clear" w:color="auto" w:fill="F2F2F2" w:themeFill="accent4"/>
                  <w:vAlign w:val="bottom"/>
                </w:tcPr>
                <w:p w:rsidR="00AC2131" w:rsidRPr="00C678FC" w:rsidRDefault="00AC2131" w:rsidP="00AC2131">
                  <w:pPr>
                    <w:pStyle w:val="TableBodyText"/>
                    <w:spacing w:after="20"/>
                  </w:pPr>
                  <w:r w:rsidRPr="00C678FC">
                    <w:t>1739.0</w:t>
                  </w:r>
                </w:p>
              </w:tc>
            </w:tr>
            <w:tr w:rsidR="00AC2131" w:rsidTr="00AC2131">
              <w:tc>
                <w:tcPr>
                  <w:tcW w:w="2721" w:type="dxa"/>
                </w:tcPr>
                <w:p w:rsidR="00AC2131" w:rsidRPr="00F22AF1" w:rsidRDefault="00AC2131" w:rsidP="00AC2131">
                  <w:pPr>
                    <w:pStyle w:val="TableBodyText"/>
                    <w:spacing w:after="20"/>
                    <w:jc w:val="left"/>
                  </w:pPr>
                  <w:r w:rsidRPr="00F22AF1">
                    <w:t>Motor vehicle</w:t>
                  </w:r>
                  <w:r>
                    <w:t>s</w:t>
                  </w:r>
                  <w:r w:rsidRPr="00F22AF1">
                    <w:t xml:space="preserve"> and parts</w:t>
                  </w:r>
                </w:p>
              </w:tc>
              <w:tc>
                <w:tcPr>
                  <w:tcW w:w="964" w:type="dxa"/>
                  <w:vAlign w:val="bottom"/>
                </w:tcPr>
                <w:p w:rsidR="00AC2131" w:rsidRPr="00EE122A" w:rsidRDefault="00AC2131" w:rsidP="00AC2131">
                  <w:pPr>
                    <w:pStyle w:val="TableBodyText"/>
                    <w:spacing w:after="20"/>
                    <w:rPr>
                      <w:szCs w:val="18"/>
                    </w:rPr>
                  </w:pPr>
                  <w:r w:rsidRPr="00EE122A">
                    <w:rPr>
                      <w:rFonts w:cs="Arial"/>
                      <w:szCs w:val="18"/>
                    </w:rPr>
                    <w:t>802.4</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-295.5</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506.9</w:t>
                  </w:r>
                </w:p>
              </w:tc>
              <w:tc>
                <w:tcPr>
                  <w:tcW w:w="964" w:type="dxa"/>
                  <w:vAlign w:val="bottom"/>
                </w:tcPr>
                <w:p w:rsidR="00AC2131" w:rsidRPr="00C678FC" w:rsidRDefault="00AC2131" w:rsidP="00AC2131">
                  <w:pPr>
                    <w:pStyle w:val="TableBodyText"/>
                    <w:spacing w:after="20"/>
                  </w:pPr>
                  <w:r w:rsidRPr="00C678FC">
                    <w:t>358.2</w:t>
                  </w:r>
                </w:p>
              </w:tc>
              <w:tc>
                <w:tcPr>
                  <w:tcW w:w="964" w:type="dxa"/>
                  <w:vAlign w:val="bottom"/>
                </w:tcPr>
                <w:p w:rsidR="00AC2131" w:rsidRPr="00C678FC" w:rsidRDefault="00AC2131" w:rsidP="00AC2131">
                  <w:pPr>
                    <w:pStyle w:val="TableBodyText"/>
                    <w:spacing w:after="20"/>
                  </w:pPr>
                  <w:r w:rsidRPr="00C678FC">
                    <w:t>34.3</w:t>
                  </w:r>
                </w:p>
              </w:tc>
              <w:tc>
                <w:tcPr>
                  <w:tcW w:w="964" w:type="dxa"/>
                  <w:shd w:val="clear" w:color="auto" w:fill="F2F2F2" w:themeFill="accent4"/>
                  <w:vAlign w:val="bottom"/>
                </w:tcPr>
                <w:p w:rsidR="00AC2131" w:rsidRPr="00C678FC" w:rsidRDefault="00AC2131" w:rsidP="00AC2131">
                  <w:pPr>
                    <w:pStyle w:val="TableBodyText"/>
                    <w:spacing w:after="20"/>
                  </w:pPr>
                  <w:r w:rsidRPr="00C678FC">
                    <w:t>899.4</w:t>
                  </w:r>
                </w:p>
              </w:tc>
            </w:tr>
            <w:tr w:rsidR="00AC2131" w:rsidTr="00AC2131">
              <w:tc>
                <w:tcPr>
                  <w:tcW w:w="2721" w:type="dxa"/>
                </w:tcPr>
                <w:p w:rsidR="00AC2131" w:rsidRPr="00F22AF1" w:rsidRDefault="00AC2131" w:rsidP="00AC2131">
                  <w:pPr>
                    <w:pStyle w:val="TableBodyText"/>
                    <w:spacing w:after="20"/>
                    <w:jc w:val="left"/>
                  </w:pPr>
                  <w:r w:rsidRPr="00F22AF1">
                    <w:t>Other transport equipment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74.2</w:t>
                  </w:r>
                </w:p>
              </w:tc>
              <w:tc>
                <w:tcPr>
                  <w:tcW w:w="964" w:type="dxa"/>
                  <w:vAlign w:val="bottom"/>
                </w:tcPr>
                <w:p w:rsidR="00AC2131" w:rsidRPr="00EE122A" w:rsidRDefault="00AC2131" w:rsidP="00AC2131">
                  <w:pPr>
                    <w:pStyle w:val="TableBodyText"/>
                    <w:spacing w:after="20"/>
                    <w:rPr>
                      <w:szCs w:val="18"/>
                    </w:rPr>
                  </w:pPr>
                  <w:r w:rsidRPr="00EE122A">
                    <w:rPr>
                      <w:rFonts w:cs="Arial"/>
                      <w:szCs w:val="18"/>
                    </w:rPr>
                    <w:t>-66.2</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8.0</w:t>
                  </w:r>
                </w:p>
              </w:tc>
              <w:tc>
                <w:tcPr>
                  <w:tcW w:w="964" w:type="dxa"/>
                  <w:vAlign w:val="bottom"/>
                </w:tcPr>
                <w:p w:rsidR="00AC2131" w:rsidRPr="00C678FC" w:rsidRDefault="00AC2131" w:rsidP="00AC2131">
                  <w:pPr>
                    <w:pStyle w:val="TableBodyText"/>
                    <w:spacing w:after="20"/>
                  </w:pPr>
                  <w:r w:rsidRPr="00C678FC">
                    <w:t>14.8</w:t>
                  </w:r>
                </w:p>
              </w:tc>
              <w:tc>
                <w:tcPr>
                  <w:tcW w:w="964" w:type="dxa"/>
                  <w:vAlign w:val="bottom"/>
                </w:tcPr>
                <w:p w:rsidR="00AC2131" w:rsidRPr="00C678FC" w:rsidRDefault="00AC2131" w:rsidP="00AC2131">
                  <w:pPr>
                    <w:pStyle w:val="TableBodyText"/>
                    <w:spacing w:after="20"/>
                  </w:pPr>
                  <w:r w:rsidRPr="00C678FC">
                    <w:t>4.4</w:t>
                  </w:r>
                </w:p>
              </w:tc>
              <w:tc>
                <w:tcPr>
                  <w:tcW w:w="964" w:type="dxa"/>
                  <w:shd w:val="clear" w:color="auto" w:fill="F2F2F2" w:themeFill="accent4"/>
                  <w:vAlign w:val="bottom"/>
                </w:tcPr>
                <w:p w:rsidR="00AC2131" w:rsidRPr="00C678FC" w:rsidRDefault="00AC2131" w:rsidP="00AC2131">
                  <w:pPr>
                    <w:pStyle w:val="TableBodyText"/>
                    <w:spacing w:after="20"/>
                  </w:pPr>
                  <w:r w:rsidRPr="00C678FC">
                    <w:t>27.3</w:t>
                  </w:r>
                </w:p>
              </w:tc>
            </w:tr>
            <w:tr w:rsidR="00AC2131" w:rsidTr="00AC2131">
              <w:tc>
                <w:tcPr>
                  <w:tcW w:w="2721" w:type="dxa"/>
                </w:tcPr>
                <w:p w:rsidR="00AC2131" w:rsidRPr="00F22AF1" w:rsidRDefault="00AC2131" w:rsidP="00AC2131">
                  <w:pPr>
                    <w:pStyle w:val="TableBodyText"/>
                    <w:spacing w:after="20"/>
                    <w:jc w:val="left"/>
                  </w:pPr>
                  <w:r w:rsidRPr="00F22AF1">
                    <w:t>Machinery and equipment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603.3</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-181.8</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421.5</w:t>
                  </w:r>
                </w:p>
              </w:tc>
              <w:tc>
                <w:tcPr>
                  <w:tcW w:w="964" w:type="dxa"/>
                  <w:vAlign w:val="bottom"/>
                </w:tcPr>
                <w:p w:rsidR="00AC2131" w:rsidRPr="00C678FC" w:rsidRDefault="00AC2131" w:rsidP="00AC2131">
                  <w:pPr>
                    <w:pStyle w:val="TableBodyText"/>
                    <w:spacing w:after="20"/>
                  </w:pPr>
                  <w:r w:rsidRPr="00C678FC">
                    <w:t>95.9</w:t>
                  </w:r>
                </w:p>
              </w:tc>
              <w:tc>
                <w:tcPr>
                  <w:tcW w:w="964" w:type="dxa"/>
                  <w:vAlign w:val="bottom"/>
                </w:tcPr>
                <w:p w:rsidR="00AC2131" w:rsidRPr="00C678FC" w:rsidRDefault="00AC2131" w:rsidP="00AC2131">
                  <w:pPr>
                    <w:pStyle w:val="TableBodyText"/>
                    <w:spacing w:after="20"/>
                  </w:pPr>
                  <w:r w:rsidRPr="00C678FC">
                    <w:t>25.3</w:t>
                  </w:r>
                </w:p>
              </w:tc>
              <w:tc>
                <w:tcPr>
                  <w:tcW w:w="964" w:type="dxa"/>
                  <w:shd w:val="clear" w:color="auto" w:fill="F2F2F2" w:themeFill="accent4"/>
                  <w:vAlign w:val="bottom"/>
                </w:tcPr>
                <w:p w:rsidR="00AC2131" w:rsidRPr="00C678FC" w:rsidRDefault="00AC2131" w:rsidP="00AC2131">
                  <w:pPr>
                    <w:pStyle w:val="TableBodyText"/>
                    <w:spacing w:after="20"/>
                  </w:pPr>
                  <w:r w:rsidRPr="00C678FC">
                    <w:t>542.7</w:t>
                  </w:r>
                </w:p>
              </w:tc>
            </w:tr>
            <w:tr w:rsidR="00AC2131" w:rsidTr="00AC2131">
              <w:tc>
                <w:tcPr>
                  <w:tcW w:w="2721" w:type="dxa"/>
                </w:tcPr>
                <w:p w:rsidR="00AC2131" w:rsidRPr="00F22AF1" w:rsidRDefault="00AC2131" w:rsidP="00AC2131">
                  <w:pPr>
                    <w:pStyle w:val="TableBodyText"/>
                    <w:spacing w:after="20"/>
                    <w:jc w:val="left"/>
                  </w:pPr>
                  <w:r w:rsidRPr="00F22AF1">
                    <w:t>Furniture and other</w:t>
                  </w:r>
                  <w:r>
                    <w:t xml:space="preserve"> products</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201.0</w:t>
                  </w:r>
                </w:p>
              </w:tc>
              <w:tc>
                <w:tcPr>
                  <w:tcW w:w="964" w:type="dxa"/>
                  <w:vAlign w:val="bottom"/>
                </w:tcPr>
                <w:p w:rsidR="00AC2131" w:rsidRPr="00EE122A" w:rsidRDefault="00AC2131" w:rsidP="00AC2131">
                  <w:pPr>
                    <w:pStyle w:val="TableBodyText"/>
                    <w:spacing w:after="20"/>
                    <w:rPr>
                      <w:szCs w:val="18"/>
                    </w:rPr>
                  </w:pPr>
                  <w:r w:rsidRPr="00EE122A">
                    <w:rPr>
                      <w:rFonts w:cs="Arial"/>
                      <w:szCs w:val="18"/>
                    </w:rPr>
                    <w:t>-49.0</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152.0</w:t>
                  </w:r>
                </w:p>
              </w:tc>
              <w:tc>
                <w:tcPr>
                  <w:tcW w:w="964" w:type="dxa"/>
                  <w:vAlign w:val="bottom"/>
                </w:tcPr>
                <w:p w:rsidR="00AC2131" w:rsidRPr="00C678FC" w:rsidRDefault="00AC2131" w:rsidP="00AC2131">
                  <w:pPr>
                    <w:pStyle w:val="TableBodyText"/>
                    <w:spacing w:after="20"/>
                  </w:pPr>
                  <w:r w:rsidRPr="00C678FC">
                    <w:t>20.5</w:t>
                  </w:r>
                </w:p>
              </w:tc>
              <w:tc>
                <w:tcPr>
                  <w:tcW w:w="964" w:type="dxa"/>
                  <w:vAlign w:val="bottom"/>
                </w:tcPr>
                <w:p w:rsidR="00AC2131" w:rsidRPr="00C678FC" w:rsidRDefault="00AC2131" w:rsidP="00AC2131">
                  <w:pPr>
                    <w:pStyle w:val="TableBodyText"/>
                    <w:spacing w:after="20"/>
                  </w:pPr>
                  <w:r w:rsidRPr="00C678FC">
                    <w:t>8.6</w:t>
                  </w:r>
                </w:p>
              </w:tc>
              <w:tc>
                <w:tcPr>
                  <w:tcW w:w="964" w:type="dxa"/>
                  <w:shd w:val="clear" w:color="auto" w:fill="F2F2F2" w:themeFill="accent4"/>
                  <w:vAlign w:val="bottom"/>
                </w:tcPr>
                <w:p w:rsidR="00AC2131" w:rsidRPr="00C678FC" w:rsidRDefault="00AC2131" w:rsidP="00AC2131">
                  <w:pPr>
                    <w:pStyle w:val="TableBodyText"/>
                    <w:spacing w:after="20"/>
                  </w:pPr>
                  <w:r w:rsidRPr="00C678FC">
                    <w:t>181.2</w:t>
                  </w:r>
                </w:p>
              </w:tc>
            </w:tr>
            <w:tr w:rsidR="00AC2131" w:rsidTr="00AC2131">
              <w:tc>
                <w:tcPr>
                  <w:tcW w:w="2721" w:type="dxa"/>
                </w:tcPr>
                <w:p w:rsidR="00AC2131" w:rsidRPr="00F22AF1" w:rsidRDefault="00AC2131" w:rsidP="00AC2131">
                  <w:pPr>
                    <w:pStyle w:val="TableBodyText"/>
                    <w:spacing w:after="20"/>
                    <w:jc w:val="left"/>
                  </w:pPr>
                  <w:r w:rsidRPr="00F22AF1">
                    <w:t>Unallocated manufacturing</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t>–</w:t>
                  </w:r>
                </w:p>
              </w:tc>
              <w:tc>
                <w:tcPr>
                  <w:tcW w:w="1020" w:type="dxa"/>
                  <w:shd w:val="clear" w:color="auto" w:fill="F2F2F2" w:themeFill="accent4"/>
                  <w:vAlign w:val="bottom"/>
                </w:tcPr>
                <w:p w:rsidR="00AC2131" w:rsidRPr="00EE122A" w:rsidRDefault="00AC2131" w:rsidP="00AC2131">
                  <w:pPr>
                    <w:pStyle w:val="TableBodyText"/>
                    <w:spacing w:after="20"/>
                    <w:rPr>
                      <w:szCs w:val="18"/>
                    </w:rPr>
                  </w:pPr>
                  <w:r>
                    <w:t>–</w:t>
                  </w:r>
                </w:p>
              </w:tc>
              <w:tc>
                <w:tcPr>
                  <w:tcW w:w="964" w:type="dxa"/>
                  <w:vAlign w:val="bottom"/>
                </w:tcPr>
                <w:p w:rsidR="00AC2131" w:rsidRPr="00C678FC" w:rsidRDefault="00AC2131" w:rsidP="00AC2131">
                  <w:pPr>
                    <w:pStyle w:val="TableBodyText"/>
                    <w:spacing w:after="20"/>
                  </w:pPr>
                  <w:r w:rsidRPr="00C678FC">
                    <w:t>1</w:t>
                  </w:r>
                  <w:r>
                    <w:t>29</w:t>
                  </w:r>
                  <w:r w:rsidRPr="00C678FC">
                    <w:t>.8</w:t>
                  </w:r>
                </w:p>
              </w:tc>
              <w:tc>
                <w:tcPr>
                  <w:tcW w:w="964" w:type="dxa"/>
                  <w:vAlign w:val="bottom"/>
                </w:tcPr>
                <w:p w:rsidR="00AC2131" w:rsidRPr="00C678FC" w:rsidRDefault="00AC2131" w:rsidP="00AC2131">
                  <w:pPr>
                    <w:pStyle w:val="TableBodyText"/>
                    <w:spacing w:after="20"/>
                  </w:pPr>
                  <w:r w:rsidRPr="00C678FC">
                    <w:t>68.2</w:t>
                  </w:r>
                </w:p>
              </w:tc>
              <w:tc>
                <w:tcPr>
                  <w:tcW w:w="964" w:type="dxa"/>
                  <w:shd w:val="clear" w:color="auto" w:fill="F2F2F2" w:themeFill="accent4"/>
                  <w:vAlign w:val="bottom"/>
                </w:tcPr>
                <w:p w:rsidR="00AC2131" w:rsidRPr="00C678FC" w:rsidRDefault="00AC2131" w:rsidP="00AC2131">
                  <w:pPr>
                    <w:pStyle w:val="TableBodyText"/>
                    <w:spacing w:after="20"/>
                  </w:pPr>
                  <w:r w:rsidRPr="00C678FC">
                    <w:t>1</w:t>
                  </w:r>
                  <w:r>
                    <w:t>98</w:t>
                  </w:r>
                  <w:r w:rsidRPr="00C678FC">
                    <w:t>.0</w:t>
                  </w:r>
                </w:p>
              </w:tc>
            </w:tr>
            <w:tr w:rsidR="00AC2131" w:rsidRPr="00450BD4" w:rsidTr="00AC2131">
              <w:tc>
                <w:tcPr>
                  <w:tcW w:w="2721" w:type="dxa"/>
                </w:tcPr>
                <w:p w:rsidR="00AC2131" w:rsidRPr="00450BD4" w:rsidRDefault="00AC2131" w:rsidP="00AC2131">
                  <w:pPr>
                    <w:pStyle w:val="TableBodyText"/>
                    <w:spacing w:after="30"/>
                    <w:jc w:val="left"/>
                    <w:rPr>
                      <w:b/>
                    </w:rPr>
                  </w:pPr>
                  <w:r w:rsidRPr="00450BD4">
                    <w:rPr>
                      <w:b/>
                    </w:rPr>
                    <w:t>Services</w:t>
                  </w:r>
                </w:p>
              </w:tc>
              <w:tc>
                <w:tcPr>
                  <w:tcW w:w="964" w:type="dxa"/>
                  <w:vAlign w:val="bottom"/>
                </w:tcPr>
                <w:p w:rsidR="00AC2131" w:rsidRPr="00EA4B71" w:rsidRDefault="00AC2131" w:rsidP="00AC2131">
                  <w:pPr>
                    <w:pStyle w:val="TableBodyText"/>
                    <w:spacing w:after="30"/>
                    <w:rPr>
                      <w:b/>
                      <w:szCs w:val="18"/>
                    </w:rPr>
                  </w:pPr>
                  <w:r w:rsidRPr="00EA4B71">
                    <w:rPr>
                      <w:b/>
                    </w:rPr>
                    <w:t>–</w:t>
                  </w:r>
                </w:p>
              </w:tc>
              <w:tc>
                <w:tcPr>
                  <w:tcW w:w="964" w:type="dxa"/>
                  <w:vAlign w:val="bottom"/>
                </w:tcPr>
                <w:p w:rsidR="00AC2131" w:rsidRPr="00EA4B71" w:rsidRDefault="00AC2131" w:rsidP="00AC2131">
                  <w:pPr>
                    <w:pStyle w:val="TableBodyText"/>
                    <w:spacing w:after="30"/>
                    <w:rPr>
                      <w:b/>
                      <w:szCs w:val="18"/>
                    </w:rPr>
                  </w:pPr>
                  <w:r w:rsidRPr="00EA4B71">
                    <w:rPr>
                      <w:rFonts w:cs="Arial"/>
                      <w:b/>
                      <w:bCs/>
                      <w:szCs w:val="18"/>
                    </w:rPr>
                    <w:t>-4928.3</w:t>
                  </w:r>
                </w:p>
              </w:tc>
              <w:tc>
                <w:tcPr>
                  <w:tcW w:w="1020" w:type="dxa"/>
                  <w:shd w:val="clear" w:color="auto" w:fill="F2F2F2" w:themeFill="accent4"/>
                  <w:vAlign w:val="bottom"/>
                </w:tcPr>
                <w:p w:rsidR="00AC2131" w:rsidRPr="00EA4B71" w:rsidRDefault="00AC2131" w:rsidP="00AC2131">
                  <w:pPr>
                    <w:pStyle w:val="TableBodyText"/>
                    <w:spacing w:after="30"/>
                    <w:rPr>
                      <w:b/>
                      <w:szCs w:val="18"/>
                    </w:rPr>
                  </w:pPr>
                  <w:r w:rsidRPr="00EA4B71">
                    <w:rPr>
                      <w:rFonts w:cs="Arial"/>
                      <w:b/>
                      <w:bCs/>
                      <w:szCs w:val="18"/>
                    </w:rPr>
                    <w:t>-4928.3</w:t>
                  </w:r>
                </w:p>
              </w:tc>
              <w:tc>
                <w:tcPr>
                  <w:tcW w:w="964" w:type="dxa"/>
                  <w:vAlign w:val="bottom"/>
                </w:tcPr>
                <w:p w:rsidR="00AC2131" w:rsidRPr="00F47095" w:rsidRDefault="00AC2131" w:rsidP="00AC2131">
                  <w:pPr>
                    <w:pStyle w:val="TableBodyText"/>
                    <w:spacing w:after="30"/>
                    <w:rPr>
                      <w:b/>
                    </w:rPr>
                  </w:pPr>
                  <w:r w:rsidRPr="00F47095">
                    <w:rPr>
                      <w:b/>
                    </w:rPr>
                    <w:t>15</w:t>
                  </w:r>
                  <w:r>
                    <w:rPr>
                      <w:b/>
                    </w:rPr>
                    <w:t>44.4</w:t>
                  </w:r>
                </w:p>
              </w:tc>
              <w:tc>
                <w:tcPr>
                  <w:tcW w:w="964" w:type="dxa"/>
                  <w:vAlign w:val="bottom"/>
                </w:tcPr>
                <w:p w:rsidR="00AC2131" w:rsidRPr="00F47095" w:rsidRDefault="00AC2131" w:rsidP="00AC2131">
                  <w:pPr>
                    <w:pStyle w:val="TableBodyText"/>
                    <w:spacing w:after="30"/>
                    <w:rPr>
                      <w:b/>
                    </w:rPr>
                  </w:pPr>
                  <w:r w:rsidRPr="00F47095">
                    <w:rPr>
                      <w:b/>
                    </w:rPr>
                    <w:t>2760.7</w:t>
                  </w:r>
                </w:p>
              </w:tc>
              <w:tc>
                <w:tcPr>
                  <w:tcW w:w="964" w:type="dxa"/>
                  <w:shd w:val="clear" w:color="auto" w:fill="F2F2F2" w:themeFill="accent4"/>
                  <w:vAlign w:val="bottom"/>
                </w:tcPr>
                <w:p w:rsidR="00AC2131" w:rsidRPr="00F47095" w:rsidRDefault="00AC2131" w:rsidP="00AC2131">
                  <w:pPr>
                    <w:pStyle w:val="TableBodyText"/>
                    <w:spacing w:after="30"/>
                    <w:rPr>
                      <w:b/>
                    </w:rPr>
                  </w:pPr>
                  <w:r w:rsidRPr="00F47095">
                    <w:rPr>
                      <w:b/>
                    </w:rPr>
                    <w:t>-6</w:t>
                  </w:r>
                  <w:r>
                    <w:rPr>
                      <w:b/>
                    </w:rPr>
                    <w:t>2</w:t>
                  </w:r>
                  <w:r w:rsidRPr="00F47095">
                    <w:rPr>
                      <w:b/>
                    </w:rPr>
                    <w:t>3.</w:t>
                  </w:r>
                  <w:r>
                    <w:rPr>
                      <w:b/>
                    </w:rPr>
                    <w:t>2</w:t>
                  </w:r>
                </w:p>
              </w:tc>
            </w:tr>
            <w:tr w:rsidR="00AC2131" w:rsidTr="00AC2131">
              <w:tc>
                <w:tcPr>
                  <w:tcW w:w="2721" w:type="dxa"/>
                </w:tcPr>
                <w:p w:rsidR="00AC2131" w:rsidRPr="00F22AF1" w:rsidRDefault="00AC2131" w:rsidP="00AC2131">
                  <w:pPr>
                    <w:pStyle w:val="TableBodyText"/>
                    <w:spacing w:after="20"/>
                    <w:jc w:val="left"/>
                  </w:pPr>
                  <w:r w:rsidRPr="00F22AF1">
                    <w:t>Electricit</w:t>
                  </w:r>
                  <w:r>
                    <w:t>y, gas, water and waste</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-93.8</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-93.8</w:t>
                  </w:r>
                </w:p>
              </w:tc>
              <w:tc>
                <w:tcPr>
                  <w:tcW w:w="964" w:type="dxa"/>
                  <w:vAlign w:val="bottom"/>
                </w:tcPr>
                <w:p w:rsidR="00AC2131" w:rsidRPr="00C678FC" w:rsidRDefault="00AC2131" w:rsidP="00AC2131">
                  <w:pPr>
                    <w:pStyle w:val="TableBodyText"/>
                    <w:spacing w:after="20"/>
                  </w:pPr>
                  <w:r w:rsidRPr="00C678FC">
                    <w:t>2</w:t>
                  </w:r>
                  <w:r>
                    <w:t>01</w:t>
                  </w:r>
                  <w:r w:rsidRPr="00C678FC">
                    <w:t>.</w:t>
                  </w:r>
                  <w:r>
                    <w:t>1</w:t>
                  </w:r>
                </w:p>
              </w:tc>
              <w:tc>
                <w:tcPr>
                  <w:tcW w:w="964" w:type="dxa"/>
                  <w:vAlign w:val="bottom"/>
                </w:tcPr>
                <w:p w:rsidR="00AC2131" w:rsidRPr="00C678FC" w:rsidRDefault="00AC2131" w:rsidP="00AC2131">
                  <w:pPr>
                    <w:pStyle w:val="TableBodyText"/>
                    <w:spacing w:after="20"/>
                  </w:pPr>
                  <w:r w:rsidRPr="00C678FC">
                    <w:t>29.3</w:t>
                  </w:r>
                </w:p>
              </w:tc>
              <w:tc>
                <w:tcPr>
                  <w:tcW w:w="964" w:type="dxa"/>
                  <w:shd w:val="clear" w:color="auto" w:fill="F2F2F2" w:themeFill="accent4"/>
                  <w:vAlign w:val="bottom"/>
                </w:tcPr>
                <w:p w:rsidR="00AC2131" w:rsidRPr="00C678FC" w:rsidRDefault="00AC2131" w:rsidP="00AC2131">
                  <w:pPr>
                    <w:pStyle w:val="TableBodyText"/>
                    <w:spacing w:after="20"/>
                  </w:pPr>
                  <w:r w:rsidRPr="00C678FC">
                    <w:t>1</w:t>
                  </w:r>
                  <w:r>
                    <w:t>3</w:t>
                  </w:r>
                  <w:r w:rsidRPr="00C678FC">
                    <w:t>6.</w:t>
                  </w:r>
                  <w:r>
                    <w:t>6</w:t>
                  </w:r>
                </w:p>
              </w:tc>
            </w:tr>
            <w:tr w:rsidR="00AC2131" w:rsidTr="00AC2131">
              <w:tc>
                <w:tcPr>
                  <w:tcW w:w="2721" w:type="dxa"/>
                </w:tcPr>
                <w:p w:rsidR="00AC2131" w:rsidRPr="00F22AF1" w:rsidRDefault="00AC2131" w:rsidP="00AC2131">
                  <w:pPr>
                    <w:pStyle w:val="TableBodyText"/>
                    <w:spacing w:after="20"/>
                    <w:jc w:val="left"/>
                  </w:pPr>
                  <w:r w:rsidRPr="00F22AF1">
                    <w:t>Construction</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-1804.9</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-1804.9</w:t>
                  </w:r>
                </w:p>
              </w:tc>
              <w:tc>
                <w:tcPr>
                  <w:tcW w:w="964" w:type="dxa"/>
                  <w:vAlign w:val="bottom"/>
                </w:tcPr>
                <w:p w:rsidR="00AC2131" w:rsidRPr="00C678FC" w:rsidRDefault="00AC2131" w:rsidP="00AC2131">
                  <w:pPr>
                    <w:pStyle w:val="TableBodyText"/>
                    <w:spacing w:after="20"/>
                  </w:pPr>
                  <w:r w:rsidRPr="00C678FC">
                    <w:t>31.1</w:t>
                  </w:r>
                </w:p>
              </w:tc>
              <w:tc>
                <w:tcPr>
                  <w:tcW w:w="964" w:type="dxa"/>
                  <w:vAlign w:val="bottom"/>
                </w:tcPr>
                <w:p w:rsidR="00AC2131" w:rsidRPr="00C678FC" w:rsidRDefault="00AC2131" w:rsidP="00AC2131">
                  <w:pPr>
                    <w:pStyle w:val="TableBodyText"/>
                    <w:spacing w:after="20"/>
                  </w:pPr>
                  <w:r w:rsidRPr="00C678FC">
                    <w:t>311.3</w:t>
                  </w:r>
                </w:p>
              </w:tc>
              <w:tc>
                <w:tcPr>
                  <w:tcW w:w="964" w:type="dxa"/>
                  <w:shd w:val="clear" w:color="auto" w:fill="F2F2F2" w:themeFill="accent4"/>
                  <w:vAlign w:val="bottom"/>
                </w:tcPr>
                <w:p w:rsidR="00AC2131" w:rsidRPr="00C678FC" w:rsidRDefault="00AC2131" w:rsidP="00AC2131">
                  <w:pPr>
                    <w:pStyle w:val="TableBodyText"/>
                    <w:spacing w:after="20"/>
                  </w:pPr>
                  <w:r w:rsidRPr="00C678FC">
                    <w:t>-1462.5</w:t>
                  </w:r>
                </w:p>
              </w:tc>
            </w:tr>
            <w:tr w:rsidR="00AC2131" w:rsidTr="00AC2131">
              <w:tc>
                <w:tcPr>
                  <w:tcW w:w="2721" w:type="dxa"/>
                </w:tcPr>
                <w:p w:rsidR="00AC2131" w:rsidRPr="00F22AF1" w:rsidRDefault="00AC2131" w:rsidP="00AC2131">
                  <w:pPr>
                    <w:pStyle w:val="TableBodyText"/>
                    <w:spacing w:after="20"/>
                    <w:jc w:val="left"/>
                  </w:pPr>
                  <w:r w:rsidRPr="00F22AF1">
                    <w:t>Wholesale trade</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-262.0</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-262.0</w:t>
                  </w:r>
                </w:p>
              </w:tc>
              <w:tc>
                <w:tcPr>
                  <w:tcW w:w="964" w:type="dxa"/>
                  <w:vAlign w:val="bottom"/>
                </w:tcPr>
                <w:p w:rsidR="00AC2131" w:rsidRPr="00C678FC" w:rsidRDefault="00AC2131" w:rsidP="00AC2131">
                  <w:pPr>
                    <w:pStyle w:val="TableBodyText"/>
                    <w:spacing w:after="20"/>
                  </w:pPr>
                  <w:r w:rsidRPr="00C678FC">
                    <w:t>45.5</w:t>
                  </w:r>
                </w:p>
              </w:tc>
              <w:tc>
                <w:tcPr>
                  <w:tcW w:w="964" w:type="dxa"/>
                  <w:vAlign w:val="bottom"/>
                </w:tcPr>
                <w:p w:rsidR="00AC2131" w:rsidRPr="00C678FC" w:rsidRDefault="00AC2131" w:rsidP="00AC2131">
                  <w:pPr>
                    <w:pStyle w:val="TableBodyText"/>
                    <w:spacing w:after="20"/>
                  </w:pPr>
                  <w:r w:rsidRPr="00C678FC">
                    <w:t>113.7</w:t>
                  </w:r>
                </w:p>
              </w:tc>
              <w:tc>
                <w:tcPr>
                  <w:tcW w:w="964" w:type="dxa"/>
                  <w:shd w:val="clear" w:color="auto" w:fill="F2F2F2" w:themeFill="accent4"/>
                  <w:vAlign w:val="bottom"/>
                </w:tcPr>
                <w:p w:rsidR="00AC2131" w:rsidRPr="00C678FC" w:rsidRDefault="00AC2131" w:rsidP="00AC2131">
                  <w:pPr>
                    <w:pStyle w:val="TableBodyText"/>
                    <w:spacing w:after="20"/>
                  </w:pPr>
                  <w:r w:rsidRPr="00C678FC">
                    <w:t>-102.9</w:t>
                  </w:r>
                </w:p>
              </w:tc>
            </w:tr>
            <w:tr w:rsidR="00AC2131" w:rsidTr="00AC2131">
              <w:tc>
                <w:tcPr>
                  <w:tcW w:w="2721" w:type="dxa"/>
                </w:tcPr>
                <w:p w:rsidR="00AC2131" w:rsidRPr="00F22AF1" w:rsidRDefault="00AC2131" w:rsidP="00AC2131">
                  <w:pPr>
                    <w:pStyle w:val="TableBodyText"/>
                    <w:spacing w:after="20"/>
                    <w:jc w:val="left"/>
                  </w:pPr>
                  <w:r w:rsidRPr="00F22AF1">
                    <w:t>Retail trade</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-191.3</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-191.3</w:t>
                  </w:r>
                </w:p>
              </w:tc>
              <w:tc>
                <w:tcPr>
                  <w:tcW w:w="964" w:type="dxa"/>
                  <w:vAlign w:val="bottom"/>
                </w:tcPr>
                <w:p w:rsidR="00AC2131" w:rsidRPr="00C678FC" w:rsidRDefault="00AC2131" w:rsidP="00AC2131">
                  <w:pPr>
                    <w:pStyle w:val="TableBodyText"/>
                    <w:spacing w:after="20"/>
                  </w:pPr>
                  <w:r w:rsidRPr="00C678FC">
                    <w:t>18.5</w:t>
                  </w:r>
                </w:p>
              </w:tc>
              <w:tc>
                <w:tcPr>
                  <w:tcW w:w="964" w:type="dxa"/>
                  <w:vAlign w:val="bottom"/>
                </w:tcPr>
                <w:p w:rsidR="00AC2131" w:rsidRPr="00C678FC" w:rsidRDefault="00AC2131" w:rsidP="00AC2131">
                  <w:pPr>
                    <w:pStyle w:val="TableBodyText"/>
                    <w:spacing w:after="20"/>
                  </w:pPr>
                  <w:r w:rsidRPr="00C678FC">
                    <w:t>150.4</w:t>
                  </w:r>
                </w:p>
              </w:tc>
              <w:tc>
                <w:tcPr>
                  <w:tcW w:w="964" w:type="dxa"/>
                  <w:shd w:val="clear" w:color="auto" w:fill="F2F2F2" w:themeFill="accent4"/>
                  <w:vAlign w:val="bottom"/>
                </w:tcPr>
                <w:p w:rsidR="00AC2131" w:rsidRPr="00C678FC" w:rsidRDefault="00AC2131" w:rsidP="00AC2131">
                  <w:pPr>
                    <w:pStyle w:val="TableBodyText"/>
                    <w:spacing w:after="20"/>
                  </w:pPr>
                  <w:r w:rsidRPr="00C678FC">
                    <w:t>-22.4</w:t>
                  </w:r>
                </w:p>
              </w:tc>
            </w:tr>
            <w:tr w:rsidR="00AC2131" w:rsidTr="00AC2131">
              <w:tc>
                <w:tcPr>
                  <w:tcW w:w="2721" w:type="dxa"/>
                </w:tcPr>
                <w:p w:rsidR="00AC2131" w:rsidRPr="00F22AF1" w:rsidRDefault="00AC2131" w:rsidP="00AC2131">
                  <w:pPr>
                    <w:pStyle w:val="TableBodyText"/>
                    <w:spacing w:after="20"/>
                    <w:jc w:val="left"/>
                  </w:pPr>
                  <w:r w:rsidRPr="00F22AF1">
                    <w:t xml:space="preserve">Accommodation </w:t>
                  </w:r>
                  <w:r>
                    <w:t xml:space="preserve">&amp; </w:t>
                  </w:r>
                  <w:r w:rsidRPr="00F22AF1">
                    <w:t>food services</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-543.8</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-543.8</w:t>
                  </w:r>
                </w:p>
              </w:tc>
              <w:tc>
                <w:tcPr>
                  <w:tcW w:w="964" w:type="dxa"/>
                  <w:vAlign w:val="bottom"/>
                </w:tcPr>
                <w:p w:rsidR="00AC2131" w:rsidRPr="00C678FC" w:rsidRDefault="00AC2131" w:rsidP="00AC2131">
                  <w:pPr>
                    <w:pStyle w:val="TableBodyText"/>
                    <w:spacing w:after="20"/>
                  </w:pPr>
                  <w:r w:rsidRPr="00C678FC">
                    <w:t>4.9</w:t>
                  </w:r>
                </w:p>
              </w:tc>
              <w:tc>
                <w:tcPr>
                  <w:tcW w:w="964" w:type="dxa"/>
                  <w:vAlign w:val="bottom"/>
                </w:tcPr>
                <w:p w:rsidR="00AC2131" w:rsidRPr="00C678FC" w:rsidRDefault="00AC2131" w:rsidP="00AC2131">
                  <w:pPr>
                    <w:pStyle w:val="TableBodyText"/>
                    <w:spacing w:after="20"/>
                  </w:pPr>
                  <w:r w:rsidRPr="00C678FC">
                    <w:t>119.5</w:t>
                  </w:r>
                </w:p>
              </w:tc>
              <w:tc>
                <w:tcPr>
                  <w:tcW w:w="964" w:type="dxa"/>
                  <w:shd w:val="clear" w:color="auto" w:fill="F2F2F2" w:themeFill="accent4"/>
                  <w:vAlign w:val="bottom"/>
                </w:tcPr>
                <w:p w:rsidR="00AC2131" w:rsidRPr="00C678FC" w:rsidRDefault="00AC2131" w:rsidP="00AC2131">
                  <w:pPr>
                    <w:pStyle w:val="TableBodyText"/>
                    <w:spacing w:after="20"/>
                  </w:pPr>
                  <w:r w:rsidRPr="00C678FC">
                    <w:t>-419.4</w:t>
                  </w:r>
                </w:p>
              </w:tc>
            </w:tr>
            <w:tr w:rsidR="00AC2131" w:rsidTr="00AC2131">
              <w:tc>
                <w:tcPr>
                  <w:tcW w:w="2721" w:type="dxa"/>
                </w:tcPr>
                <w:p w:rsidR="00AC2131" w:rsidRPr="00F22AF1" w:rsidRDefault="00AC2131" w:rsidP="00AC2131">
                  <w:pPr>
                    <w:pStyle w:val="TableBodyText"/>
                    <w:spacing w:after="20"/>
                    <w:jc w:val="left"/>
                  </w:pPr>
                  <w:r w:rsidRPr="00F22AF1">
                    <w:t xml:space="preserve">Transport, postal </w:t>
                  </w:r>
                  <w:r>
                    <w:t>&amp;</w:t>
                  </w:r>
                  <w:r w:rsidRPr="00F22AF1">
                    <w:t xml:space="preserve"> warehousing</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-216.1</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-216.1</w:t>
                  </w:r>
                </w:p>
              </w:tc>
              <w:tc>
                <w:tcPr>
                  <w:tcW w:w="964" w:type="dxa"/>
                  <w:vAlign w:val="bottom"/>
                </w:tcPr>
                <w:p w:rsidR="00AC2131" w:rsidRPr="00C678FC" w:rsidRDefault="00AC2131" w:rsidP="00AC2131">
                  <w:pPr>
                    <w:pStyle w:val="TableBodyText"/>
                    <w:spacing w:after="20"/>
                  </w:pPr>
                  <w:r w:rsidRPr="00C678FC">
                    <w:t>49.8</w:t>
                  </w:r>
                </w:p>
              </w:tc>
              <w:tc>
                <w:tcPr>
                  <w:tcW w:w="964" w:type="dxa"/>
                  <w:vAlign w:val="bottom"/>
                </w:tcPr>
                <w:p w:rsidR="00AC2131" w:rsidRPr="00C678FC" w:rsidRDefault="00AC2131" w:rsidP="00AC2131">
                  <w:pPr>
                    <w:pStyle w:val="TableBodyText"/>
                    <w:spacing w:after="20"/>
                  </w:pPr>
                  <w:r w:rsidRPr="00C678FC">
                    <w:t>135.9</w:t>
                  </w:r>
                </w:p>
              </w:tc>
              <w:tc>
                <w:tcPr>
                  <w:tcW w:w="964" w:type="dxa"/>
                  <w:shd w:val="clear" w:color="auto" w:fill="F2F2F2" w:themeFill="accent4"/>
                  <w:vAlign w:val="bottom"/>
                </w:tcPr>
                <w:p w:rsidR="00AC2131" w:rsidRPr="00C678FC" w:rsidRDefault="00AC2131" w:rsidP="00AC2131">
                  <w:pPr>
                    <w:pStyle w:val="TableBodyText"/>
                    <w:spacing w:after="20"/>
                  </w:pPr>
                  <w:r w:rsidRPr="00C678FC">
                    <w:t>-30.4</w:t>
                  </w:r>
                </w:p>
              </w:tc>
            </w:tr>
            <w:tr w:rsidR="00AC2131" w:rsidTr="00AC2131">
              <w:tc>
                <w:tcPr>
                  <w:tcW w:w="2721" w:type="dxa"/>
                </w:tcPr>
                <w:p w:rsidR="00AC2131" w:rsidRPr="00F22AF1" w:rsidRDefault="00AC2131" w:rsidP="00AC2131">
                  <w:pPr>
                    <w:pStyle w:val="TableBodyText"/>
                    <w:spacing w:after="20"/>
                    <w:jc w:val="left"/>
                  </w:pPr>
                  <w:r w:rsidRPr="00F22AF1">
                    <w:t>Information</w:t>
                  </w:r>
                  <w:r>
                    <w:t xml:space="preserve"> &amp; </w:t>
                  </w:r>
                  <w:r w:rsidRPr="00F22AF1">
                    <w:t>communication</w:t>
                  </w:r>
                  <w:r>
                    <w:t>s</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-151.0</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-151.0</w:t>
                  </w:r>
                </w:p>
              </w:tc>
              <w:tc>
                <w:tcPr>
                  <w:tcW w:w="964" w:type="dxa"/>
                  <w:vAlign w:val="bottom"/>
                </w:tcPr>
                <w:p w:rsidR="00AC2131" w:rsidRPr="00C678FC" w:rsidRDefault="00AC2131" w:rsidP="00AC2131">
                  <w:pPr>
                    <w:pStyle w:val="TableBodyText"/>
                    <w:spacing w:after="20"/>
                  </w:pPr>
                  <w:r w:rsidRPr="00C678FC">
                    <w:t>122.8</w:t>
                  </w:r>
                </w:p>
              </w:tc>
              <w:tc>
                <w:tcPr>
                  <w:tcW w:w="964" w:type="dxa"/>
                  <w:vAlign w:val="bottom"/>
                </w:tcPr>
                <w:p w:rsidR="00AC2131" w:rsidRPr="00C678FC" w:rsidRDefault="00AC2131" w:rsidP="00AC2131">
                  <w:pPr>
                    <w:pStyle w:val="TableBodyText"/>
                    <w:spacing w:after="20"/>
                  </w:pPr>
                  <w:r w:rsidRPr="00C678FC">
                    <w:t>25.7</w:t>
                  </w:r>
                </w:p>
              </w:tc>
              <w:tc>
                <w:tcPr>
                  <w:tcW w:w="964" w:type="dxa"/>
                  <w:shd w:val="clear" w:color="auto" w:fill="F2F2F2" w:themeFill="accent4"/>
                  <w:vAlign w:val="bottom"/>
                </w:tcPr>
                <w:p w:rsidR="00AC2131" w:rsidRPr="00C678FC" w:rsidRDefault="00AC2131" w:rsidP="00AC2131">
                  <w:pPr>
                    <w:pStyle w:val="TableBodyText"/>
                    <w:spacing w:after="20"/>
                  </w:pPr>
                  <w:r w:rsidRPr="00C678FC">
                    <w:t>-2.5</w:t>
                  </w:r>
                </w:p>
              </w:tc>
            </w:tr>
            <w:tr w:rsidR="00AC2131" w:rsidTr="00AC2131">
              <w:tc>
                <w:tcPr>
                  <w:tcW w:w="2721" w:type="dxa"/>
                </w:tcPr>
                <w:p w:rsidR="00AC2131" w:rsidRPr="00F22AF1" w:rsidRDefault="00AC2131" w:rsidP="00AC2131">
                  <w:pPr>
                    <w:pStyle w:val="TableBodyText"/>
                    <w:spacing w:after="20"/>
                    <w:jc w:val="left"/>
                  </w:pPr>
                  <w:r w:rsidRPr="00F22AF1">
                    <w:t xml:space="preserve">Financial </w:t>
                  </w:r>
                  <w:r>
                    <w:t xml:space="preserve">&amp; </w:t>
                  </w:r>
                  <w:r w:rsidRPr="00F22AF1">
                    <w:t>insurance services</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-10.5</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-10.5</w:t>
                  </w:r>
                </w:p>
              </w:tc>
              <w:tc>
                <w:tcPr>
                  <w:tcW w:w="964" w:type="dxa"/>
                  <w:vAlign w:val="bottom"/>
                </w:tcPr>
                <w:p w:rsidR="00AC2131" w:rsidRPr="00C678FC" w:rsidRDefault="00AC2131" w:rsidP="00AC2131">
                  <w:pPr>
                    <w:pStyle w:val="TableBodyText"/>
                    <w:spacing w:after="20"/>
                  </w:pPr>
                  <w:r w:rsidRPr="00C678FC">
                    <w:t>192.6</w:t>
                  </w:r>
                </w:p>
              </w:tc>
              <w:tc>
                <w:tcPr>
                  <w:tcW w:w="964" w:type="dxa"/>
                  <w:vAlign w:val="bottom"/>
                </w:tcPr>
                <w:p w:rsidR="00AC2131" w:rsidRPr="00C678FC" w:rsidRDefault="00AC2131" w:rsidP="00AC2131">
                  <w:pPr>
                    <w:pStyle w:val="TableBodyText"/>
                    <w:spacing w:after="20"/>
                  </w:pPr>
                  <w:r w:rsidRPr="00C678FC">
                    <w:t>767.9</w:t>
                  </w:r>
                </w:p>
              </w:tc>
              <w:tc>
                <w:tcPr>
                  <w:tcW w:w="964" w:type="dxa"/>
                  <w:shd w:val="clear" w:color="auto" w:fill="F2F2F2" w:themeFill="accent4"/>
                  <w:vAlign w:val="bottom"/>
                </w:tcPr>
                <w:p w:rsidR="00AC2131" w:rsidRPr="00C678FC" w:rsidRDefault="00AC2131" w:rsidP="00AC2131">
                  <w:pPr>
                    <w:pStyle w:val="TableBodyText"/>
                    <w:spacing w:after="20"/>
                  </w:pPr>
                  <w:r w:rsidRPr="00C678FC">
                    <w:t>950.0</w:t>
                  </w:r>
                </w:p>
              </w:tc>
            </w:tr>
            <w:tr w:rsidR="00AC2131" w:rsidTr="00AC2131">
              <w:tc>
                <w:tcPr>
                  <w:tcW w:w="2721" w:type="dxa"/>
                </w:tcPr>
                <w:p w:rsidR="00AC2131" w:rsidRPr="00F22AF1" w:rsidRDefault="00AC2131" w:rsidP="00AC2131">
                  <w:pPr>
                    <w:pStyle w:val="TableBodyText"/>
                    <w:spacing w:after="20"/>
                    <w:jc w:val="left"/>
                  </w:pPr>
                  <w:r w:rsidRPr="00F22AF1">
                    <w:t xml:space="preserve">Property, professional </w:t>
                  </w:r>
                  <w:r>
                    <w:t xml:space="preserve">&amp; admin. </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-637.2</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-637.2</w:t>
                  </w:r>
                </w:p>
              </w:tc>
              <w:tc>
                <w:tcPr>
                  <w:tcW w:w="964" w:type="dxa"/>
                  <w:vAlign w:val="bottom"/>
                </w:tcPr>
                <w:p w:rsidR="00AC2131" w:rsidRPr="00C678FC" w:rsidRDefault="00AC2131" w:rsidP="00AC2131">
                  <w:pPr>
                    <w:pStyle w:val="TableBodyText"/>
                    <w:spacing w:after="20"/>
                  </w:pPr>
                  <w:r w:rsidRPr="00C678FC">
                    <w:t>430.0</w:t>
                  </w:r>
                </w:p>
              </w:tc>
              <w:tc>
                <w:tcPr>
                  <w:tcW w:w="964" w:type="dxa"/>
                  <w:vAlign w:val="bottom"/>
                </w:tcPr>
                <w:p w:rsidR="00AC2131" w:rsidRPr="00C678FC" w:rsidRDefault="00AC2131" w:rsidP="00AC2131">
                  <w:pPr>
                    <w:pStyle w:val="TableBodyText"/>
                    <w:spacing w:after="20"/>
                  </w:pPr>
                  <w:r w:rsidRPr="00C678FC">
                    <w:t>549.0</w:t>
                  </w:r>
                </w:p>
              </w:tc>
              <w:tc>
                <w:tcPr>
                  <w:tcW w:w="964" w:type="dxa"/>
                  <w:shd w:val="clear" w:color="auto" w:fill="F2F2F2" w:themeFill="accent4"/>
                  <w:vAlign w:val="bottom"/>
                </w:tcPr>
                <w:p w:rsidR="00AC2131" w:rsidRPr="00C678FC" w:rsidRDefault="00AC2131" w:rsidP="00AC2131">
                  <w:pPr>
                    <w:pStyle w:val="TableBodyText"/>
                    <w:spacing w:after="20"/>
                  </w:pPr>
                  <w:r w:rsidRPr="00C678FC">
                    <w:t>341.9</w:t>
                  </w:r>
                </w:p>
              </w:tc>
            </w:tr>
            <w:tr w:rsidR="00AC2131" w:rsidTr="00AC2131">
              <w:tc>
                <w:tcPr>
                  <w:tcW w:w="2721" w:type="dxa"/>
                </w:tcPr>
                <w:p w:rsidR="00AC2131" w:rsidRPr="00F22AF1" w:rsidRDefault="00AC2131" w:rsidP="00AC2131">
                  <w:pPr>
                    <w:pStyle w:val="TableBodyText"/>
                    <w:spacing w:after="20"/>
                    <w:jc w:val="left"/>
                  </w:pPr>
                  <w:r w:rsidRPr="00F22AF1">
                    <w:t>Public administration and safety</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-228.2</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-228.2</w:t>
                  </w:r>
                </w:p>
              </w:tc>
              <w:tc>
                <w:tcPr>
                  <w:tcW w:w="964" w:type="dxa"/>
                  <w:vAlign w:val="bottom"/>
                </w:tcPr>
                <w:p w:rsidR="00AC2131" w:rsidRPr="00C678FC" w:rsidRDefault="00AC2131" w:rsidP="00AC2131">
                  <w:pPr>
                    <w:pStyle w:val="TableBodyText"/>
                    <w:spacing w:after="20"/>
                  </w:pPr>
                  <w:r w:rsidRPr="00C678FC">
                    <w:t>6.5</w:t>
                  </w:r>
                </w:p>
              </w:tc>
              <w:tc>
                <w:tcPr>
                  <w:tcW w:w="964" w:type="dxa"/>
                  <w:vAlign w:val="bottom"/>
                </w:tcPr>
                <w:p w:rsidR="00AC2131" w:rsidRPr="00C678FC" w:rsidRDefault="00AC2131" w:rsidP="00AC2131">
                  <w:pPr>
                    <w:pStyle w:val="TableBodyText"/>
                    <w:spacing w:after="20"/>
                  </w:pPr>
                  <w:r w:rsidRPr="00C678FC">
                    <w:t>7.2</w:t>
                  </w:r>
                </w:p>
              </w:tc>
              <w:tc>
                <w:tcPr>
                  <w:tcW w:w="964" w:type="dxa"/>
                  <w:shd w:val="clear" w:color="auto" w:fill="F2F2F2" w:themeFill="accent4"/>
                  <w:vAlign w:val="bottom"/>
                </w:tcPr>
                <w:p w:rsidR="00AC2131" w:rsidRPr="00C678FC" w:rsidRDefault="00AC2131" w:rsidP="00AC2131">
                  <w:pPr>
                    <w:pStyle w:val="TableBodyText"/>
                    <w:spacing w:after="20"/>
                  </w:pPr>
                  <w:r w:rsidRPr="00C678FC">
                    <w:t>-214.4</w:t>
                  </w:r>
                </w:p>
              </w:tc>
            </w:tr>
            <w:tr w:rsidR="00AC2131" w:rsidTr="00AC2131">
              <w:tc>
                <w:tcPr>
                  <w:tcW w:w="2721" w:type="dxa"/>
                </w:tcPr>
                <w:p w:rsidR="00AC2131" w:rsidRPr="00F22AF1" w:rsidRDefault="00AC2131" w:rsidP="00AC2131">
                  <w:pPr>
                    <w:pStyle w:val="TableBodyText"/>
                    <w:spacing w:after="20"/>
                    <w:jc w:val="left"/>
                  </w:pPr>
                  <w:r w:rsidRPr="00F22AF1">
                    <w:t>Education and training</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-126.8</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-126.8</w:t>
                  </w:r>
                </w:p>
              </w:tc>
              <w:tc>
                <w:tcPr>
                  <w:tcW w:w="964" w:type="dxa"/>
                  <w:vAlign w:val="bottom"/>
                </w:tcPr>
                <w:p w:rsidR="00AC2131" w:rsidRPr="00C678FC" w:rsidRDefault="00AC2131" w:rsidP="00AC2131">
                  <w:pPr>
                    <w:pStyle w:val="TableBodyText"/>
                    <w:spacing w:after="20"/>
                  </w:pPr>
                  <w:r w:rsidRPr="00C678FC">
                    <w:t>15.6</w:t>
                  </w:r>
                </w:p>
              </w:tc>
              <w:tc>
                <w:tcPr>
                  <w:tcW w:w="964" w:type="dxa"/>
                  <w:vAlign w:val="bottom"/>
                </w:tcPr>
                <w:p w:rsidR="00AC2131" w:rsidRPr="00C678FC" w:rsidRDefault="00AC2131" w:rsidP="00AC2131">
                  <w:pPr>
                    <w:pStyle w:val="TableBodyText"/>
                    <w:spacing w:after="20"/>
                  </w:pPr>
                  <w:r w:rsidRPr="00C678FC">
                    <w:t>21.4</w:t>
                  </w:r>
                </w:p>
              </w:tc>
              <w:tc>
                <w:tcPr>
                  <w:tcW w:w="964" w:type="dxa"/>
                  <w:shd w:val="clear" w:color="auto" w:fill="F2F2F2" w:themeFill="accent4"/>
                  <w:vAlign w:val="bottom"/>
                </w:tcPr>
                <w:p w:rsidR="00AC2131" w:rsidRPr="00C678FC" w:rsidRDefault="00AC2131" w:rsidP="00AC2131">
                  <w:pPr>
                    <w:pStyle w:val="TableBodyText"/>
                    <w:spacing w:after="20"/>
                  </w:pPr>
                  <w:r w:rsidRPr="00C678FC">
                    <w:t>-89.8</w:t>
                  </w:r>
                </w:p>
              </w:tc>
            </w:tr>
            <w:tr w:rsidR="00AC2131" w:rsidTr="00AC2131">
              <w:tc>
                <w:tcPr>
                  <w:tcW w:w="2721" w:type="dxa"/>
                </w:tcPr>
                <w:p w:rsidR="00AC2131" w:rsidRPr="0008512F" w:rsidRDefault="00AC2131" w:rsidP="00AC2131">
                  <w:pPr>
                    <w:pStyle w:val="TableBodyText"/>
                    <w:spacing w:after="20"/>
                    <w:jc w:val="left"/>
                  </w:pPr>
                  <w:r w:rsidRPr="0008512F">
                    <w:t xml:space="preserve">Health care </w:t>
                  </w:r>
                  <w:r>
                    <w:t xml:space="preserve">&amp; </w:t>
                  </w:r>
                  <w:r w:rsidRPr="0008512F">
                    <w:t>social assistance</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-281.6</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-281.6</w:t>
                  </w:r>
                </w:p>
              </w:tc>
              <w:tc>
                <w:tcPr>
                  <w:tcW w:w="964" w:type="dxa"/>
                  <w:vAlign w:val="bottom"/>
                </w:tcPr>
                <w:p w:rsidR="00AC2131" w:rsidRPr="00C678FC" w:rsidRDefault="00AC2131" w:rsidP="00AC2131">
                  <w:pPr>
                    <w:pStyle w:val="TableBodyText"/>
                    <w:spacing w:after="20"/>
                  </w:pPr>
                  <w:r w:rsidRPr="00C678FC">
                    <w:t>123.9</w:t>
                  </w:r>
                </w:p>
              </w:tc>
              <w:tc>
                <w:tcPr>
                  <w:tcW w:w="964" w:type="dxa"/>
                  <w:vAlign w:val="bottom"/>
                </w:tcPr>
                <w:p w:rsidR="00AC2131" w:rsidRPr="00C678FC" w:rsidRDefault="00AC2131" w:rsidP="00AC2131">
                  <w:pPr>
                    <w:pStyle w:val="TableBodyText"/>
                    <w:spacing w:after="20"/>
                  </w:pPr>
                  <w:r w:rsidRPr="00C678FC">
                    <w:t>116.6</w:t>
                  </w:r>
                </w:p>
              </w:tc>
              <w:tc>
                <w:tcPr>
                  <w:tcW w:w="964" w:type="dxa"/>
                  <w:shd w:val="clear" w:color="auto" w:fill="F2F2F2" w:themeFill="accent4"/>
                  <w:vAlign w:val="bottom"/>
                </w:tcPr>
                <w:p w:rsidR="00AC2131" w:rsidRPr="00C678FC" w:rsidRDefault="00AC2131" w:rsidP="00AC2131">
                  <w:pPr>
                    <w:pStyle w:val="TableBodyText"/>
                    <w:spacing w:after="20"/>
                  </w:pPr>
                  <w:r w:rsidRPr="00C678FC">
                    <w:t>-41.1</w:t>
                  </w:r>
                </w:p>
              </w:tc>
            </w:tr>
            <w:tr w:rsidR="00AC2131" w:rsidTr="00AC2131">
              <w:tc>
                <w:tcPr>
                  <w:tcW w:w="2721" w:type="dxa"/>
                </w:tcPr>
                <w:p w:rsidR="00AC2131" w:rsidRPr="0008512F" w:rsidRDefault="00AC2131" w:rsidP="00AC2131">
                  <w:pPr>
                    <w:pStyle w:val="TableBodyText"/>
                    <w:spacing w:after="20"/>
                    <w:jc w:val="left"/>
                  </w:pPr>
                  <w:r w:rsidRPr="0008512F">
                    <w:t>Arts and recreation services</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-82.7</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-82.7</w:t>
                  </w:r>
                </w:p>
              </w:tc>
              <w:tc>
                <w:tcPr>
                  <w:tcW w:w="964" w:type="dxa"/>
                  <w:vAlign w:val="bottom"/>
                </w:tcPr>
                <w:p w:rsidR="00AC2131" w:rsidRPr="00C678FC" w:rsidRDefault="00AC2131" w:rsidP="00AC2131">
                  <w:pPr>
                    <w:pStyle w:val="TableBodyText"/>
                    <w:spacing w:after="20"/>
                  </w:pPr>
                  <w:r w:rsidRPr="00C678FC">
                    <w:t>125.6</w:t>
                  </w:r>
                </w:p>
              </w:tc>
              <w:tc>
                <w:tcPr>
                  <w:tcW w:w="964" w:type="dxa"/>
                  <w:vAlign w:val="bottom"/>
                </w:tcPr>
                <w:p w:rsidR="00AC2131" w:rsidRPr="00C678FC" w:rsidRDefault="00AC2131" w:rsidP="00AC2131">
                  <w:pPr>
                    <w:pStyle w:val="TableBodyText"/>
                    <w:spacing w:after="20"/>
                  </w:pPr>
                  <w:r w:rsidRPr="00C678FC">
                    <w:t>327.0</w:t>
                  </w:r>
                </w:p>
              </w:tc>
              <w:tc>
                <w:tcPr>
                  <w:tcW w:w="964" w:type="dxa"/>
                  <w:shd w:val="clear" w:color="auto" w:fill="F2F2F2" w:themeFill="accent4"/>
                  <w:vAlign w:val="bottom"/>
                </w:tcPr>
                <w:p w:rsidR="00AC2131" w:rsidRPr="00C678FC" w:rsidRDefault="00AC2131" w:rsidP="00AC2131">
                  <w:pPr>
                    <w:pStyle w:val="TableBodyText"/>
                    <w:spacing w:after="20"/>
                  </w:pPr>
                  <w:r w:rsidRPr="00C678FC">
                    <w:t>370.0</w:t>
                  </w:r>
                </w:p>
              </w:tc>
            </w:tr>
            <w:tr w:rsidR="00AC2131" w:rsidTr="00AC2131">
              <w:tc>
                <w:tcPr>
                  <w:tcW w:w="2721" w:type="dxa"/>
                </w:tcPr>
                <w:p w:rsidR="00AC2131" w:rsidRPr="0008512F" w:rsidRDefault="00AC2131" w:rsidP="00AC2131">
                  <w:pPr>
                    <w:pStyle w:val="TableBodyText"/>
                    <w:spacing w:after="20"/>
                    <w:jc w:val="left"/>
                  </w:pPr>
                  <w:r w:rsidRPr="0008512F">
                    <w:t>Other services</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rsidRPr="00EE122A">
                    <w:rPr>
                      <w:rFonts w:cs="Arial"/>
                      <w:szCs w:val="18"/>
                    </w:rPr>
                    <w:t>-298.5</w:t>
                  </w:r>
                </w:p>
              </w:tc>
              <w:tc>
                <w:tcPr>
                  <w:tcW w:w="1020" w:type="dxa"/>
                  <w:shd w:val="clear" w:color="auto" w:fill="F2F2F2" w:themeFill="accent4"/>
                  <w:vAlign w:val="bottom"/>
                </w:tcPr>
                <w:p w:rsidR="00AC2131" w:rsidRPr="00EE122A" w:rsidRDefault="00AC2131" w:rsidP="00AC2131">
                  <w:pPr>
                    <w:pStyle w:val="TableBodyText"/>
                    <w:spacing w:after="20"/>
                    <w:rPr>
                      <w:szCs w:val="18"/>
                    </w:rPr>
                  </w:pPr>
                  <w:r w:rsidRPr="00EE122A">
                    <w:rPr>
                      <w:rFonts w:cs="Arial"/>
                      <w:szCs w:val="18"/>
                    </w:rPr>
                    <w:t>-298.5</w:t>
                  </w:r>
                </w:p>
              </w:tc>
              <w:tc>
                <w:tcPr>
                  <w:tcW w:w="964" w:type="dxa"/>
                  <w:vAlign w:val="bottom"/>
                </w:tcPr>
                <w:p w:rsidR="00AC2131" w:rsidRPr="00C678FC" w:rsidRDefault="00AC2131" w:rsidP="00AC2131">
                  <w:pPr>
                    <w:pStyle w:val="TableBodyText"/>
                    <w:spacing w:after="20"/>
                  </w:pPr>
                  <w:r w:rsidRPr="00C678FC">
                    <w:t>19.7</w:t>
                  </w:r>
                </w:p>
              </w:tc>
              <w:tc>
                <w:tcPr>
                  <w:tcW w:w="964" w:type="dxa"/>
                  <w:vAlign w:val="bottom"/>
                </w:tcPr>
                <w:p w:rsidR="00AC2131" w:rsidRPr="00C678FC" w:rsidRDefault="00AC2131" w:rsidP="00AC2131">
                  <w:pPr>
                    <w:pStyle w:val="TableBodyText"/>
                    <w:spacing w:after="20"/>
                  </w:pPr>
                  <w:r w:rsidRPr="00C678FC">
                    <w:t>85.8</w:t>
                  </w:r>
                </w:p>
              </w:tc>
              <w:tc>
                <w:tcPr>
                  <w:tcW w:w="964" w:type="dxa"/>
                  <w:shd w:val="clear" w:color="auto" w:fill="F2F2F2" w:themeFill="accent4"/>
                  <w:vAlign w:val="bottom"/>
                </w:tcPr>
                <w:p w:rsidR="00AC2131" w:rsidRPr="00C678FC" w:rsidRDefault="00AC2131" w:rsidP="00AC2131">
                  <w:pPr>
                    <w:pStyle w:val="TableBodyText"/>
                    <w:spacing w:after="20"/>
                  </w:pPr>
                  <w:r w:rsidRPr="00C678FC">
                    <w:t>-193.0</w:t>
                  </w:r>
                </w:p>
              </w:tc>
            </w:tr>
            <w:tr w:rsidR="00AC2131" w:rsidTr="00AC2131">
              <w:tc>
                <w:tcPr>
                  <w:tcW w:w="2721" w:type="dxa"/>
                  <w:shd w:val="clear" w:color="auto" w:fill="auto"/>
                </w:tcPr>
                <w:p w:rsidR="00AC2131" w:rsidRPr="0008512F" w:rsidRDefault="00AC2131" w:rsidP="00AC2131">
                  <w:pPr>
                    <w:pStyle w:val="TableBodyText"/>
                    <w:spacing w:after="20"/>
                    <w:jc w:val="left"/>
                  </w:pPr>
                  <w:r w:rsidRPr="0008512F">
                    <w:t>Unallocated services</w:t>
                  </w:r>
                </w:p>
              </w:tc>
              <w:tc>
                <w:tcPr>
                  <w:tcW w:w="964" w:type="dxa"/>
                  <w:vAlign w:val="bottom"/>
                </w:tcPr>
                <w:p w:rsidR="00AC2131" w:rsidRPr="00EE122A" w:rsidRDefault="00AC2131" w:rsidP="00AC2131">
                  <w:pPr>
                    <w:pStyle w:val="TableBodyText"/>
                    <w:spacing w:after="20"/>
                    <w:rPr>
                      <w:szCs w:val="18"/>
                    </w:rPr>
                  </w:pPr>
                  <w:r>
                    <w:t>–</w:t>
                  </w:r>
                </w:p>
              </w:tc>
              <w:tc>
                <w:tcPr>
                  <w:tcW w:w="964" w:type="dxa"/>
                  <w:vAlign w:val="bottom"/>
                </w:tcPr>
                <w:p w:rsidR="00AC2131" w:rsidRPr="00EE122A" w:rsidRDefault="00AC2131" w:rsidP="00AC2131">
                  <w:pPr>
                    <w:pStyle w:val="TableBodyText"/>
                    <w:spacing w:after="20"/>
                    <w:rPr>
                      <w:szCs w:val="18"/>
                    </w:rPr>
                  </w:pPr>
                  <w:r>
                    <w:t>–</w:t>
                  </w:r>
                </w:p>
              </w:tc>
              <w:tc>
                <w:tcPr>
                  <w:tcW w:w="1020" w:type="dxa"/>
                  <w:shd w:val="clear" w:color="auto" w:fill="F2F2F2" w:themeFill="accent4"/>
                  <w:vAlign w:val="bottom"/>
                </w:tcPr>
                <w:p w:rsidR="00AC2131" w:rsidRPr="00EE122A" w:rsidRDefault="00AC2131" w:rsidP="00AC2131">
                  <w:pPr>
                    <w:pStyle w:val="TableBodyText"/>
                    <w:spacing w:after="20"/>
                    <w:rPr>
                      <w:szCs w:val="18"/>
                    </w:rPr>
                  </w:pPr>
                  <w:r>
                    <w:t>–</w:t>
                  </w:r>
                </w:p>
              </w:tc>
              <w:tc>
                <w:tcPr>
                  <w:tcW w:w="964" w:type="dxa"/>
                  <w:vAlign w:val="bottom"/>
                </w:tcPr>
                <w:p w:rsidR="00AC2131" w:rsidRPr="00C678FC" w:rsidRDefault="00AC2131" w:rsidP="00AC2131">
                  <w:pPr>
                    <w:pStyle w:val="TableBodyText"/>
                    <w:spacing w:after="20"/>
                  </w:pPr>
                  <w:r w:rsidRPr="00C678FC">
                    <w:t>156.8</w:t>
                  </w:r>
                </w:p>
              </w:tc>
              <w:tc>
                <w:tcPr>
                  <w:tcW w:w="964" w:type="dxa"/>
                  <w:shd w:val="clear" w:color="auto" w:fill="auto"/>
                  <w:vAlign w:val="bottom"/>
                </w:tcPr>
                <w:p w:rsidR="00AC2131" w:rsidRPr="00C678FC" w:rsidRDefault="00AC2131" w:rsidP="00AC2131">
                  <w:pPr>
                    <w:pStyle w:val="TableBodyText"/>
                    <w:spacing w:after="20"/>
                  </w:pPr>
                  <w:r w:rsidRPr="00C678FC">
                    <w:t>0.0</w:t>
                  </w:r>
                </w:p>
              </w:tc>
              <w:tc>
                <w:tcPr>
                  <w:tcW w:w="964" w:type="dxa"/>
                  <w:shd w:val="clear" w:color="auto" w:fill="F2F2F2" w:themeFill="accent4"/>
                  <w:vAlign w:val="bottom"/>
                </w:tcPr>
                <w:p w:rsidR="00AC2131" w:rsidRPr="00C678FC" w:rsidRDefault="00AC2131" w:rsidP="00AC2131">
                  <w:pPr>
                    <w:pStyle w:val="TableBodyText"/>
                    <w:spacing w:after="20"/>
                  </w:pPr>
                  <w:r w:rsidRPr="00C678FC">
                    <w:t>156.8</w:t>
                  </w:r>
                </w:p>
              </w:tc>
            </w:tr>
            <w:tr w:rsidR="00AC2131" w:rsidRPr="00450BD4" w:rsidTr="00AC2131">
              <w:tc>
                <w:tcPr>
                  <w:tcW w:w="2721" w:type="dxa"/>
                  <w:shd w:val="clear" w:color="auto" w:fill="auto"/>
                </w:tcPr>
                <w:p w:rsidR="00AC2131" w:rsidRPr="00450BD4" w:rsidRDefault="00AC2131" w:rsidP="00AC2131">
                  <w:pPr>
                    <w:pStyle w:val="TableBodyText"/>
                    <w:spacing w:after="30"/>
                    <w:jc w:val="left"/>
                    <w:rPr>
                      <w:b/>
                    </w:rPr>
                  </w:pPr>
                  <w:r w:rsidRPr="00450BD4">
                    <w:rPr>
                      <w:b/>
                    </w:rPr>
                    <w:t>Unallocated other</w:t>
                  </w:r>
                </w:p>
              </w:tc>
              <w:tc>
                <w:tcPr>
                  <w:tcW w:w="964" w:type="dxa"/>
                  <w:vAlign w:val="bottom"/>
                </w:tcPr>
                <w:p w:rsidR="00AC2131" w:rsidRPr="00EA4B71" w:rsidRDefault="00AC2131" w:rsidP="00AC2131">
                  <w:pPr>
                    <w:pStyle w:val="TableBodyText"/>
                    <w:spacing w:after="30"/>
                    <w:rPr>
                      <w:b/>
                      <w:szCs w:val="18"/>
                    </w:rPr>
                  </w:pPr>
                  <w:r w:rsidRPr="00DD2E84">
                    <w:rPr>
                      <w:b/>
                    </w:rPr>
                    <w:t>–</w:t>
                  </w:r>
                </w:p>
              </w:tc>
              <w:tc>
                <w:tcPr>
                  <w:tcW w:w="964" w:type="dxa"/>
                  <w:vAlign w:val="bottom"/>
                </w:tcPr>
                <w:p w:rsidR="00AC2131" w:rsidRPr="00EA4B71" w:rsidRDefault="00AC2131" w:rsidP="00AC2131">
                  <w:pPr>
                    <w:pStyle w:val="TableBodyText"/>
                    <w:spacing w:after="30"/>
                    <w:rPr>
                      <w:b/>
                      <w:szCs w:val="18"/>
                    </w:rPr>
                  </w:pPr>
                  <w:r w:rsidRPr="00DD2E84">
                    <w:rPr>
                      <w:b/>
                    </w:rPr>
                    <w:t>–</w:t>
                  </w:r>
                </w:p>
              </w:tc>
              <w:tc>
                <w:tcPr>
                  <w:tcW w:w="1020" w:type="dxa"/>
                  <w:shd w:val="clear" w:color="auto" w:fill="F2F2F2" w:themeFill="accent4"/>
                  <w:vAlign w:val="bottom"/>
                </w:tcPr>
                <w:p w:rsidR="00AC2131" w:rsidRPr="00EA4B71" w:rsidRDefault="00AC2131" w:rsidP="00AC2131">
                  <w:pPr>
                    <w:pStyle w:val="TableBodyText"/>
                    <w:spacing w:after="30"/>
                    <w:rPr>
                      <w:b/>
                      <w:szCs w:val="18"/>
                    </w:rPr>
                  </w:pPr>
                  <w:r w:rsidRPr="00EA4B71">
                    <w:rPr>
                      <w:b/>
                    </w:rPr>
                    <w:t>–</w:t>
                  </w:r>
                </w:p>
              </w:tc>
              <w:tc>
                <w:tcPr>
                  <w:tcW w:w="964" w:type="dxa"/>
                </w:tcPr>
                <w:p w:rsidR="00AC2131" w:rsidRPr="004E14E5" w:rsidRDefault="00AC2131" w:rsidP="00AC2131">
                  <w:pPr>
                    <w:pStyle w:val="TableBodyText"/>
                    <w:spacing w:after="30"/>
                    <w:rPr>
                      <w:b/>
                    </w:rPr>
                  </w:pPr>
                  <w:r w:rsidRPr="004E14E5">
                    <w:rPr>
                      <w:b/>
                    </w:rPr>
                    <w:t>437</w:t>
                  </w:r>
                  <w:r>
                    <w:rPr>
                      <w:b/>
                    </w:rPr>
                    <w:t>.4</w:t>
                  </w:r>
                </w:p>
              </w:tc>
              <w:tc>
                <w:tcPr>
                  <w:tcW w:w="964" w:type="dxa"/>
                  <w:shd w:val="clear" w:color="auto" w:fill="auto"/>
                </w:tcPr>
                <w:p w:rsidR="00AC2131" w:rsidRPr="004E14E5" w:rsidRDefault="00AC2131" w:rsidP="00AC2131">
                  <w:pPr>
                    <w:pStyle w:val="TableBodyText"/>
                    <w:spacing w:after="30"/>
                    <w:rPr>
                      <w:b/>
                    </w:rPr>
                  </w:pPr>
                  <w:r w:rsidRPr="004E14E5">
                    <w:rPr>
                      <w:b/>
                    </w:rPr>
                    <w:t>773.5</w:t>
                  </w:r>
                </w:p>
              </w:tc>
              <w:tc>
                <w:tcPr>
                  <w:tcW w:w="964" w:type="dxa"/>
                  <w:shd w:val="clear" w:color="auto" w:fill="F2F2F2" w:themeFill="accent4"/>
                </w:tcPr>
                <w:p w:rsidR="00AC2131" w:rsidRPr="004E14E5" w:rsidRDefault="00AC2131" w:rsidP="00AC2131">
                  <w:pPr>
                    <w:pStyle w:val="TableBodyText"/>
                    <w:spacing w:after="30"/>
                    <w:rPr>
                      <w:b/>
                    </w:rPr>
                  </w:pPr>
                  <w:r w:rsidRPr="004E14E5">
                    <w:rPr>
                      <w:b/>
                    </w:rPr>
                    <w:t>12</w:t>
                  </w:r>
                  <w:r>
                    <w:rPr>
                      <w:b/>
                    </w:rPr>
                    <w:t>11</w:t>
                  </w:r>
                  <w:r w:rsidRPr="004E14E5">
                    <w:rPr>
                      <w:b/>
                    </w:rPr>
                    <w:t>.</w:t>
                  </w:r>
                  <w:r>
                    <w:rPr>
                      <w:b/>
                    </w:rPr>
                    <w:t>0</w:t>
                  </w:r>
                </w:p>
              </w:tc>
            </w:tr>
            <w:tr w:rsidR="00AC2131" w:rsidRPr="00450BD4" w:rsidTr="00AC2131">
              <w:tc>
                <w:tcPr>
                  <w:tcW w:w="2721" w:type="dxa"/>
                  <w:tcBorders>
                    <w:bottom w:val="single" w:sz="6" w:space="0" w:color="BFBFBF"/>
                  </w:tcBorders>
                  <w:shd w:val="clear" w:color="auto" w:fill="auto"/>
                </w:tcPr>
                <w:p w:rsidR="00AC2131" w:rsidRPr="00450BD4" w:rsidRDefault="00AC2131" w:rsidP="00AC2131">
                  <w:pPr>
                    <w:pStyle w:val="TableBodyText"/>
                    <w:spacing w:after="30"/>
                    <w:jc w:val="left"/>
                    <w:rPr>
                      <w:b/>
                      <w:szCs w:val="18"/>
                    </w:rPr>
                  </w:pPr>
                  <w:r w:rsidRPr="00450BD4">
                    <w:rPr>
                      <w:b/>
                      <w:szCs w:val="18"/>
                    </w:rPr>
                    <w:t>Total</w:t>
                  </w:r>
                </w:p>
              </w:tc>
              <w:tc>
                <w:tcPr>
                  <w:tcW w:w="964" w:type="dxa"/>
                  <w:tcBorders>
                    <w:bottom w:val="single" w:sz="6" w:space="0" w:color="BFBFBF"/>
                  </w:tcBorders>
                  <w:vAlign w:val="bottom"/>
                </w:tcPr>
                <w:p w:rsidR="00AC2131" w:rsidRPr="00EA4B71" w:rsidRDefault="00AC2131" w:rsidP="00AC2131">
                  <w:pPr>
                    <w:pStyle w:val="TableBodyText"/>
                    <w:spacing w:after="30"/>
                    <w:rPr>
                      <w:b/>
                      <w:szCs w:val="18"/>
                    </w:rPr>
                  </w:pPr>
                  <w:r w:rsidRPr="00EA4B71">
                    <w:rPr>
                      <w:rFonts w:cs="Arial"/>
                      <w:b/>
                      <w:bCs/>
                      <w:szCs w:val="18"/>
                    </w:rPr>
                    <w:t>7920.0</w:t>
                  </w:r>
                </w:p>
              </w:tc>
              <w:tc>
                <w:tcPr>
                  <w:tcW w:w="964" w:type="dxa"/>
                  <w:tcBorders>
                    <w:bottom w:val="single" w:sz="6" w:space="0" w:color="BFBFBF"/>
                  </w:tcBorders>
                  <w:vAlign w:val="bottom"/>
                </w:tcPr>
                <w:p w:rsidR="00AC2131" w:rsidRPr="00EA4B71" w:rsidRDefault="00AC2131" w:rsidP="00AC2131">
                  <w:pPr>
                    <w:pStyle w:val="TableBodyText"/>
                    <w:spacing w:after="30"/>
                    <w:rPr>
                      <w:b/>
                      <w:szCs w:val="18"/>
                    </w:rPr>
                  </w:pPr>
                  <w:r w:rsidRPr="00EA4B71">
                    <w:rPr>
                      <w:rFonts w:cs="Arial"/>
                      <w:b/>
                      <w:bCs/>
                      <w:szCs w:val="18"/>
                    </w:rPr>
                    <w:t>-7321.5</w:t>
                  </w:r>
                </w:p>
              </w:tc>
              <w:tc>
                <w:tcPr>
                  <w:tcW w:w="1020" w:type="dxa"/>
                  <w:tcBorders>
                    <w:bottom w:val="single" w:sz="6" w:space="0" w:color="BFBFBF"/>
                  </w:tcBorders>
                  <w:shd w:val="clear" w:color="auto" w:fill="F2F2F2" w:themeFill="accent4"/>
                  <w:vAlign w:val="bottom"/>
                </w:tcPr>
                <w:p w:rsidR="00AC2131" w:rsidRPr="00EA4B71" w:rsidRDefault="00AC2131" w:rsidP="00AC2131">
                  <w:pPr>
                    <w:pStyle w:val="TableBodyText"/>
                    <w:spacing w:after="30"/>
                    <w:rPr>
                      <w:b/>
                      <w:szCs w:val="18"/>
                    </w:rPr>
                  </w:pPr>
                  <w:r w:rsidRPr="00EA4B71">
                    <w:rPr>
                      <w:rFonts w:cs="Arial"/>
                      <w:b/>
                      <w:bCs/>
                      <w:szCs w:val="18"/>
                    </w:rPr>
                    <w:t>598.5</w:t>
                  </w:r>
                </w:p>
              </w:tc>
              <w:tc>
                <w:tcPr>
                  <w:tcW w:w="964" w:type="dxa"/>
                  <w:tcBorders>
                    <w:bottom w:val="single" w:sz="6" w:space="0" w:color="BFBFBF"/>
                  </w:tcBorders>
                </w:tcPr>
                <w:p w:rsidR="00AC2131" w:rsidRPr="004E14E5" w:rsidRDefault="00AC2131" w:rsidP="00AC2131">
                  <w:pPr>
                    <w:pStyle w:val="TableBodyText"/>
                    <w:spacing w:after="30"/>
                    <w:rPr>
                      <w:b/>
                    </w:rPr>
                  </w:pPr>
                  <w:r w:rsidRPr="004E14E5">
                    <w:rPr>
                      <w:b/>
                    </w:rPr>
                    <w:t>4132.6</w:t>
                  </w:r>
                </w:p>
              </w:tc>
              <w:tc>
                <w:tcPr>
                  <w:tcW w:w="964" w:type="dxa"/>
                  <w:tcBorders>
                    <w:bottom w:val="single" w:sz="6" w:space="0" w:color="BFBFBF"/>
                  </w:tcBorders>
                  <w:shd w:val="clear" w:color="auto" w:fill="auto"/>
                </w:tcPr>
                <w:p w:rsidR="00AC2131" w:rsidRPr="004E14E5" w:rsidRDefault="00AC2131" w:rsidP="00AC2131">
                  <w:pPr>
                    <w:pStyle w:val="TableBodyText"/>
                    <w:spacing w:after="30"/>
                    <w:rPr>
                      <w:b/>
                    </w:rPr>
                  </w:pPr>
                  <w:r w:rsidRPr="004E14E5">
                    <w:rPr>
                      <w:b/>
                    </w:rPr>
                    <w:t>4955.8</w:t>
                  </w:r>
                </w:p>
              </w:tc>
              <w:tc>
                <w:tcPr>
                  <w:tcW w:w="964" w:type="dxa"/>
                  <w:tcBorders>
                    <w:bottom w:val="single" w:sz="6" w:space="0" w:color="BFBFBF"/>
                  </w:tcBorders>
                  <w:shd w:val="clear" w:color="auto" w:fill="F2F2F2" w:themeFill="accent4"/>
                </w:tcPr>
                <w:p w:rsidR="00AC2131" w:rsidRPr="004E14E5" w:rsidRDefault="00AC2131" w:rsidP="00AC2131">
                  <w:pPr>
                    <w:pStyle w:val="TableBodyText"/>
                    <w:spacing w:after="30"/>
                    <w:rPr>
                      <w:b/>
                    </w:rPr>
                  </w:pPr>
                  <w:r w:rsidRPr="004E14E5">
                    <w:rPr>
                      <w:b/>
                    </w:rPr>
                    <w:t>9686.9</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Pr="00CE67F8" w:rsidRDefault="00AC2131" w:rsidP="00AC2131">
            <w:pPr>
              <w:pStyle w:val="Note"/>
              <w:spacing w:before="40"/>
            </w:pPr>
            <w:r>
              <w:t>– Nil.</w:t>
            </w:r>
            <w:r w:rsidRPr="008E77FE">
              <w:rPr>
                <w:rStyle w:val="NoteLabel"/>
              </w:rPr>
              <w:t>a</w:t>
            </w:r>
            <w:r>
              <w:t> Read in conjunction with notes to tables 5.1 and 5.4.</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spacing w:before="40"/>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3"/>
      </w:pPr>
      <w:r>
        <w:lastRenderedPageBreak/>
        <w:t>Estimated effective rates of combined assistance by industry grouping</w:t>
      </w:r>
    </w:p>
    <w:p w:rsidR="00AC2131" w:rsidRDefault="00AC2131" w:rsidP="00AC2131">
      <w:pPr>
        <w:pStyle w:val="BodyText"/>
      </w:pPr>
      <w:r>
        <w:t>As noted, the effective rate of assistance (ERA) measures the net combined assistance to a particular industry in proportion to that industry’s unassisted net output (value added). It provides an indication of the extent to which assistance to an industry enables it to attract and hold economic resources relative to other sectors.</w:t>
      </w:r>
    </w:p>
    <w:p w:rsidR="00AC2131" w:rsidRDefault="00AC2131" w:rsidP="00AC2131">
      <w:pPr>
        <w:pStyle w:val="BodyText"/>
      </w:pPr>
      <w:r w:rsidRPr="004710F2">
        <w:t>For the manufacturing sector, the estimated effective rate of assistance was 4.</w:t>
      </w:r>
      <w:r>
        <w:t>3 </w:t>
      </w:r>
      <w:r w:rsidRPr="004710F2">
        <w:t>per</w:t>
      </w:r>
      <w:r>
        <w:t> </w:t>
      </w:r>
      <w:r w:rsidRPr="004710F2">
        <w:t>cent in 201</w:t>
      </w:r>
      <w:r>
        <w:t>3</w:t>
      </w:r>
      <w:r>
        <w:noBreakHyphen/>
      </w:r>
      <w:r w:rsidRPr="004710F2">
        <w:t>1</w:t>
      </w:r>
      <w:r>
        <w:t>4</w:t>
      </w:r>
      <w:r w:rsidRPr="004710F2">
        <w:t>, in line with the estimate for previous years (table</w:t>
      </w:r>
      <w:r>
        <w:t> 5.6</w:t>
      </w:r>
      <w:r w:rsidRPr="004710F2">
        <w:t xml:space="preserve">). The effective rate for the </w:t>
      </w:r>
      <w:r w:rsidRPr="00154181">
        <w:t>primary sector in 2013</w:t>
      </w:r>
      <w:r w:rsidRPr="00154181">
        <w:noBreakHyphen/>
        <w:t>14 was 2.</w:t>
      </w:r>
      <w:r>
        <w:t>8</w:t>
      </w:r>
      <w:r w:rsidRPr="00154181">
        <w:t> per cent, down from 4.7 per cent in 2008</w:t>
      </w:r>
      <w:r w:rsidRPr="00154181">
        <w:noBreakHyphen/>
        <w:t>09 —</w:t>
      </w:r>
      <w:r>
        <w:t xml:space="preserve"> largely </w:t>
      </w:r>
      <w:r w:rsidRPr="00154181">
        <w:t xml:space="preserve">reflecting </w:t>
      </w:r>
      <w:r>
        <w:t xml:space="preserve">the decline in </w:t>
      </w:r>
      <w:r w:rsidRPr="00154181">
        <w:t>assistance afforded</w:t>
      </w:r>
      <w:r>
        <w:t xml:space="preserve"> through </w:t>
      </w:r>
      <w:r w:rsidRPr="00154181">
        <w:t>drought relief</w:t>
      </w:r>
      <w:r>
        <w:t xml:space="preserve"> to 2012</w:t>
      </w:r>
      <w:r>
        <w:noBreakHyphen/>
        <w:t>13 following the easing of drought conditions</w:t>
      </w:r>
      <w:r w:rsidRPr="00154181">
        <w:t xml:space="preserve">. </w:t>
      </w:r>
      <w:r>
        <w:t>The fractional increase in the effective rate of assistance to primary production from 2012</w:t>
      </w:r>
      <w:r>
        <w:noBreakHyphen/>
        <w:t xml:space="preserve">13 was mainly due to an increase in effective assistance to </w:t>
      </w:r>
      <w:r w:rsidRPr="00CE67F8">
        <w:rPr>
          <w:i/>
        </w:rPr>
        <w:t>Sheep, cattle and grain farming</w:t>
      </w:r>
      <w:r>
        <w:t xml:space="preserve"> which outweighed the decline for </w:t>
      </w:r>
      <w:r w:rsidRPr="00CE67F8">
        <w:rPr>
          <w:i/>
        </w:rPr>
        <w:t>Forestry and logging</w:t>
      </w:r>
      <w:r>
        <w:t xml:space="preserve"> (discussed below).</w:t>
      </w:r>
      <w:r>
        <w:rPr>
          <w:rStyle w:val="FootnoteReference"/>
        </w:rPr>
        <w:footnoteReference w:id="47"/>
      </w:r>
      <w:r>
        <w:t xml:space="preserve"> </w:t>
      </w:r>
      <w:r w:rsidRPr="00154181">
        <w:t xml:space="preserve">The estimated effective rate of assistance from tariff and budgetary assistance for </w:t>
      </w:r>
      <w:r w:rsidRPr="00CE67F8">
        <w:rPr>
          <w:i/>
        </w:rPr>
        <w:t>Mining</w:t>
      </w:r>
      <w:r w:rsidRPr="00154181">
        <w:t xml:space="preserve"> is negligible.</w:t>
      </w:r>
      <w:r>
        <w:t xml:space="preserve"> </w:t>
      </w:r>
    </w:p>
    <w:p w:rsidR="00AC2131" w:rsidRDefault="00AC2131" w:rsidP="00AC2131">
      <w:pPr>
        <w:pStyle w:val="Heading4"/>
      </w:pPr>
      <w:r>
        <w:t>Textiles, leather, clothing and footwear and Motor vehicles and parts</w:t>
      </w:r>
    </w:p>
    <w:p w:rsidR="00AC2131" w:rsidRDefault="00AC2131" w:rsidP="00AC2131">
      <w:pPr>
        <w:pStyle w:val="BodyText"/>
      </w:pPr>
      <w:r w:rsidRPr="004710F2">
        <w:t xml:space="preserve">The </w:t>
      </w:r>
      <w:r w:rsidRPr="00BD24C0">
        <w:rPr>
          <w:i/>
        </w:rPr>
        <w:t>Textiles, leather, clothing and footwear</w:t>
      </w:r>
      <w:r w:rsidRPr="004710F2">
        <w:t xml:space="preserve"> and </w:t>
      </w:r>
      <w:r w:rsidRPr="00BD24C0">
        <w:rPr>
          <w:i/>
        </w:rPr>
        <w:t>Motor vehicle</w:t>
      </w:r>
      <w:r>
        <w:rPr>
          <w:i/>
        </w:rPr>
        <w:t>s</w:t>
      </w:r>
      <w:r w:rsidRPr="00BD24C0">
        <w:rPr>
          <w:i/>
        </w:rPr>
        <w:t xml:space="preserve"> and parts</w:t>
      </w:r>
      <w:r w:rsidRPr="004710F2">
        <w:t xml:space="preserve"> industry groupings continue to have higher effective rates of combined assistance than other manufacturing activities</w:t>
      </w:r>
      <w:r>
        <w:t>, 8 per cent and 8.4 per cent, respectively</w:t>
      </w:r>
      <w:r w:rsidRPr="004710F2">
        <w:t>. While remaining relatively high, the estimated effective rates of assistance to both industry groups have declined significantly over recent decades following substantial reductions in tariff rates and the removal of import quotas.</w:t>
      </w:r>
      <w:r>
        <w:rPr>
          <w:rStyle w:val="FootnoteReference"/>
        </w:rPr>
        <w:footnoteReference w:id="48"/>
      </w:r>
      <w:r w:rsidRPr="004710F2">
        <w:t xml:space="preserve"> Effective rates of assistance for these industries have also declined significantly since 2008</w:t>
      </w:r>
      <w:r>
        <w:noBreakHyphen/>
      </w:r>
      <w:r w:rsidRPr="004710F2">
        <w:t xml:space="preserve">09, </w:t>
      </w:r>
      <w:r>
        <w:t xml:space="preserve">from 13.8 per cent and 13.1 per cent, respectively, </w:t>
      </w:r>
      <w:r w:rsidRPr="004710F2">
        <w:t>following the legislated tariff cuts in January</w:t>
      </w:r>
      <w:r>
        <w:t> </w:t>
      </w:r>
      <w:r w:rsidRPr="004710F2">
        <w:t xml:space="preserve">2010 and net reductions in budgetary assistance following the closure of the Automotive Competitiveness and Investment Scheme and introduction of </w:t>
      </w:r>
      <w:r>
        <w:t>the less generous Automotive Transformation Scheme in 2010</w:t>
      </w:r>
      <w:r>
        <w:noBreakHyphen/>
        <w:t>11</w:t>
      </w:r>
      <w:r w:rsidRPr="004710F2">
        <w:t>.</w:t>
      </w:r>
      <w:r>
        <w:t xml:space="preserve">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 xml:space="preserve">Table </w:t>
            </w:r>
            <w:bookmarkStart w:id="14" w:name="OLE_LINK15"/>
            <w:r>
              <w:rPr>
                <w:b w:val="0"/>
              </w:rPr>
              <w:t>5.</w:t>
            </w:r>
            <w:r>
              <w:rPr>
                <w:b w:val="0"/>
                <w:noProof/>
              </w:rPr>
              <w:t>6</w:t>
            </w:r>
            <w:bookmarkEnd w:id="14"/>
            <w:r>
              <w:tab/>
              <w:t>Effective rate of combined assistance by industry grouping, 2008</w:t>
            </w:r>
            <w:r>
              <w:noBreakHyphen/>
              <w:t>09 to 2013</w:t>
            </w:r>
            <w:r>
              <w:noBreakHyphen/>
              <w:t>14</w:t>
            </w:r>
            <w:r w:rsidRPr="00B46C2D">
              <w:rPr>
                <w:rStyle w:val="NoteLabel"/>
              </w:rPr>
              <w:t>a</w:t>
            </w:r>
          </w:p>
          <w:p w:rsidR="00AC2131" w:rsidRPr="00784A05" w:rsidRDefault="00AC2131" w:rsidP="00AC2131">
            <w:pPr>
              <w:pStyle w:val="Subtitle"/>
            </w:pPr>
            <w:r>
              <w:t>per cent</w:t>
            </w:r>
          </w:p>
        </w:tc>
      </w:tr>
      <w:tr w:rsidR="00AC2131" w:rsidTr="00AC2131">
        <w:trPr>
          <w:cantSplit/>
        </w:trPr>
        <w:tc>
          <w:tcPr>
            <w:tcW w:w="8771" w:type="dxa"/>
            <w:tcBorders>
              <w:top w:val="nil"/>
              <w:left w:val="nil"/>
              <w:bottom w:val="nil"/>
              <w:right w:val="nil"/>
            </w:tcBorders>
            <w:shd w:val="clear" w:color="auto" w:fill="auto"/>
          </w:tcPr>
          <w:tbl>
            <w:tblPr>
              <w:tblW w:w="8505" w:type="dxa"/>
              <w:tblLayout w:type="fixed"/>
              <w:tblCellMar>
                <w:top w:w="28" w:type="dxa"/>
                <w:left w:w="0" w:type="dxa"/>
                <w:right w:w="0" w:type="dxa"/>
              </w:tblCellMar>
              <w:tblLook w:val="0000" w:firstRow="0" w:lastRow="0" w:firstColumn="0" w:lastColumn="0" w:noHBand="0" w:noVBand="0"/>
            </w:tblPr>
            <w:tblGrid>
              <w:gridCol w:w="2721"/>
              <w:gridCol w:w="964"/>
              <w:gridCol w:w="964"/>
              <w:gridCol w:w="964"/>
              <w:gridCol w:w="964"/>
              <w:gridCol w:w="964"/>
              <w:gridCol w:w="964"/>
            </w:tblGrid>
            <w:tr w:rsidR="00AC2131" w:rsidTr="00AC2131">
              <w:tc>
                <w:tcPr>
                  <w:tcW w:w="2721" w:type="dxa"/>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964" w:type="dxa"/>
                  <w:tcBorders>
                    <w:top w:val="single" w:sz="6" w:space="0" w:color="BFBFBF"/>
                    <w:bottom w:val="single" w:sz="6" w:space="0" w:color="BFBFBF"/>
                  </w:tcBorders>
                </w:tcPr>
                <w:p w:rsidR="00AC2131" w:rsidRDefault="00AC2131" w:rsidP="00AC2131">
                  <w:pPr>
                    <w:pStyle w:val="TableColumnHeading"/>
                  </w:pPr>
                  <w:r>
                    <w:t>2008-09</w:t>
                  </w:r>
                </w:p>
              </w:tc>
              <w:tc>
                <w:tcPr>
                  <w:tcW w:w="964" w:type="dxa"/>
                  <w:tcBorders>
                    <w:top w:val="single" w:sz="6" w:space="0" w:color="BFBFBF"/>
                    <w:bottom w:val="single" w:sz="6" w:space="0" w:color="BFBFBF"/>
                  </w:tcBorders>
                </w:tcPr>
                <w:p w:rsidR="00AC2131" w:rsidRDefault="00AC2131" w:rsidP="00AC2131">
                  <w:pPr>
                    <w:pStyle w:val="TableColumnHeading"/>
                  </w:pPr>
                  <w:r>
                    <w:t>2009-10</w:t>
                  </w:r>
                </w:p>
              </w:tc>
              <w:tc>
                <w:tcPr>
                  <w:tcW w:w="964" w:type="dxa"/>
                  <w:tcBorders>
                    <w:top w:val="single" w:sz="6" w:space="0" w:color="BFBFBF"/>
                    <w:bottom w:val="single" w:sz="6" w:space="0" w:color="BFBFBF"/>
                  </w:tcBorders>
                </w:tcPr>
                <w:p w:rsidR="00AC2131" w:rsidRDefault="00AC2131" w:rsidP="00AC2131">
                  <w:pPr>
                    <w:pStyle w:val="TableColumnHeading"/>
                  </w:pPr>
                  <w:r>
                    <w:t>2010-11</w:t>
                  </w:r>
                </w:p>
              </w:tc>
              <w:tc>
                <w:tcPr>
                  <w:tcW w:w="964" w:type="dxa"/>
                  <w:tcBorders>
                    <w:top w:val="single" w:sz="6" w:space="0" w:color="BFBFBF"/>
                    <w:bottom w:val="single" w:sz="6" w:space="0" w:color="BFBFBF"/>
                  </w:tcBorders>
                </w:tcPr>
                <w:p w:rsidR="00AC2131" w:rsidRDefault="00AC2131" w:rsidP="00AC2131">
                  <w:pPr>
                    <w:pStyle w:val="TableColumnHeading"/>
                  </w:pPr>
                  <w:r>
                    <w:t>2011-12</w:t>
                  </w:r>
                </w:p>
              </w:tc>
              <w:tc>
                <w:tcPr>
                  <w:tcW w:w="964" w:type="dxa"/>
                  <w:tcBorders>
                    <w:top w:val="single" w:sz="6" w:space="0" w:color="BFBFBF"/>
                    <w:bottom w:val="single" w:sz="6" w:space="0" w:color="BFBFBF"/>
                  </w:tcBorders>
                  <w:shd w:val="clear" w:color="auto" w:fill="auto"/>
                  <w:tcMar>
                    <w:top w:w="28" w:type="dxa"/>
                  </w:tcMar>
                </w:tcPr>
                <w:p w:rsidR="00AC2131" w:rsidRDefault="00AC2131" w:rsidP="00AC2131">
                  <w:pPr>
                    <w:pStyle w:val="TableColumnHeading"/>
                  </w:pPr>
                  <w:r>
                    <w:t>2012-13</w:t>
                  </w:r>
                </w:p>
              </w:tc>
              <w:tc>
                <w:tcPr>
                  <w:tcW w:w="964" w:type="dxa"/>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right="28"/>
                  </w:pPr>
                  <w:r>
                    <w:t>2013-14</w:t>
                  </w:r>
                </w:p>
              </w:tc>
            </w:tr>
            <w:tr w:rsidR="00AC2131" w:rsidRPr="00BA3B01" w:rsidTr="00AC2131">
              <w:tc>
                <w:tcPr>
                  <w:tcW w:w="2721" w:type="dxa"/>
                </w:tcPr>
                <w:p w:rsidR="00AC2131" w:rsidRPr="00BA3B01" w:rsidRDefault="00AC2131" w:rsidP="00AC2131">
                  <w:pPr>
                    <w:pStyle w:val="TableBodyText"/>
                    <w:spacing w:before="40"/>
                    <w:jc w:val="left"/>
                    <w:rPr>
                      <w:b/>
                    </w:rPr>
                  </w:pPr>
                  <w:r w:rsidRPr="00BA3B01">
                    <w:rPr>
                      <w:b/>
                    </w:rPr>
                    <w:t>Primary production</w:t>
                  </w:r>
                  <w:r w:rsidRPr="00BA3B01">
                    <w:rPr>
                      <w:rStyle w:val="NoteLabel"/>
                    </w:rPr>
                    <w:t>b</w:t>
                  </w:r>
                </w:p>
              </w:tc>
              <w:tc>
                <w:tcPr>
                  <w:tcW w:w="964" w:type="dxa"/>
                  <w:vAlign w:val="center"/>
                </w:tcPr>
                <w:p w:rsidR="00AC2131" w:rsidRPr="007A4636" w:rsidRDefault="00AC2131" w:rsidP="00AC2131">
                  <w:pPr>
                    <w:pStyle w:val="TableBodyText"/>
                    <w:rPr>
                      <w:b/>
                    </w:rPr>
                  </w:pPr>
                  <w:r w:rsidRPr="007A4636">
                    <w:rPr>
                      <w:b/>
                    </w:rPr>
                    <w:t>4.7</w:t>
                  </w:r>
                </w:p>
              </w:tc>
              <w:tc>
                <w:tcPr>
                  <w:tcW w:w="964" w:type="dxa"/>
                  <w:vAlign w:val="center"/>
                </w:tcPr>
                <w:p w:rsidR="00AC2131" w:rsidRPr="007A4636" w:rsidRDefault="00AC2131" w:rsidP="00AC2131">
                  <w:pPr>
                    <w:pStyle w:val="TableBodyText"/>
                    <w:rPr>
                      <w:b/>
                    </w:rPr>
                  </w:pPr>
                  <w:r w:rsidRPr="007A4636">
                    <w:rPr>
                      <w:b/>
                    </w:rPr>
                    <w:t>4.8</w:t>
                  </w:r>
                </w:p>
              </w:tc>
              <w:tc>
                <w:tcPr>
                  <w:tcW w:w="964" w:type="dxa"/>
                  <w:vAlign w:val="center"/>
                </w:tcPr>
                <w:p w:rsidR="00AC2131" w:rsidRPr="007A4636" w:rsidRDefault="00AC2131" w:rsidP="00AC2131">
                  <w:pPr>
                    <w:pStyle w:val="TableBodyText"/>
                    <w:rPr>
                      <w:b/>
                    </w:rPr>
                  </w:pPr>
                  <w:r w:rsidRPr="007A4636">
                    <w:rPr>
                      <w:b/>
                    </w:rPr>
                    <w:t>3.6</w:t>
                  </w:r>
                </w:p>
              </w:tc>
              <w:tc>
                <w:tcPr>
                  <w:tcW w:w="964" w:type="dxa"/>
                  <w:vAlign w:val="center"/>
                </w:tcPr>
                <w:p w:rsidR="00AC2131" w:rsidRPr="007A4636" w:rsidRDefault="00AC2131" w:rsidP="00AC2131">
                  <w:pPr>
                    <w:pStyle w:val="TableBodyText"/>
                    <w:rPr>
                      <w:b/>
                    </w:rPr>
                  </w:pPr>
                  <w:r w:rsidRPr="007A4636">
                    <w:rPr>
                      <w:b/>
                    </w:rPr>
                    <w:t>3.4</w:t>
                  </w:r>
                </w:p>
              </w:tc>
              <w:tc>
                <w:tcPr>
                  <w:tcW w:w="964" w:type="dxa"/>
                  <w:vAlign w:val="center"/>
                </w:tcPr>
                <w:p w:rsidR="00AC2131" w:rsidRPr="007A4636" w:rsidRDefault="00AC2131" w:rsidP="00AC2131">
                  <w:pPr>
                    <w:pStyle w:val="TableBodyText"/>
                    <w:rPr>
                      <w:b/>
                    </w:rPr>
                  </w:pPr>
                  <w:r w:rsidRPr="007A4636">
                    <w:rPr>
                      <w:b/>
                    </w:rPr>
                    <w:t>2.7</w:t>
                  </w:r>
                </w:p>
              </w:tc>
              <w:tc>
                <w:tcPr>
                  <w:tcW w:w="964" w:type="dxa"/>
                  <w:vAlign w:val="center"/>
                </w:tcPr>
                <w:p w:rsidR="00AC2131" w:rsidRPr="007A4636" w:rsidRDefault="00AC2131" w:rsidP="00AC2131">
                  <w:pPr>
                    <w:pStyle w:val="TableBodyText"/>
                    <w:rPr>
                      <w:b/>
                    </w:rPr>
                  </w:pPr>
                  <w:r w:rsidRPr="007A4636">
                    <w:rPr>
                      <w:b/>
                    </w:rPr>
                    <w:t>2.</w:t>
                  </w:r>
                  <w:r>
                    <w:rPr>
                      <w:b/>
                    </w:rPr>
                    <w:t>8</w:t>
                  </w:r>
                </w:p>
              </w:tc>
            </w:tr>
            <w:tr w:rsidR="00AC2131" w:rsidTr="00AC2131">
              <w:tc>
                <w:tcPr>
                  <w:tcW w:w="2721" w:type="dxa"/>
                </w:tcPr>
                <w:p w:rsidR="00AC2131" w:rsidRPr="00284C93" w:rsidRDefault="00AC2131" w:rsidP="00AC2131">
                  <w:pPr>
                    <w:pStyle w:val="TableBodyText"/>
                    <w:jc w:val="left"/>
                  </w:pPr>
                  <w:r w:rsidRPr="00284C93">
                    <w:t>Horticulture and fruit growing</w:t>
                  </w:r>
                </w:p>
              </w:tc>
              <w:tc>
                <w:tcPr>
                  <w:tcW w:w="964" w:type="dxa"/>
                  <w:vAlign w:val="center"/>
                </w:tcPr>
                <w:p w:rsidR="00AC2131" w:rsidRDefault="00AC2131" w:rsidP="00AC2131">
                  <w:pPr>
                    <w:pStyle w:val="TableBodyText"/>
                  </w:pPr>
                  <w:r>
                    <w:t>4.4</w:t>
                  </w:r>
                </w:p>
              </w:tc>
              <w:tc>
                <w:tcPr>
                  <w:tcW w:w="964" w:type="dxa"/>
                  <w:vAlign w:val="center"/>
                </w:tcPr>
                <w:p w:rsidR="00AC2131" w:rsidRDefault="00AC2131" w:rsidP="00AC2131">
                  <w:pPr>
                    <w:pStyle w:val="TableBodyText"/>
                  </w:pPr>
                  <w:r>
                    <w:t>3.5</w:t>
                  </w:r>
                </w:p>
              </w:tc>
              <w:tc>
                <w:tcPr>
                  <w:tcW w:w="964" w:type="dxa"/>
                  <w:vAlign w:val="center"/>
                </w:tcPr>
                <w:p w:rsidR="00AC2131" w:rsidRDefault="00AC2131" w:rsidP="00AC2131">
                  <w:pPr>
                    <w:pStyle w:val="TableBodyText"/>
                  </w:pPr>
                  <w:r>
                    <w:t>3.0</w:t>
                  </w:r>
                </w:p>
              </w:tc>
              <w:tc>
                <w:tcPr>
                  <w:tcW w:w="964" w:type="dxa"/>
                  <w:vAlign w:val="center"/>
                </w:tcPr>
                <w:p w:rsidR="00AC2131" w:rsidRDefault="00AC2131" w:rsidP="00AC2131">
                  <w:pPr>
                    <w:pStyle w:val="TableBodyText"/>
                  </w:pPr>
                  <w:r>
                    <w:t>2.8</w:t>
                  </w:r>
                </w:p>
              </w:tc>
              <w:tc>
                <w:tcPr>
                  <w:tcW w:w="964" w:type="dxa"/>
                  <w:vAlign w:val="center"/>
                </w:tcPr>
                <w:p w:rsidR="00AC2131" w:rsidRDefault="00AC2131" w:rsidP="00AC2131">
                  <w:pPr>
                    <w:pStyle w:val="TableBodyText"/>
                  </w:pPr>
                  <w:r>
                    <w:t>2.7</w:t>
                  </w:r>
                </w:p>
              </w:tc>
              <w:tc>
                <w:tcPr>
                  <w:tcW w:w="964" w:type="dxa"/>
                  <w:vAlign w:val="center"/>
                </w:tcPr>
                <w:p w:rsidR="00AC2131" w:rsidRDefault="00AC2131" w:rsidP="00AC2131">
                  <w:pPr>
                    <w:pStyle w:val="TableBodyText"/>
                  </w:pPr>
                  <w:r>
                    <w:t>2.8</w:t>
                  </w:r>
                </w:p>
              </w:tc>
            </w:tr>
            <w:tr w:rsidR="00AC2131" w:rsidTr="00AC2131">
              <w:tc>
                <w:tcPr>
                  <w:tcW w:w="2721" w:type="dxa"/>
                </w:tcPr>
                <w:p w:rsidR="00AC2131" w:rsidRPr="00284C93" w:rsidRDefault="00AC2131" w:rsidP="00AC2131">
                  <w:pPr>
                    <w:pStyle w:val="TableBodyText"/>
                    <w:jc w:val="left"/>
                  </w:pPr>
                  <w:r w:rsidRPr="00284C93">
                    <w:t>Sheep, cattle and grain farming</w:t>
                  </w:r>
                </w:p>
              </w:tc>
              <w:tc>
                <w:tcPr>
                  <w:tcW w:w="964" w:type="dxa"/>
                  <w:vAlign w:val="center"/>
                </w:tcPr>
                <w:p w:rsidR="00AC2131" w:rsidRDefault="00AC2131" w:rsidP="00AC2131">
                  <w:pPr>
                    <w:pStyle w:val="TableBodyText"/>
                  </w:pPr>
                  <w:r>
                    <w:t>6.3</w:t>
                  </w:r>
                </w:p>
              </w:tc>
              <w:tc>
                <w:tcPr>
                  <w:tcW w:w="964" w:type="dxa"/>
                  <w:vAlign w:val="center"/>
                </w:tcPr>
                <w:p w:rsidR="00AC2131" w:rsidRDefault="00AC2131" w:rsidP="00AC2131">
                  <w:pPr>
                    <w:pStyle w:val="TableBodyText"/>
                  </w:pPr>
                  <w:r>
                    <w:t>6.6</w:t>
                  </w:r>
                </w:p>
              </w:tc>
              <w:tc>
                <w:tcPr>
                  <w:tcW w:w="964" w:type="dxa"/>
                  <w:vAlign w:val="center"/>
                </w:tcPr>
                <w:p w:rsidR="00AC2131" w:rsidRDefault="00AC2131" w:rsidP="00AC2131">
                  <w:pPr>
                    <w:pStyle w:val="TableBodyText"/>
                  </w:pPr>
                  <w:r>
                    <w:t>4.2</w:t>
                  </w:r>
                </w:p>
              </w:tc>
              <w:tc>
                <w:tcPr>
                  <w:tcW w:w="964" w:type="dxa"/>
                  <w:vAlign w:val="center"/>
                </w:tcPr>
                <w:p w:rsidR="00AC2131" w:rsidRDefault="00AC2131" w:rsidP="00AC2131">
                  <w:pPr>
                    <w:pStyle w:val="TableBodyText"/>
                  </w:pPr>
                  <w:r>
                    <w:t>3.2</w:t>
                  </w:r>
                </w:p>
              </w:tc>
              <w:tc>
                <w:tcPr>
                  <w:tcW w:w="964" w:type="dxa"/>
                  <w:vAlign w:val="center"/>
                </w:tcPr>
                <w:p w:rsidR="00AC2131" w:rsidRDefault="00AC2131" w:rsidP="00AC2131">
                  <w:pPr>
                    <w:pStyle w:val="TableBodyText"/>
                  </w:pPr>
                  <w:r>
                    <w:t>2.7</w:t>
                  </w:r>
                </w:p>
              </w:tc>
              <w:tc>
                <w:tcPr>
                  <w:tcW w:w="964" w:type="dxa"/>
                  <w:vAlign w:val="center"/>
                </w:tcPr>
                <w:p w:rsidR="00AC2131" w:rsidRDefault="00AC2131" w:rsidP="00AC2131">
                  <w:pPr>
                    <w:pStyle w:val="TableBodyText"/>
                  </w:pPr>
                  <w:r>
                    <w:t>3.2</w:t>
                  </w:r>
                </w:p>
              </w:tc>
            </w:tr>
            <w:tr w:rsidR="00AC2131" w:rsidTr="00AC2131">
              <w:tc>
                <w:tcPr>
                  <w:tcW w:w="2721" w:type="dxa"/>
                </w:tcPr>
                <w:p w:rsidR="00AC2131" w:rsidRPr="00284C93" w:rsidRDefault="00AC2131" w:rsidP="00AC2131">
                  <w:pPr>
                    <w:pStyle w:val="TableBodyText"/>
                    <w:jc w:val="left"/>
                  </w:pPr>
                  <w:r w:rsidRPr="00284C93">
                    <w:t>Other crop growing</w:t>
                  </w:r>
                </w:p>
              </w:tc>
              <w:tc>
                <w:tcPr>
                  <w:tcW w:w="964" w:type="dxa"/>
                  <w:vAlign w:val="center"/>
                </w:tcPr>
                <w:p w:rsidR="00AC2131" w:rsidRDefault="00AC2131" w:rsidP="00AC2131">
                  <w:pPr>
                    <w:pStyle w:val="TableBodyText"/>
                  </w:pPr>
                  <w:r>
                    <w:t>2.0</w:t>
                  </w:r>
                </w:p>
              </w:tc>
              <w:tc>
                <w:tcPr>
                  <w:tcW w:w="964" w:type="dxa"/>
                  <w:vAlign w:val="center"/>
                </w:tcPr>
                <w:p w:rsidR="00AC2131" w:rsidRDefault="00AC2131" w:rsidP="00AC2131">
                  <w:pPr>
                    <w:pStyle w:val="TableBodyText"/>
                  </w:pPr>
                  <w:r>
                    <w:t>2.2</w:t>
                  </w:r>
                </w:p>
              </w:tc>
              <w:tc>
                <w:tcPr>
                  <w:tcW w:w="964" w:type="dxa"/>
                  <w:vAlign w:val="center"/>
                </w:tcPr>
                <w:p w:rsidR="00AC2131" w:rsidRDefault="00AC2131" w:rsidP="00AC2131">
                  <w:pPr>
                    <w:pStyle w:val="TableBodyText"/>
                  </w:pPr>
                  <w:r>
                    <w:t>1.1</w:t>
                  </w:r>
                </w:p>
              </w:tc>
              <w:tc>
                <w:tcPr>
                  <w:tcW w:w="964" w:type="dxa"/>
                  <w:vAlign w:val="center"/>
                </w:tcPr>
                <w:p w:rsidR="00AC2131" w:rsidRDefault="00AC2131" w:rsidP="00AC2131">
                  <w:pPr>
                    <w:pStyle w:val="TableBodyText"/>
                  </w:pPr>
                  <w:r>
                    <w:t>2.0</w:t>
                  </w:r>
                </w:p>
              </w:tc>
              <w:tc>
                <w:tcPr>
                  <w:tcW w:w="964" w:type="dxa"/>
                  <w:vAlign w:val="center"/>
                </w:tcPr>
                <w:p w:rsidR="00AC2131" w:rsidRDefault="00AC2131" w:rsidP="00AC2131">
                  <w:pPr>
                    <w:pStyle w:val="TableBodyText"/>
                  </w:pPr>
                  <w:r>
                    <w:t>1.9</w:t>
                  </w:r>
                </w:p>
              </w:tc>
              <w:tc>
                <w:tcPr>
                  <w:tcW w:w="964" w:type="dxa"/>
                  <w:vAlign w:val="center"/>
                </w:tcPr>
                <w:p w:rsidR="00AC2131" w:rsidRDefault="00AC2131" w:rsidP="00AC2131">
                  <w:pPr>
                    <w:pStyle w:val="TableBodyText"/>
                  </w:pPr>
                  <w:r>
                    <w:t>1.7</w:t>
                  </w:r>
                </w:p>
              </w:tc>
            </w:tr>
            <w:tr w:rsidR="00AC2131" w:rsidTr="00AC2131">
              <w:tc>
                <w:tcPr>
                  <w:tcW w:w="2721" w:type="dxa"/>
                </w:tcPr>
                <w:p w:rsidR="00AC2131" w:rsidRPr="00284C93" w:rsidRDefault="00AC2131" w:rsidP="00AC2131">
                  <w:pPr>
                    <w:pStyle w:val="TableBodyText"/>
                    <w:jc w:val="left"/>
                  </w:pPr>
                  <w:r w:rsidRPr="00284C93">
                    <w:t>Dairy cattle farming</w:t>
                  </w:r>
                </w:p>
              </w:tc>
              <w:tc>
                <w:tcPr>
                  <w:tcW w:w="964" w:type="dxa"/>
                  <w:vAlign w:val="center"/>
                </w:tcPr>
                <w:p w:rsidR="00AC2131" w:rsidRDefault="00AC2131" w:rsidP="00AC2131">
                  <w:pPr>
                    <w:pStyle w:val="TableBodyText"/>
                  </w:pPr>
                  <w:r>
                    <w:t>4.5</w:t>
                  </w:r>
                </w:p>
              </w:tc>
              <w:tc>
                <w:tcPr>
                  <w:tcW w:w="964" w:type="dxa"/>
                  <w:vAlign w:val="center"/>
                </w:tcPr>
                <w:p w:rsidR="00AC2131" w:rsidRDefault="00AC2131" w:rsidP="00AC2131">
                  <w:pPr>
                    <w:pStyle w:val="TableBodyText"/>
                  </w:pPr>
                  <w:r>
                    <w:t>6.6</w:t>
                  </w:r>
                </w:p>
              </w:tc>
              <w:tc>
                <w:tcPr>
                  <w:tcW w:w="964" w:type="dxa"/>
                  <w:vAlign w:val="center"/>
                </w:tcPr>
                <w:p w:rsidR="00AC2131" w:rsidRDefault="00AC2131" w:rsidP="00AC2131">
                  <w:pPr>
                    <w:pStyle w:val="TableBodyText"/>
                  </w:pPr>
                  <w:r>
                    <w:t>4.0</w:t>
                  </w:r>
                </w:p>
              </w:tc>
              <w:tc>
                <w:tcPr>
                  <w:tcW w:w="964" w:type="dxa"/>
                  <w:vAlign w:val="center"/>
                </w:tcPr>
                <w:p w:rsidR="00AC2131" w:rsidRDefault="00AC2131" w:rsidP="00AC2131">
                  <w:pPr>
                    <w:pStyle w:val="TableBodyText"/>
                  </w:pPr>
                  <w:r>
                    <w:t>4.4</w:t>
                  </w:r>
                </w:p>
              </w:tc>
              <w:tc>
                <w:tcPr>
                  <w:tcW w:w="964" w:type="dxa"/>
                  <w:vAlign w:val="center"/>
                </w:tcPr>
                <w:p w:rsidR="00AC2131" w:rsidRDefault="00AC2131" w:rsidP="00AC2131">
                  <w:pPr>
                    <w:pStyle w:val="TableBodyText"/>
                  </w:pPr>
                  <w:r>
                    <w:t>2.1</w:t>
                  </w:r>
                </w:p>
              </w:tc>
              <w:tc>
                <w:tcPr>
                  <w:tcW w:w="964" w:type="dxa"/>
                  <w:vAlign w:val="center"/>
                </w:tcPr>
                <w:p w:rsidR="00AC2131" w:rsidRDefault="00AC2131" w:rsidP="00AC2131">
                  <w:pPr>
                    <w:pStyle w:val="TableBodyText"/>
                  </w:pPr>
                  <w:r>
                    <w:t>1.9</w:t>
                  </w:r>
                </w:p>
              </w:tc>
            </w:tr>
            <w:tr w:rsidR="00AC2131" w:rsidTr="00AC2131">
              <w:tc>
                <w:tcPr>
                  <w:tcW w:w="2721" w:type="dxa"/>
                </w:tcPr>
                <w:p w:rsidR="00AC2131" w:rsidRPr="00284C93" w:rsidRDefault="00AC2131" w:rsidP="00AC2131">
                  <w:pPr>
                    <w:pStyle w:val="TableBodyText"/>
                    <w:jc w:val="left"/>
                  </w:pPr>
                  <w:r w:rsidRPr="00284C93">
                    <w:t>Other livestock farming</w:t>
                  </w:r>
                </w:p>
              </w:tc>
              <w:tc>
                <w:tcPr>
                  <w:tcW w:w="964" w:type="dxa"/>
                  <w:vAlign w:val="center"/>
                </w:tcPr>
                <w:p w:rsidR="00AC2131" w:rsidRDefault="00AC2131" w:rsidP="00AC2131">
                  <w:pPr>
                    <w:pStyle w:val="TableBodyText"/>
                  </w:pPr>
                  <w:r>
                    <w:t>1.2</w:t>
                  </w:r>
                </w:p>
              </w:tc>
              <w:tc>
                <w:tcPr>
                  <w:tcW w:w="964" w:type="dxa"/>
                  <w:vAlign w:val="center"/>
                </w:tcPr>
                <w:p w:rsidR="00AC2131" w:rsidRDefault="00AC2131" w:rsidP="00AC2131">
                  <w:pPr>
                    <w:pStyle w:val="TableBodyText"/>
                  </w:pPr>
                  <w:r>
                    <w:t>1.3</w:t>
                  </w:r>
                </w:p>
              </w:tc>
              <w:tc>
                <w:tcPr>
                  <w:tcW w:w="964" w:type="dxa"/>
                  <w:vAlign w:val="center"/>
                </w:tcPr>
                <w:p w:rsidR="00AC2131" w:rsidRDefault="00AC2131" w:rsidP="00AC2131">
                  <w:pPr>
                    <w:pStyle w:val="TableBodyText"/>
                  </w:pPr>
                  <w:r>
                    <w:t>1.0</w:t>
                  </w:r>
                </w:p>
              </w:tc>
              <w:tc>
                <w:tcPr>
                  <w:tcW w:w="964" w:type="dxa"/>
                  <w:vAlign w:val="center"/>
                </w:tcPr>
                <w:p w:rsidR="00AC2131" w:rsidRDefault="00AC2131" w:rsidP="00AC2131">
                  <w:pPr>
                    <w:pStyle w:val="TableBodyText"/>
                  </w:pPr>
                  <w:r>
                    <w:t>1.5</w:t>
                  </w:r>
                </w:p>
              </w:tc>
              <w:tc>
                <w:tcPr>
                  <w:tcW w:w="964" w:type="dxa"/>
                  <w:vAlign w:val="center"/>
                </w:tcPr>
                <w:p w:rsidR="00AC2131" w:rsidRDefault="00AC2131" w:rsidP="00AC2131">
                  <w:pPr>
                    <w:pStyle w:val="TableBodyText"/>
                  </w:pPr>
                  <w:r>
                    <w:t>0.9</w:t>
                  </w:r>
                </w:p>
              </w:tc>
              <w:tc>
                <w:tcPr>
                  <w:tcW w:w="964" w:type="dxa"/>
                  <w:vAlign w:val="center"/>
                </w:tcPr>
                <w:p w:rsidR="00AC2131" w:rsidRDefault="00AC2131" w:rsidP="00AC2131">
                  <w:pPr>
                    <w:pStyle w:val="TableBodyText"/>
                  </w:pPr>
                  <w:r>
                    <w:t>0.9</w:t>
                  </w:r>
                </w:p>
              </w:tc>
            </w:tr>
            <w:tr w:rsidR="00AC2131" w:rsidTr="00AC2131">
              <w:tc>
                <w:tcPr>
                  <w:tcW w:w="2721" w:type="dxa"/>
                </w:tcPr>
                <w:p w:rsidR="00AC2131" w:rsidRPr="00284C93" w:rsidRDefault="00AC2131" w:rsidP="00AC2131">
                  <w:pPr>
                    <w:pStyle w:val="TableBodyText"/>
                    <w:jc w:val="left"/>
                  </w:pPr>
                  <w:r w:rsidRPr="00284C93">
                    <w:t>Aquaculture and fishing</w:t>
                  </w:r>
                </w:p>
              </w:tc>
              <w:tc>
                <w:tcPr>
                  <w:tcW w:w="964" w:type="dxa"/>
                  <w:vAlign w:val="center"/>
                </w:tcPr>
                <w:p w:rsidR="00AC2131" w:rsidRDefault="00AC2131" w:rsidP="00AC2131">
                  <w:pPr>
                    <w:pStyle w:val="TableBodyText"/>
                  </w:pPr>
                  <w:r>
                    <w:t>3.5</w:t>
                  </w:r>
                </w:p>
              </w:tc>
              <w:tc>
                <w:tcPr>
                  <w:tcW w:w="964" w:type="dxa"/>
                  <w:vAlign w:val="center"/>
                </w:tcPr>
                <w:p w:rsidR="00AC2131" w:rsidRDefault="00AC2131" w:rsidP="00AC2131">
                  <w:pPr>
                    <w:pStyle w:val="TableBodyText"/>
                  </w:pPr>
                  <w:r>
                    <w:t>4.5</w:t>
                  </w:r>
                </w:p>
              </w:tc>
              <w:tc>
                <w:tcPr>
                  <w:tcW w:w="964" w:type="dxa"/>
                  <w:vAlign w:val="center"/>
                </w:tcPr>
                <w:p w:rsidR="00AC2131" w:rsidRDefault="00AC2131" w:rsidP="00AC2131">
                  <w:pPr>
                    <w:pStyle w:val="TableBodyText"/>
                  </w:pPr>
                  <w:r>
                    <w:t>4.0</w:t>
                  </w:r>
                </w:p>
              </w:tc>
              <w:tc>
                <w:tcPr>
                  <w:tcW w:w="964" w:type="dxa"/>
                  <w:vAlign w:val="center"/>
                </w:tcPr>
                <w:p w:rsidR="00AC2131" w:rsidRDefault="00AC2131" w:rsidP="00AC2131">
                  <w:pPr>
                    <w:pStyle w:val="TableBodyText"/>
                  </w:pPr>
                  <w:r>
                    <w:t>3.1</w:t>
                  </w:r>
                </w:p>
              </w:tc>
              <w:tc>
                <w:tcPr>
                  <w:tcW w:w="964" w:type="dxa"/>
                  <w:vAlign w:val="center"/>
                </w:tcPr>
                <w:p w:rsidR="00AC2131" w:rsidRDefault="00AC2131" w:rsidP="00AC2131">
                  <w:pPr>
                    <w:pStyle w:val="TableBodyText"/>
                  </w:pPr>
                  <w:r>
                    <w:t>2.5</w:t>
                  </w:r>
                </w:p>
              </w:tc>
              <w:tc>
                <w:tcPr>
                  <w:tcW w:w="964" w:type="dxa"/>
                  <w:vAlign w:val="center"/>
                </w:tcPr>
                <w:p w:rsidR="00AC2131" w:rsidRDefault="00AC2131" w:rsidP="00AC2131">
                  <w:pPr>
                    <w:pStyle w:val="TableBodyText"/>
                  </w:pPr>
                  <w:r>
                    <w:t>2.7</w:t>
                  </w:r>
                </w:p>
              </w:tc>
            </w:tr>
            <w:tr w:rsidR="00AC2131" w:rsidTr="00AC2131">
              <w:tc>
                <w:tcPr>
                  <w:tcW w:w="2721" w:type="dxa"/>
                </w:tcPr>
                <w:p w:rsidR="00AC2131" w:rsidRPr="00284C93" w:rsidRDefault="00AC2131" w:rsidP="00AC2131">
                  <w:pPr>
                    <w:pStyle w:val="TableBodyText"/>
                    <w:jc w:val="left"/>
                  </w:pPr>
                  <w:r w:rsidRPr="00284C93">
                    <w:t>Forestry and logging</w:t>
                  </w:r>
                </w:p>
              </w:tc>
              <w:tc>
                <w:tcPr>
                  <w:tcW w:w="964" w:type="dxa"/>
                  <w:vAlign w:val="center"/>
                </w:tcPr>
                <w:p w:rsidR="00AC2131" w:rsidRDefault="00AC2131" w:rsidP="00AC2131">
                  <w:pPr>
                    <w:pStyle w:val="TableBodyText"/>
                  </w:pPr>
                  <w:r>
                    <w:t>-1.3</w:t>
                  </w:r>
                </w:p>
              </w:tc>
              <w:tc>
                <w:tcPr>
                  <w:tcW w:w="964" w:type="dxa"/>
                  <w:vAlign w:val="center"/>
                </w:tcPr>
                <w:p w:rsidR="00AC2131" w:rsidRDefault="00AC2131" w:rsidP="00AC2131">
                  <w:pPr>
                    <w:pStyle w:val="TableBodyText"/>
                  </w:pPr>
                  <w:r>
                    <w:t>4.7</w:t>
                  </w:r>
                </w:p>
              </w:tc>
              <w:tc>
                <w:tcPr>
                  <w:tcW w:w="964" w:type="dxa"/>
                  <w:vAlign w:val="center"/>
                </w:tcPr>
                <w:p w:rsidR="00AC2131" w:rsidRDefault="00AC2131" w:rsidP="00AC2131">
                  <w:pPr>
                    <w:pStyle w:val="TableBodyText"/>
                  </w:pPr>
                  <w:r>
                    <w:t>5.4</w:t>
                  </w:r>
                </w:p>
              </w:tc>
              <w:tc>
                <w:tcPr>
                  <w:tcW w:w="964" w:type="dxa"/>
                  <w:vAlign w:val="center"/>
                </w:tcPr>
                <w:p w:rsidR="00AC2131" w:rsidRDefault="00AC2131" w:rsidP="00AC2131">
                  <w:pPr>
                    <w:pStyle w:val="TableBodyText"/>
                  </w:pPr>
                  <w:r>
                    <w:t>6.7</w:t>
                  </w:r>
                </w:p>
              </w:tc>
              <w:tc>
                <w:tcPr>
                  <w:tcW w:w="964" w:type="dxa"/>
                  <w:vAlign w:val="center"/>
                </w:tcPr>
                <w:p w:rsidR="00AC2131" w:rsidRDefault="00AC2131" w:rsidP="00AC2131">
                  <w:pPr>
                    <w:pStyle w:val="TableBodyText"/>
                  </w:pPr>
                  <w:r>
                    <w:t>5.1</w:t>
                  </w:r>
                </w:p>
              </w:tc>
              <w:tc>
                <w:tcPr>
                  <w:tcW w:w="964" w:type="dxa"/>
                  <w:vAlign w:val="center"/>
                </w:tcPr>
                <w:p w:rsidR="00AC2131" w:rsidRDefault="00AC2131" w:rsidP="00AC2131">
                  <w:pPr>
                    <w:pStyle w:val="TableBodyText"/>
                  </w:pPr>
                  <w:r>
                    <w:t>4.3</w:t>
                  </w:r>
                </w:p>
              </w:tc>
            </w:tr>
            <w:tr w:rsidR="00AC2131" w:rsidTr="00AC2131">
              <w:tc>
                <w:tcPr>
                  <w:tcW w:w="2721" w:type="dxa"/>
                </w:tcPr>
                <w:p w:rsidR="00AC2131" w:rsidRPr="00284C93" w:rsidRDefault="00AC2131" w:rsidP="00AC2131">
                  <w:pPr>
                    <w:pStyle w:val="TableBodyText"/>
                    <w:jc w:val="left"/>
                  </w:pPr>
                  <w:r w:rsidRPr="00284C93">
                    <w:t>Primary production services</w:t>
                  </w:r>
                </w:p>
              </w:tc>
              <w:tc>
                <w:tcPr>
                  <w:tcW w:w="964" w:type="dxa"/>
                  <w:vAlign w:val="center"/>
                </w:tcPr>
                <w:p w:rsidR="00AC2131" w:rsidRDefault="00AC2131" w:rsidP="00AC2131">
                  <w:pPr>
                    <w:pStyle w:val="TableBodyText"/>
                  </w:pPr>
                  <w:r>
                    <w:t>0.3</w:t>
                  </w:r>
                </w:p>
              </w:tc>
              <w:tc>
                <w:tcPr>
                  <w:tcW w:w="964" w:type="dxa"/>
                  <w:vAlign w:val="center"/>
                </w:tcPr>
                <w:p w:rsidR="00AC2131" w:rsidRDefault="00AC2131" w:rsidP="00AC2131">
                  <w:pPr>
                    <w:pStyle w:val="TableBodyText"/>
                  </w:pPr>
                  <w:r>
                    <w:t>0.4</w:t>
                  </w:r>
                </w:p>
              </w:tc>
              <w:tc>
                <w:tcPr>
                  <w:tcW w:w="964" w:type="dxa"/>
                  <w:vAlign w:val="center"/>
                </w:tcPr>
                <w:p w:rsidR="00AC2131" w:rsidRDefault="00AC2131" w:rsidP="00AC2131">
                  <w:pPr>
                    <w:pStyle w:val="TableBodyText"/>
                  </w:pPr>
                  <w:r>
                    <w:t>0.3</w:t>
                  </w:r>
                </w:p>
              </w:tc>
              <w:tc>
                <w:tcPr>
                  <w:tcW w:w="964" w:type="dxa"/>
                  <w:vAlign w:val="center"/>
                </w:tcPr>
                <w:p w:rsidR="00AC2131" w:rsidRDefault="00AC2131" w:rsidP="00AC2131">
                  <w:pPr>
                    <w:pStyle w:val="TableBodyText"/>
                  </w:pPr>
                  <w:r>
                    <w:t>0.1</w:t>
                  </w:r>
                </w:p>
              </w:tc>
              <w:tc>
                <w:tcPr>
                  <w:tcW w:w="964" w:type="dxa"/>
                  <w:vAlign w:val="center"/>
                </w:tcPr>
                <w:p w:rsidR="00AC2131" w:rsidRDefault="00AC2131" w:rsidP="00AC2131">
                  <w:pPr>
                    <w:pStyle w:val="TableBodyText"/>
                  </w:pPr>
                  <w:r>
                    <w:t>0.1</w:t>
                  </w:r>
                </w:p>
              </w:tc>
              <w:tc>
                <w:tcPr>
                  <w:tcW w:w="964" w:type="dxa"/>
                  <w:vAlign w:val="center"/>
                </w:tcPr>
                <w:p w:rsidR="00AC2131" w:rsidRDefault="00AC2131" w:rsidP="00AC2131">
                  <w:pPr>
                    <w:pStyle w:val="TableBodyText"/>
                  </w:pPr>
                  <w:r>
                    <w:t>0.2</w:t>
                  </w:r>
                </w:p>
              </w:tc>
            </w:tr>
            <w:tr w:rsidR="00AC2131" w:rsidRPr="00BA3B01" w:rsidTr="00AC2131">
              <w:tc>
                <w:tcPr>
                  <w:tcW w:w="2721" w:type="dxa"/>
                </w:tcPr>
                <w:p w:rsidR="00AC2131" w:rsidRPr="00BA3B01" w:rsidRDefault="00AC2131" w:rsidP="00AC2131">
                  <w:pPr>
                    <w:pStyle w:val="TableBodyText"/>
                    <w:jc w:val="left"/>
                    <w:rPr>
                      <w:b/>
                    </w:rPr>
                  </w:pPr>
                  <w:r w:rsidRPr="00BA3B01">
                    <w:rPr>
                      <w:b/>
                    </w:rPr>
                    <w:t>Mining</w:t>
                  </w:r>
                </w:p>
              </w:tc>
              <w:tc>
                <w:tcPr>
                  <w:tcW w:w="964" w:type="dxa"/>
                  <w:vAlign w:val="center"/>
                </w:tcPr>
                <w:p w:rsidR="00AC2131" w:rsidRPr="007A4636" w:rsidRDefault="00AC2131" w:rsidP="00AC2131">
                  <w:pPr>
                    <w:pStyle w:val="TableBodyText"/>
                    <w:rPr>
                      <w:b/>
                    </w:rPr>
                  </w:pPr>
                  <w:r w:rsidRPr="007A4636">
                    <w:rPr>
                      <w:b/>
                    </w:rPr>
                    <w:t>0.2</w:t>
                  </w:r>
                </w:p>
              </w:tc>
              <w:tc>
                <w:tcPr>
                  <w:tcW w:w="964" w:type="dxa"/>
                  <w:vAlign w:val="center"/>
                </w:tcPr>
                <w:p w:rsidR="00AC2131" w:rsidRPr="007A4636" w:rsidRDefault="00AC2131" w:rsidP="00AC2131">
                  <w:pPr>
                    <w:pStyle w:val="TableBodyText"/>
                    <w:rPr>
                      <w:b/>
                    </w:rPr>
                  </w:pPr>
                  <w:r w:rsidRPr="007A4636">
                    <w:rPr>
                      <w:b/>
                    </w:rPr>
                    <w:t>0.3</w:t>
                  </w:r>
                </w:p>
              </w:tc>
              <w:tc>
                <w:tcPr>
                  <w:tcW w:w="964" w:type="dxa"/>
                  <w:vAlign w:val="center"/>
                </w:tcPr>
                <w:p w:rsidR="00AC2131" w:rsidRPr="007A4636" w:rsidRDefault="00AC2131" w:rsidP="00AC2131">
                  <w:pPr>
                    <w:pStyle w:val="TableBodyText"/>
                    <w:rPr>
                      <w:b/>
                    </w:rPr>
                  </w:pPr>
                  <w:r w:rsidRPr="007A4636">
                    <w:rPr>
                      <w:b/>
                    </w:rPr>
                    <w:t>0.6</w:t>
                  </w:r>
                </w:p>
              </w:tc>
              <w:tc>
                <w:tcPr>
                  <w:tcW w:w="964" w:type="dxa"/>
                  <w:vAlign w:val="center"/>
                </w:tcPr>
                <w:p w:rsidR="00AC2131" w:rsidRPr="007A4636" w:rsidRDefault="00AC2131" w:rsidP="00AC2131">
                  <w:pPr>
                    <w:pStyle w:val="TableBodyText"/>
                    <w:rPr>
                      <w:b/>
                    </w:rPr>
                  </w:pPr>
                  <w:r w:rsidRPr="007A4636">
                    <w:rPr>
                      <w:b/>
                    </w:rPr>
                    <w:t>0.3</w:t>
                  </w:r>
                </w:p>
              </w:tc>
              <w:tc>
                <w:tcPr>
                  <w:tcW w:w="964" w:type="dxa"/>
                  <w:vAlign w:val="center"/>
                </w:tcPr>
                <w:p w:rsidR="00AC2131" w:rsidRPr="007A4636" w:rsidRDefault="00AC2131" w:rsidP="00AC2131">
                  <w:pPr>
                    <w:pStyle w:val="TableBodyText"/>
                    <w:rPr>
                      <w:b/>
                    </w:rPr>
                  </w:pPr>
                  <w:r w:rsidRPr="007A4636">
                    <w:rPr>
                      <w:b/>
                    </w:rPr>
                    <w:t>0.2</w:t>
                  </w:r>
                </w:p>
              </w:tc>
              <w:tc>
                <w:tcPr>
                  <w:tcW w:w="964" w:type="dxa"/>
                  <w:vAlign w:val="center"/>
                </w:tcPr>
                <w:p w:rsidR="00AC2131" w:rsidRPr="007A4636" w:rsidRDefault="00AC2131" w:rsidP="00AC2131">
                  <w:pPr>
                    <w:pStyle w:val="TableBodyText"/>
                    <w:rPr>
                      <w:b/>
                    </w:rPr>
                  </w:pPr>
                  <w:r w:rsidRPr="007A4636">
                    <w:rPr>
                      <w:b/>
                    </w:rPr>
                    <w:t>0.1</w:t>
                  </w:r>
                </w:p>
              </w:tc>
            </w:tr>
            <w:tr w:rsidR="00AC2131" w:rsidRPr="00BA3B01" w:rsidTr="00AC2131">
              <w:tc>
                <w:tcPr>
                  <w:tcW w:w="2721" w:type="dxa"/>
                </w:tcPr>
                <w:p w:rsidR="00AC2131" w:rsidRPr="00BA3B01" w:rsidRDefault="00AC2131" w:rsidP="00AC2131">
                  <w:pPr>
                    <w:pStyle w:val="TableBodyText"/>
                    <w:jc w:val="left"/>
                    <w:rPr>
                      <w:b/>
                    </w:rPr>
                  </w:pPr>
                  <w:r w:rsidRPr="00BA3B01">
                    <w:rPr>
                      <w:b/>
                    </w:rPr>
                    <w:t>Manufacturing</w:t>
                  </w:r>
                  <w:r w:rsidRPr="00BA3B01">
                    <w:rPr>
                      <w:rStyle w:val="NoteLabel"/>
                    </w:rPr>
                    <w:t>b</w:t>
                  </w:r>
                </w:p>
              </w:tc>
              <w:tc>
                <w:tcPr>
                  <w:tcW w:w="964" w:type="dxa"/>
                  <w:vAlign w:val="center"/>
                </w:tcPr>
                <w:p w:rsidR="00AC2131" w:rsidRPr="007A4636" w:rsidRDefault="00AC2131" w:rsidP="00AC2131">
                  <w:pPr>
                    <w:pStyle w:val="TableBodyText"/>
                    <w:rPr>
                      <w:b/>
                    </w:rPr>
                  </w:pPr>
                  <w:r w:rsidRPr="007A4636">
                    <w:rPr>
                      <w:b/>
                    </w:rPr>
                    <w:t>4.6</w:t>
                  </w:r>
                </w:p>
              </w:tc>
              <w:tc>
                <w:tcPr>
                  <w:tcW w:w="964" w:type="dxa"/>
                  <w:vAlign w:val="center"/>
                </w:tcPr>
                <w:p w:rsidR="00AC2131" w:rsidRPr="007A4636" w:rsidRDefault="00AC2131" w:rsidP="00AC2131">
                  <w:pPr>
                    <w:pStyle w:val="TableBodyText"/>
                    <w:rPr>
                      <w:b/>
                    </w:rPr>
                  </w:pPr>
                  <w:r w:rsidRPr="007A4636">
                    <w:rPr>
                      <w:b/>
                    </w:rPr>
                    <w:t>4.6</w:t>
                  </w:r>
                </w:p>
              </w:tc>
              <w:tc>
                <w:tcPr>
                  <w:tcW w:w="964" w:type="dxa"/>
                  <w:vAlign w:val="center"/>
                </w:tcPr>
                <w:p w:rsidR="00AC2131" w:rsidRPr="007A4636" w:rsidRDefault="00AC2131" w:rsidP="00AC2131">
                  <w:pPr>
                    <w:pStyle w:val="TableBodyText"/>
                    <w:rPr>
                      <w:b/>
                    </w:rPr>
                  </w:pPr>
                  <w:r w:rsidRPr="007A4636">
                    <w:rPr>
                      <w:b/>
                    </w:rPr>
                    <w:t>4.3</w:t>
                  </w:r>
                </w:p>
              </w:tc>
              <w:tc>
                <w:tcPr>
                  <w:tcW w:w="964" w:type="dxa"/>
                  <w:vAlign w:val="center"/>
                </w:tcPr>
                <w:p w:rsidR="00AC2131" w:rsidRPr="007A4636" w:rsidRDefault="00AC2131" w:rsidP="00AC2131">
                  <w:pPr>
                    <w:pStyle w:val="TableBodyText"/>
                    <w:rPr>
                      <w:b/>
                    </w:rPr>
                  </w:pPr>
                  <w:r w:rsidRPr="007A4636">
                    <w:rPr>
                      <w:b/>
                    </w:rPr>
                    <w:t>4.3</w:t>
                  </w:r>
                </w:p>
              </w:tc>
              <w:tc>
                <w:tcPr>
                  <w:tcW w:w="964" w:type="dxa"/>
                  <w:vAlign w:val="center"/>
                </w:tcPr>
                <w:p w:rsidR="00AC2131" w:rsidRPr="007A4636" w:rsidRDefault="00AC2131" w:rsidP="00AC2131">
                  <w:pPr>
                    <w:pStyle w:val="TableBodyText"/>
                    <w:rPr>
                      <w:b/>
                    </w:rPr>
                  </w:pPr>
                  <w:r w:rsidRPr="007A4636">
                    <w:rPr>
                      <w:b/>
                    </w:rPr>
                    <w:t>4.2</w:t>
                  </w:r>
                </w:p>
              </w:tc>
              <w:tc>
                <w:tcPr>
                  <w:tcW w:w="964" w:type="dxa"/>
                  <w:vAlign w:val="center"/>
                </w:tcPr>
                <w:p w:rsidR="00AC2131" w:rsidRPr="007A4636" w:rsidRDefault="00AC2131" w:rsidP="00AC2131">
                  <w:pPr>
                    <w:pStyle w:val="TableBodyText"/>
                    <w:rPr>
                      <w:b/>
                    </w:rPr>
                  </w:pPr>
                  <w:r w:rsidRPr="007A4636">
                    <w:rPr>
                      <w:b/>
                    </w:rPr>
                    <w:t>4.3</w:t>
                  </w:r>
                </w:p>
              </w:tc>
            </w:tr>
            <w:tr w:rsidR="00AC2131" w:rsidTr="00AC2131">
              <w:tc>
                <w:tcPr>
                  <w:tcW w:w="2721" w:type="dxa"/>
                </w:tcPr>
                <w:p w:rsidR="00AC2131" w:rsidRPr="00F22AF1" w:rsidRDefault="00AC2131" w:rsidP="00AC2131">
                  <w:pPr>
                    <w:pStyle w:val="TableBodyText"/>
                    <w:jc w:val="left"/>
                  </w:pPr>
                  <w:r w:rsidRPr="00F22AF1">
                    <w:t>Food, beverages and tobacco</w:t>
                  </w:r>
                </w:p>
              </w:tc>
              <w:tc>
                <w:tcPr>
                  <w:tcW w:w="964" w:type="dxa"/>
                  <w:vAlign w:val="center"/>
                </w:tcPr>
                <w:p w:rsidR="00AC2131" w:rsidRDefault="00AC2131" w:rsidP="00AC2131">
                  <w:pPr>
                    <w:pStyle w:val="TableBodyText"/>
                  </w:pPr>
                  <w:r>
                    <w:t>3.4</w:t>
                  </w:r>
                </w:p>
              </w:tc>
              <w:tc>
                <w:tcPr>
                  <w:tcW w:w="964" w:type="dxa"/>
                  <w:vAlign w:val="center"/>
                </w:tcPr>
                <w:p w:rsidR="00AC2131" w:rsidRDefault="00AC2131" w:rsidP="00AC2131">
                  <w:pPr>
                    <w:pStyle w:val="TableBodyText"/>
                  </w:pPr>
                  <w:r>
                    <w:t>3.5</w:t>
                  </w:r>
                </w:p>
              </w:tc>
              <w:tc>
                <w:tcPr>
                  <w:tcW w:w="964" w:type="dxa"/>
                  <w:vAlign w:val="center"/>
                </w:tcPr>
                <w:p w:rsidR="00AC2131" w:rsidRDefault="00AC2131" w:rsidP="00AC2131">
                  <w:pPr>
                    <w:pStyle w:val="TableBodyText"/>
                  </w:pPr>
                  <w:r>
                    <w:t>3.6</w:t>
                  </w:r>
                </w:p>
              </w:tc>
              <w:tc>
                <w:tcPr>
                  <w:tcW w:w="964" w:type="dxa"/>
                  <w:vAlign w:val="center"/>
                </w:tcPr>
                <w:p w:rsidR="00AC2131" w:rsidRDefault="00AC2131" w:rsidP="00AC2131">
                  <w:pPr>
                    <w:pStyle w:val="TableBodyText"/>
                  </w:pPr>
                  <w:r>
                    <w:t>3.4</w:t>
                  </w:r>
                </w:p>
              </w:tc>
              <w:tc>
                <w:tcPr>
                  <w:tcW w:w="964" w:type="dxa"/>
                  <w:vAlign w:val="center"/>
                </w:tcPr>
                <w:p w:rsidR="00AC2131" w:rsidRDefault="00AC2131" w:rsidP="00AC2131">
                  <w:pPr>
                    <w:pStyle w:val="TableBodyText"/>
                  </w:pPr>
                  <w:r>
                    <w:t>3.5</w:t>
                  </w:r>
                </w:p>
              </w:tc>
              <w:tc>
                <w:tcPr>
                  <w:tcW w:w="964" w:type="dxa"/>
                  <w:vAlign w:val="center"/>
                </w:tcPr>
                <w:p w:rsidR="00AC2131" w:rsidRDefault="00AC2131" w:rsidP="00AC2131">
                  <w:pPr>
                    <w:pStyle w:val="TableBodyText"/>
                  </w:pPr>
                  <w:r>
                    <w:t>3.4</w:t>
                  </w:r>
                </w:p>
              </w:tc>
            </w:tr>
            <w:tr w:rsidR="00AC2131" w:rsidTr="00AC2131">
              <w:tc>
                <w:tcPr>
                  <w:tcW w:w="2721" w:type="dxa"/>
                </w:tcPr>
                <w:p w:rsidR="00AC2131" w:rsidRPr="00F22AF1" w:rsidRDefault="00AC2131" w:rsidP="00AC2131">
                  <w:pPr>
                    <w:pStyle w:val="TableBodyText"/>
                    <w:jc w:val="left"/>
                  </w:pPr>
                  <w:r w:rsidRPr="00F22AF1">
                    <w:t>Textile</w:t>
                  </w:r>
                  <w:r>
                    <w:t>s</w:t>
                  </w:r>
                  <w:r w:rsidRPr="00F22AF1">
                    <w:t>, clothing and footwear</w:t>
                  </w:r>
                </w:p>
              </w:tc>
              <w:tc>
                <w:tcPr>
                  <w:tcW w:w="964" w:type="dxa"/>
                  <w:vAlign w:val="center"/>
                </w:tcPr>
                <w:p w:rsidR="00AC2131" w:rsidRDefault="00AC2131" w:rsidP="00AC2131">
                  <w:pPr>
                    <w:pStyle w:val="TableBodyText"/>
                  </w:pPr>
                  <w:r>
                    <w:t>13.8</w:t>
                  </w:r>
                </w:p>
              </w:tc>
              <w:tc>
                <w:tcPr>
                  <w:tcW w:w="964" w:type="dxa"/>
                  <w:vAlign w:val="center"/>
                </w:tcPr>
                <w:p w:rsidR="00AC2131" w:rsidRDefault="00AC2131" w:rsidP="00AC2131">
                  <w:pPr>
                    <w:pStyle w:val="TableBodyText"/>
                  </w:pPr>
                  <w:r>
                    <w:t>12.3</w:t>
                  </w:r>
                </w:p>
              </w:tc>
              <w:tc>
                <w:tcPr>
                  <w:tcW w:w="964" w:type="dxa"/>
                  <w:vAlign w:val="center"/>
                </w:tcPr>
                <w:p w:rsidR="00AC2131" w:rsidRDefault="00AC2131" w:rsidP="00AC2131">
                  <w:pPr>
                    <w:pStyle w:val="TableBodyText"/>
                  </w:pPr>
                  <w:r>
                    <w:t>9.7</w:t>
                  </w:r>
                </w:p>
              </w:tc>
              <w:tc>
                <w:tcPr>
                  <w:tcW w:w="964" w:type="dxa"/>
                  <w:vAlign w:val="center"/>
                </w:tcPr>
                <w:p w:rsidR="00AC2131" w:rsidRDefault="00AC2131" w:rsidP="00AC2131">
                  <w:pPr>
                    <w:pStyle w:val="TableBodyText"/>
                  </w:pPr>
                  <w:r>
                    <w:t>8.0</w:t>
                  </w:r>
                </w:p>
              </w:tc>
              <w:tc>
                <w:tcPr>
                  <w:tcW w:w="964" w:type="dxa"/>
                  <w:vAlign w:val="center"/>
                </w:tcPr>
                <w:p w:rsidR="00AC2131" w:rsidRDefault="00AC2131" w:rsidP="00AC2131">
                  <w:pPr>
                    <w:pStyle w:val="TableBodyText"/>
                  </w:pPr>
                  <w:r>
                    <w:t>7.9</w:t>
                  </w:r>
                </w:p>
              </w:tc>
              <w:tc>
                <w:tcPr>
                  <w:tcW w:w="964" w:type="dxa"/>
                  <w:vAlign w:val="center"/>
                </w:tcPr>
                <w:p w:rsidR="00AC2131" w:rsidRDefault="00AC2131" w:rsidP="00AC2131">
                  <w:pPr>
                    <w:pStyle w:val="TableBodyText"/>
                  </w:pPr>
                  <w:r>
                    <w:t>8.0</w:t>
                  </w:r>
                </w:p>
              </w:tc>
            </w:tr>
            <w:tr w:rsidR="00AC2131" w:rsidTr="00AC2131">
              <w:tc>
                <w:tcPr>
                  <w:tcW w:w="2721" w:type="dxa"/>
                </w:tcPr>
                <w:p w:rsidR="00AC2131" w:rsidRPr="00F22AF1" w:rsidRDefault="00AC2131" w:rsidP="00AC2131">
                  <w:pPr>
                    <w:pStyle w:val="TableBodyText"/>
                    <w:jc w:val="left"/>
                  </w:pPr>
                  <w:r w:rsidRPr="00F22AF1">
                    <w:t>Wood and paper products</w:t>
                  </w:r>
                </w:p>
              </w:tc>
              <w:tc>
                <w:tcPr>
                  <w:tcW w:w="964" w:type="dxa"/>
                  <w:vAlign w:val="center"/>
                </w:tcPr>
                <w:p w:rsidR="00AC2131" w:rsidRDefault="00AC2131" w:rsidP="00AC2131">
                  <w:pPr>
                    <w:pStyle w:val="TableBodyText"/>
                  </w:pPr>
                  <w:r>
                    <w:t>5.2</w:t>
                  </w:r>
                </w:p>
              </w:tc>
              <w:tc>
                <w:tcPr>
                  <w:tcW w:w="964" w:type="dxa"/>
                  <w:vAlign w:val="center"/>
                </w:tcPr>
                <w:p w:rsidR="00AC2131" w:rsidRDefault="00AC2131" w:rsidP="00AC2131">
                  <w:pPr>
                    <w:pStyle w:val="TableBodyText"/>
                  </w:pPr>
                  <w:r>
                    <w:t>4.9</w:t>
                  </w:r>
                </w:p>
              </w:tc>
              <w:tc>
                <w:tcPr>
                  <w:tcW w:w="964" w:type="dxa"/>
                  <w:vAlign w:val="center"/>
                </w:tcPr>
                <w:p w:rsidR="00AC2131" w:rsidRDefault="00AC2131" w:rsidP="00AC2131">
                  <w:pPr>
                    <w:pStyle w:val="TableBodyText"/>
                  </w:pPr>
                  <w:r>
                    <w:t>5.0</w:t>
                  </w:r>
                </w:p>
              </w:tc>
              <w:tc>
                <w:tcPr>
                  <w:tcW w:w="964" w:type="dxa"/>
                  <w:vAlign w:val="center"/>
                </w:tcPr>
                <w:p w:rsidR="00AC2131" w:rsidRDefault="00AC2131" w:rsidP="00AC2131">
                  <w:pPr>
                    <w:pStyle w:val="TableBodyText"/>
                  </w:pPr>
                  <w:r>
                    <w:t>4.8</w:t>
                  </w:r>
                </w:p>
              </w:tc>
              <w:tc>
                <w:tcPr>
                  <w:tcW w:w="964" w:type="dxa"/>
                  <w:vAlign w:val="center"/>
                </w:tcPr>
                <w:p w:rsidR="00AC2131" w:rsidRDefault="00AC2131" w:rsidP="00AC2131">
                  <w:pPr>
                    <w:pStyle w:val="TableBodyText"/>
                  </w:pPr>
                  <w:r>
                    <w:t>5.0</w:t>
                  </w:r>
                </w:p>
              </w:tc>
              <w:tc>
                <w:tcPr>
                  <w:tcW w:w="964" w:type="dxa"/>
                  <w:vAlign w:val="center"/>
                </w:tcPr>
                <w:p w:rsidR="00AC2131" w:rsidRDefault="00AC2131" w:rsidP="00AC2131">
                  <w:pPr>
                    <w:pStyle w:val="TableBodyText"/>
                  </w:pPr>
                  <w:r>
                    <w:t>4.9</w:t>
                  </w:r>
                </w:p>
              </w:tc>
            </w:tr>
            <w:tr w:rsidR="00AC2131" w:rsidTr="00AC2131">
              <w:tc>
                <w:tcPr>
                  <w:tcW w:w="2721" w:type="dxa"/>
                </w:tcPr>
                <w:p w:rsidR="00AC2131" w:rsidRPr="00F22AF1" w:rsidRDefault="00AC2131" w:rsidP="00AC2131">
                  <w:pPr>
                    <w:pStyle w:val="TableBodyText"/>
                    <w:jc w:val="left"/>
                  </w:pPr>
                  <w:r w:rsidRPr="00F22AF1">
                    <w:t>Printing and recorded media</w:t>
                  </w:r>
                </w:p>
              </w:tc>
              <w:tc>
                <w:tcPr>
                  <w:tcW w:w="964" w:type="dxa"/>
                  <w:vAlign w:val="center"/>
                </w:tcPr>
                <w:p w:rsidR="00AC2131" w:rsidRDefault="00AC2131" w:rsidP="00AC2131">
                  <w:pPr>
                    <w:pStyle w:val="TableBodyText"/>
                  </w:pPr>
                  <w:r>
                    <w:t>3.5</w:t>
                  </w:r>
                </w:p>
              </w:tc>
              <w:tc>
                <w:tcPr>
                  <w:tcW w:w="964" w:type="dxa"/>
                  <w:vAlign w:val="center"/>
                </w:tcPr>
                <w:p w:rsidR="00AC2131" w:rsidRDefault="00AC2131" w:rsidP="00AC2131">
                  <w:pPr>
                    <w:pStyle w:val="TableBodyText"/>
                  </w:pPr>
                  <w:r>
                    <w:t>3.6</w:t>
                  </w:r>
                </w:p>
              </w:tc>
              <w:tc>
                <w:tcPr>
                  <w:tcW w:w="964" w:type="dxa"/>
                  <w:vAlign w:val="center"/>
                </w:tcPr>
                <w:p w:rsidR="00AC2131" w:rsidRDefault="00AC2131" w:rsidP="00AC2131">
                  <w:pPr>
                    <w:pStyle w:val="TableBodyText"/>
                  </w:pPr>
                  <w:r>
                    <w:t>3.6</w:t>
                  </w:r>
                </w:p>
              </w:tc>
              <w:tc>
                <w:tcPr>
                  <w:tcW w:w="964" w:type="dxa"/>
                  <w:vAlign w:val="center"/>
                </w:tcPr>
                <w:p w:rsidR="00AC2131" w:rsidRDefault="00AC2131" w:rsidP="00AC2131">
                  <w:pPr>
                    <w:pStyle w:val="TableBodyText"/>
                  </w:pPr>
                  <w:r>
                    <w:t>3.6</w:t>
                  </w:r>
                </w:p>
              </w:tc>
              <w:tc>
                <w:tcPr>
                  <w:tcW w:w="964" w:type="dxa"/>
                  <w:vAlign w:val="center"/>
                </w:tcPr>
                <w:p w:rsidR="00AC2131" w:rsidRDefault="00AC2131" w:rsidP="00AC2131">
                  <w:pPr>
                    <w:pStyle w:val="TableBodyText"/>
                  </w:pPr>
                  <w:r>
                    <w:t>3.6</w:t>
                  </w:r>
                </w:p>
              </w:tc>
              <w:tc>
                <w:tcPr>
                  <w:tcW w:w="964" w:type="dxa"/>
                  <w:vAlign w:val="center"/>
                </w:tcPr>
                <w:p w:rsidR="00AC2131" w:rsidRDefault="00AC2131" w:rsidP="00AC2131">
                  <w:pPr>
                    <w:pStyle w:val="TableBodyText"/>
                  </w:pPr>
                  <w:r>
                    <w:t>3.7</w:t>
                  </w:r>
                </w:p>
              </w:tc>
            </w:tr>
            <w:tr w:rsidR="00AC2131" w:rsidTr="00AC2131">
              <w:tc>
                <w:tcPr>
                  <w:tcW w:w="2721" w:type="dxa"/>
                </w:tcPr>
                <w:p w:rsidR="00AC2131" w:rsidRPr="00F22AF1" w:rsidRDefault="00AC2131" w:rsidP="00AC2131">
                  <w:pPr>
                    <w:pStyle w:val="TableBodyText"/>
                    <w:jc w:val="left"/>
                  </w:pPr>
                  <w:r w:rsidRPr="00F22AF1">
                    <w:t xml:space="preserve">Petroleum, coal, </w:t>
                  </w:r>
                  <w:r>
                    <w:t>&amp; che</w:t>
                  </w:r>
                  <w:r w:rsidRPr="00F22AF1">
                    <w:t>mical</w:t>
                  </w:r>
                  <w:r>
                    <w:t>s</w:t>
                  </w:r>
                </w:p>
              </w:tc>
              <w:tc>
                <w:tcPr>
                  <w:tcW w:w="964" w:type="dxa"/>
                  <w:vAlign w:val="center"/>
                </w:tcPr>
                <w:p w:rsidR="00AC2131" w:rsidRDefault="00AC2131" w:rsidP="00AC2131">
                  <w:pPr>
                    <w:pStyle w:val="TableBodyText"/>
                  </w:pPr>
                  <w:r>
                    <w:t>3.1</w:t>
                  </w:r>
                </w:p>
              </w:tc>
              <w:tc>
                <w:tcPr>
                  <w:tcW w:w="964" w:type="dxa"/>
                  <w:vAlign w:val="center"/>
                </w:tcPr>
                <w:p w:rsidR="00AC2131" w:rsidRDefault="00AC2131" w:rsidP="00AC2131">
                  <w:pPr>
                    <w:pStyle w:val="TableBodyText"/>
                  </w:pPr>
                  <w:r>
                    <w:t>3.1</w:t>
                  </w:r>
                </w:p>
              </w:tc>
              <w:tc>
                <w:tcPr>
                  <w:tcW w:w="964" w:type="dxa"/>
                  <w:vAlign w:val="center"/>
                </w:tcPr>
                <w:p w:rsidR="00AC2131" w:rsidRDefault="00AC2131" w:rsidP="00AC2131">
                  <w:pPr>
                    <w:pStyle w:val="TableBodyText"/>
                  </w:pPr>
                  <w:r>
                    <w:t>3.4</w:t>
                  </w:r>
                </w:p>
              </w:tc>
              <w:tc>
                <w:tcPr>
                  <w:tcW w:w="964" w:type="dxa"/>
                  <w:vAlign w:val="center"/>
                </w:tcPr>
                <w:p w:rsidR="00AC2131" w:rsidRDefault="00AC2131" w:rsidP="00AC2131">
                  <w:pPr>
                    <w:pStyle w:val="TableBodyText"/>
                  </w:pPr>
                  <w:r>
                    <w:t>3.1</w:t>
                  </w:r>
                </w:p>
              </w:tc>
              <w:tc>
                <w:tcPr>
                  <w:tcW w:w="964" w:type="dxa"/>
                  <w:vAlign w:val="center"/>
                </w:tcPr>
                <w:p w:rsidR="00AC2131" w:rsidRDefault="00AC2131" w:rsidP="00AC2131">
                  <w:pPr>
                    <w:pStyle w:val="TableBodyText"/>
                  </w:pPr>
                  <w:r>
                    <w:t>3.2</w:t>
                  </w:r>
                </w:p>
              </w:tc>
              <w:tc>
                <w:tcPr>
                  <w:tcW w:w="964" w:type="dxa"/>
                  <w:vAlign w:val="center"/>
                </w:tcPr>
                <w:p w:rsidR="00AC2131" w:rsidRDefault="00AC2131" w:rsidP="00AC2131">
                  <w:pPr>
                    <w:pStyle w:val="TableBodyText"/>
                  </w:pPr>
                  <w:r>
                    <w:t>3.3</w:t>
                  </w:r>
                </w:p>
              </w:tc>
            </w:tr>
            <w:tr w:rsidR="00AC2131" w:rsidTr="00AC2131">
              <w:tc>
                <w:tcPr>
                  <w:tcW w:w="2721" w:type="dxa"/>
                </w:tcPr>
                <w:p w:rsidR="00AC2131" w:rsidRPr="00F22AF1" w:rsidRDefault="00AC2131" w:rsidP="00AC2131">
                  <w:pPr>
                    <w:pStyle w:val="TableBodyText"/>
                    <w:jc w:val="left"/>
                  </w:pPr>
                  <w:r w:rsidRPr="00F22AF1">
                    <w:t>Non-metallic mineral products</w:t>
                  </w:r>
                </w:p>
              </w:tc>
              <w:tc>
                <w:tcPr>
                  <w:tcW w:w="964" w:type="dxa"/>
                  <w:vAlign w:val="center"/>
                </w:tcPr>
                <w:p w:rsidR="00AC2131" w:rsidRDefault="00AC2131" w:rsidP="00AC2131">
                  <w:pPr>
                    <w:pStyle w:val="TableBodyText"/>
                  </w:pPr>
                  <w:r>
                    <w:t>2.9</w:t>
                  </w:r>
                </w:p>
              </w:tc>
              <w:tc>
                <w:tcPr>
                  <w:tcW w:w="964" w:type="dxa"/>
                  <w:vAlign w:val="center"/>
                </w:tcPr>
                <w:p w:rsidR="00AC2131" w:rsidRDefault="00AC2131" w:rsidP="00AC2131">
                  <w:pPr>
                    <w:pStyle w:val="TableBodyText"/>
                  </w:pPr>
                  <w:r>
                    <w:t>3.0</w:t>
                  </w:r>
                </w:p>
              </w:tc>
              <w:tc>
                <w:tcPr>
                  <w:tcW w:w="964" w:type="dxa"/>
                  <w:vAlign w:val="center"/>
                </w:tcPr>
                <w:p w:rsidR="00AC2131" w:rsidRDefault="00AC2131" w:rsidP="00AC2131">
                  <w:pPr>
                    <w:pStyle w:val="TableBodyText"/>
                  </w:pPr>
                  <w:r>
                    <w:t>3.0</w:t>
                  </w:r>
                </w:p>
              </w:tc>
              <w:tc>
                <w:tcPr>
                  <w:tcW w:w="964" w:type="dxa"/>
                  <w:vAlign w:val="center"/>
                </w:tcPr>
                <w:p w:rsidR="00AC2131" w:rsidRDefault="00AC2131" w:rsidP="00AC2131">
                  <w:pPr>
                    <w:pStyle w:val="TableBodyText"/>
                  </w:pPr>
                  <w:r>
                    <w:t>2.9</w:t>
                  </w:r>
                </w:p>
              </w:tc>
              <w:tc>
                <w:tcPr>
                  <w:tcW w:w="964" w:type="dxa"/>
                  <w:vAlign w:val="center"/>
                </w:tcPr>
                <w:p w:rsidR="00AC2131" w:rsidRDefault="00AC2131" w:rsidP="00AC2131">
                  <w:pPr>
                    <w:pStyle w:val="TableBodyText"/>
                  </w:pPr>
                  <w:r>
                    <w:t>3.0</w:t>
                  </w:r>
                </w:p>
              </w:tc>
              <w:tc>
                <w:tcPr>
                  <w:tcW w:w="964" w:type="dxa"/>
                  <w:vAlign w:val="center"/>
                </w:tcPr>
                <w:p w:rsidR="00AC2131" w:rsidRDefault="00AC2131" w:rsidP="00AC2131">
                  <w:pPr>
                    <w:pStyle w:val="TableBodyText"/>
                  </w:pPr>
                  <w:r>
                    <w:t>3.1</w:t>
                  </w:r>
                </w:p>
              </w:tc>
            </w:tr>
            <w:tr w:rsidR="00AC2131" w:rsidTr="00AC2131">
              <w:tc>
                <w:tcPr>
                  <w:tcW w:w="2721" w:type="dxa"/>
                </w:tcPr>
                <w:p w:rsidR="00AC2131" w:rsidRPr="00F22AF1" w:rsidRDefault="00AC2131" w:rsidP="00AC2131">
                  <w:pPr>
                    <w:pStyle w:val="TableBodyText"/>
                    <w:jc w:val="left"/>
                  </w:pPr>
                  <w:r w:rsidRPr="00F22AF1">
                    <w:t xml:space="preserve">Metal and fabricated </w:t>
                  </w:r>
                  <w:r>
                    <w:t>p</w:t>
                  </w:r>
                  <w:r w:rsidRPr="00F22AF1">
                    <w:t>roducts</w:t>
                  </w:r>
                </w:p>
              </w:tc>
              <w:tc>
                <w:tcPr>
                  <w:tcW w:w="964" w:type="dxa"/>
                  <w:vAlign w:val="center"/>
                </w:tcPr>
                <w:p w:rsidR="00AC2131" w:rsidRDefault="00AC2131" w:rsidP="00AC2131">
                  <w:pPr>
                    <w:pStyle w:val="TableBodyText"/>
                  </w:pPr>
                  <w:r>
                    <w:t>4.5</w:t>
                  </w:r>
                </w:p>
              </w:tc>
              <w:tc>
                <w:tcPr>
                  <w:tcW w:w="964" w:type="dxa"/>
                  <w:vAlign w:val="center"/>
                </w:tcPr>
                <w:p w:rsidR="00AC2131" w:rsidRDefault="00AC2131" w:rsidP="00AC2131">
                  <w:pPr>
                    <w:pStyle w:val="TableBodyText"/>
                  </w:pPr>
                  <w:r>
                    <w:t>4.5</w:t>
                  </w:r>
                </w:p>
              </w:tc>
              <w:tc>
                <w:tcPr>
                  <w:tcW w:w="964" w:type="dxa"/>
                  <w:vAlign w:val="center"/>
                </w:tcPr>
                <w:p w:rsidR="00AC2131" w:rsidRDefault="00AC2131" w:rsidP="00AC2131">
                  <w:pPr>
                    <w:pStyle w:val="TableBodyText"/>
                  </w:pPr>
                  <w:r>
                    <w:t>4.5</w:t>
                  </w:r>
                </w:p>
              </w:tc>
              <w:tc>
                <w:tcPr>
                  <w:tcW w:w="964" w:type="dxa"/>
                  <w:vAlign w:val="center"/>
                </w:tcPr>
                <w:p w:rsidR="00AC2131" w:rsidRDefault="00AC2131" w:rsidP="00AC2131">
                  <w:pPr>
                    <w:pStyle w:val="TableBodyText"/>
                  </w:pPr>
                  <w:r>
                    <w:t>5.0</w:t>
                  </w:r>
                </w:p>
              </w:tc>
              <w:tc>
                <w:tcPr>
                  <w:tcW w:w="964" w:type="dxa"/>
                  <w:vAlign w:val="center"/>
                </w:tcPr>
                <w:p w:rsidR="00AC2131" w:rsidRDefault="00AC2131" w:rsidP="00AC2131">
                  <w:pPr>
                    <w:pStyle w:val="TableBodyText"/>
                  </w:pPr>
                  <w:r>
                    <w:t>4.7</w:t>
                  </w:r>
                </w:p>
              </w:tc>
              <w:tc>
                <w:tcPr>
                  <w:tcW w:w="964" w:type="dxa"/>
                  <w:vAlign w:val="center"/>
                </w:tcPr>
                <w:p w:rsidR="00AC2131" w:rsidRDefault="00AC2131" w:rsidP="00AC2131">
                  <w:pPr>
                    <w:pStyle w:val="TableBodyText"/>
                  </w:pPr>
                  <w:r>
                    <w:t>5.4</w:t>
                  </w:r>
                </w:p>
              </w:tc>
            </w:tr>
            <w:tr w:rsidR="00AC2131" w:rsidTr="00AC2131">
              <w:tc>
                <w:tcPr>
                  <w:tcW w:w="2721" w:type="dxa"/>
                </w:tcPr>
                <w:p w:rsidR="00AC2131" w:rsidRPr="00F22AF1" w:rsidRDefault="00AC2131" w:rsidP="00AC2131">
                  <w:pPr>
                    <w:pStyle w:val="TableBodyText"/>
                    <w:jc w:val="left"/>
                  </w:pPr>
                  <w:r w:rsidRPr="00F22AF1">
                    <w:t>Motor vehicle</w:t>
                  </w:r>
                  <w:r>
                    <w:t>s</w:t>
                  </w:r>
                  <w:r w:rsidRPr="00F22AF1">
                    <w:t xml:space="preserve"> and parts</w:t>
                  </w:r>
                </w:p>
              </w:tc>
              <w:tc>
                <w:tcPr>
                  <w:tcW w:w="964" w:type="dxa"/>
                  <w:vAlign w:val="center"/>
                </w:tcPr>
                <w:p w:rsidR="00AC2131" w:rsidRDefault="00AC2131" w:rsidP="00AC2131">
                  <w:pPr>
                    <w:pStyle w:val="TableBodyText"/>
                  </w:pPr>
                  <w:r>
                    <w:t>13.1</w:t>
                  </w:r>
                </w:p>
              </w:tc>
              <w:tc>
                <w:tcPr>
                  <w:tcW w:w="964" w:type="dxa"/>
                  <w:vAlign w:val="center"/>
                </w:tcPr>
                <w:p w:rsidR="00AC2131" w:rsidRDefault="00AC2131" w:rsidP="00AC2131">
                  <w:pPr>
                    <w:pStyle w:val="TableBodyText"/>
                  </w:pPr>
                  <w:r>
                    <w:t>13.0</w:t>
                  </w:r>
                </w:p>
              </w:tc>
              <w:tc>
                <w:tcPr>
                  <w:tcW w:w="964" w:type="dxa"/>
                  <w:vAlign w:val="center"/>
                </w:tcPr>
                <w:p w:rsidR="00AC2131" w:rsidRDefault="00AC2131" w:rsidP="00AC2131">
                  <w:pPr>
                    <w:pStyle w:val="TableBodyText"/>
                  </w:pPr>
                  <w:r>
                    <w:t>9.9</w:t>
                  </w:r>
                </w:p>
              </w:tc>
              <w:tc>
                <w:tcPr>
                  <w:tcW w:w="964" w:type="dxa"/>
                  <w:vAlign w:val="center"/>
                </w:tcPr>
                <w:p w:rsidR="00AC2131" w:rsidRDefault="00AC2131" w:rsidP="00AC2131">
                  <w:pPr>
                    <w:pStyle w:val="TableBodyText"/>
                  </w:pPr>
                  <w:r>
                    <w:t>10.1</w:t>
                  </w:r>
                </w:p>
              </w:tc>
              <w:tc>
                <w:tcPr>
                  <w:tcW w:w="964" w:type="dxa"/>
                  <w:vAlign w:val="center"/>
                </w:tcPr>
                <w:p w:rsidR="00AC2131" w:rsidRDefault="00AC2131" w:rsidP="00AC2131">
                  <w:pPr>
                    <w:pStyle w:val="TableBodyText"/>
                  </w:pPr>
                  <w:r>
                    <w:t>8.7</w:t>
                  </w:r>
                </w:p>
              </w:tc>
              <w:tc>
                <w:tcPr>
                  <w:tcW w:w="964" w:type="dxa"/>
                  <w:vAlign w:val="center"/>
                </w:tcPr>
                <w:p w:rsidR="00AC2131" w:rsidRDefault="00AC2131" w:rsidP="00AC2131">
                  <w:pPr>
                    <w:pStyle w:val="TableBodyText"/>
                  </w:pPr>
                  <w:r>
                    <w:t>8.4</w:t>
                  </w:r>
                </w:p>
              </w:tc>
            </w:tr>
            <w:tr w:rsidR="00AC2131" w:rsidTr="00AC2131">
              <w:tc>
                <w:tcPr>
                  <w:tcW w:w="2721" w:type="dxa"/>
                </w:tcPr>
                <w:p w:rsidR="00AC2131" w:rsidRPr="00F22AF1" w:rsidRDefault="00AC2131" w:rsidP="00AC2131">
                  <w:pPr>
                    <w:pStyle w:val="TableBodyText"/>
                    <w:jc w:val="left"/>
                  </w:pPr>
                  <w:r w:rsidRPr="00F22AF1">
                    <w:t>Other transport equipment</w:t>
                  </w:r>
                </w:p>
              </w:tc>
              <w:tc>
                <w:tcPr>
                  <w:tcW w:w="964" w:type="dxa"/>
                  <w:vAlign w:val="center"/>
                </w:tcPr>
                <w:p w:rsidR="00AC2131" w:rsidRDefault="00AC2131" w:rsidP="00AC2131">
                  <w:pPr>
                    <w:pStyle w:val="TableBodyText"/>
                  </w:pPr>
                  <w:r>
                    <w:t>0.9</w:t>
                  </w:r>
                </w:p>
              </w:tc>
              <w:tc>
                <w:tcPr>
                  <w:tcW w:w="964" w:type="dxa"/>
                  <w:vAlign w:val="center"/>
                </w:tcPr>
                <w:p w:rsidR="00AC2131" w:rsidRDefault="00AC2131" w:rsidP="00AC2131">
                  <w:pPr>
                    <w:pStyle w:val="TableBodyText"/>
                  </w:pPr>
                  <w:r>
                    <w:t>0.9</w:t>
                  </w:r>
                </w:p>
              </w:tc>
              <w:tc>
                <w:tcPr>
                  <w:tcW w:w="964" w:type="dxa"/>
                  <w:vAlign w:val="center"/>
                </w:tcPr>
                <w:p w:rsidR="00AC2131" w:rsidRDefault="00AC2131" w:rsidP="00AC2131">
                  <w:pPr>
                    <w:pStyle w:val="TableBodyText"/>
                  </w:pPr>
                  <w:r>
                    <w:t>0.8</w:t>
                  </w:r>
                </w:p>
              </w:tc>
              <w:tc>
                <w:tcPr>
                  <w:tcW w:w="964" w:type="dxa"/>
                  <w:vAlign w:val="center"/>
                </w:tcPr>
                <w:p w:rsidR="00AC2131" w:rsidRDefault="00AC2131" w:rsidP="00AC2131">
                  <w:pPr>
                    <w:pStyle w:val="TableBodyText"/>
                  </w:pPr>
                  <w:r>
                    <w:t>0.6</w:t>
                  </w:r>
                </w:p>
              </w:tc>
              <w:tc>
                <w:tcPr>
                  <w:tcW w:w="964" w:type="dxa"/>
                  <w:vAlign w:val="center"/>
                </w:tcPr>
                <w:p w:rsidR="00AC2131" w:rsidRDefault="00AC2131" w:rsidP="00AC2131">
                  <w:pPr>
                    <w:pStyle w:val="TableBodyText"/>
                  </w:pPr>
                  <w:r>
                    <w:t>0.6</w:t>
                  </w:r>
                </w:p>
              </w:tc>
              <w:tc>
                <w:tcPr>
                  <w:tcW w:w="964" w:type="dxa"/>
                  <w:vAlign w:val="center"/>
                </w:tcPr>
                <w:p w:rsidR="00AC2131" w:rsidRDefault="00AC2131" w:rsidP="00AC2131">
                  <w:pPr>
                    <w:pStyle w:val="TableBodyText"/>
                  </w:pPr>
                  <w:r>
                    <w:t>0.6</w:t>
                  </w:r>
                </w:p>
              </w:tc>
            </w:tr>
            <w:tr w:rsidR="00AC2131" w:rsidTr="00AC2131">
              <w:tc>
                <w:tcPr>
                  <w:tcW w:w="2721" w:type="dxa"/>
                </w:tcPr>
                <w:p w:rsidR="00AC2131" w:rsidRPr="00F22AF1" w:rsidRDefault="00AC2131" w:rsidP="00AC2131">
                  <w:pPr>
                    <w:pStyle w:val="TableBodyText"/>
                    <w:jc w:val="left"/>
                  </w:pPr>
                  <w:r w:rsidRPr="00F22AF1">
                    <w:t>Machinery and equipment</w:t>
                  </w:r>
                </w:p>
              </w:tc>
              <w:tc>
                <w:tcPr>
                  <w:tcW w:w="964" w:type="dxa"/>
                  <w:vAlign w:val="center"/>
                </w:tcPr>
                <w:p w:rsidR="00AC2131" w:rsidRDefault="00AC2131" w:rsidP="00AC2131">
                  <w:pPr>
                    <w:pStyle w:val="TableBodyText"/>
                  </w:pPr>
                  <w:r>
                    <w:t>3.2</w:t>
                  </w:r>
                </w:p>
              </w:tc>
              <w:tc>
                <w:tcPr>
                  <w:tcW w:w="964" w:type="dxa"/>
                  <w:vAlign w:val="center"/>
                </w:tcPr>
                <w:p w:rsidR="00AC2131" w:rsidRDefault="00AC2131" w:rsidP="00AC2131">
                  <w:pPr>
                    <w:pStyle w:val="TableBodyText"/>
                  </w:pPr>
                  <w:r>
                    <w:t>3.3</w:t>
                  </w:r>
                </w:p>
              </w:tc>
              <w:tc>
                <w:tcPr>
                  <w:tcW w:w="964" w:type="dxa"/>
                  <w:vAlign w:val="center"/>
                </w:tcPr>
                <w:p w:rsidR="00AC2131" w:rsidRDefault="00AC2131" w:rsidP="00AC2131">
                  <w:pPr>
                    <w:pStyle w:val="TableBodyText"/>
                  </w:pPr>
                  <w:r>
                    <w:t>3.0</w:t>
                  </w:r>
                </w:p>
              </w:tc>
              <w:tc>
                <w:tcPr>
                  <w:tcW w:w="964" w:type="dxa"/>
                  <w:vAlign w:val="center"/>
                </w:tcPr>
                <w:p w:rsidR="00AC2131" w:rsidRDefault="00AC2131" w:rsidP="00AC2131">
                  <w:pPr>
                    <w:pStyle w:val="TableBodyText"/>
                  </w:pPr>
                  <w:r>
                    <w:t>2.9</w:t>
                  </w:r>
                </w:p>
              </w:tc>
              <w:tc>
                <w:tcPr>
                  <w:tcW w:w="964" w:type="dxa"/>
                  <w:vAlign w:val="center"/>
                </w:tcPr>
                <w:p w:rsidR="00AC2131" w:rsidRDefault="00AC2131" w:rsidP="00AC2131">
                  <w:pPr>
                    <w:pStyle w:val="TableBodyText"/>
                  </w:pPr>
                  <w:r>
                    <w:t>2.9</w:t>
                  </w:r>
                </w:p>
              </w:tc>
              <w:tc>
                <w:tcPr>
                  <w:tcW w:w="964" w:type="dxa"/>
                  <w:vAlign w:val="center"/>
                </w:tcPr>
                <w:p w:rsidR="00AC2131" w:rsidRDefault="00AC2131" w:rsidP="00AC2131">
                  <w:pPr>
                    <w:pStyle w:val="TableBodyText"/>
                  </w:pPr>
                  <w:r>
                    <w:t>2.8</w:t>
                  </w:r>
                </w:p>
              </w:tc>
            </w:tr>
            <w:tr w:rsidR="00AC2131" w:rsidTr="00AC2131">
              <w:tc>
                <w:tcPr>
                  <w:tcW w:w="2721" w:type="dxa"/>
                  <w:tcBorders>
                    <w:bottom w:val="single" w:sz="6" w:space="0" w:color="BFBFBF"/>
                  </w:tcBorders>
                  <w:shd w:val="clear" w:color="auto" w:fill="auto"/>
                </w:tcPr>
                <w:p w:rsidR="00AC2131" w:rsidRDefault="00AC2131" w:rsidP="00AC2131">
                  <w:pPr>
                    <w:pStyle w:val="TableBodyText"/>
                    <w:jc w:val="left"/>
                  </w:pPr>
                  <w:r>
                    <w:t>Furniture and other products</w:t>
                  </w:r>
                </w:p>
              </w:tc>
              <w:tc>
                <w:tcPr>
                  <w:tcW w:w="964" w:type="dxa"/>
                  <w:tcBorders>
                    <w:bottom w:val="single" w:sz="6" w:space="0" w:color="BFBFBF"/>
                  </w:tcBorders>
                  <w:vAlign w:val="center"/>
                </w:tcPr>
                <w:p w:rsidR="00AC2131" w:rsidRDefault="00AC2131" w:rsidP="00AC2131">
                  <w:pPr>
                    <w:pStyle w:val="TableBodyText"/>
                  </w:pPr>
                  <w:r>
                    <w:t>4.6</w:t>
                  </w:r>
                </w:p>
              </w:tc>
              <w:tc>
                <w:tcPr>
                  <w:tcW w:w="964" w:type="dxa"/>
                  <w:tcBorders>
                    <w:bottom w:val="single" w:sz="6" w:space="0" w:color="BFBFBF"/>
                  </w:tcBorders>
                  <w:vAlign w:val="center"/>
                </w:tcPr>
                <w:p w:rsidR="00AC2131" w:rsidRDefault="00AC2131" w:rsidP="00AC2131">
                  <w:pPr>
                    <w:pStyle w:val="TableBodyText"/>
                  </w:pPr>
                  <w:r>
                    <w:t>4.8</w:t>
                  </w:r>
                </w:p>
              </w:tc>
              <w:tc>
                <w:tcPr>
                  <w:tcW w:w="964" w:type="dxa"/>
                  <w:tcBorders>
                    <w:bottom w:val="single" w:sz="6" w:space="0" w:color="BFBFBF"/>
                  </w:tcBorders>
                  <w:vAlign w:val="center"/>
                </w:tcPr>
                <w:p w:rsidR="00AC2131" w:rsidRDefault="00AC2131" w:rsidP="00AC2131">
                  <w:pPr>
                    <w:pStyle w:val="TableBodyText"/>
                  </w:pPr>
                  <w:r>
                    <w:t>4.7</w:t>
                  </w:r>
                </w:p>
              </w:tc>
              <w:tc>
                <w:tcPr>
                  <w:tcW w:w="964" w:type="dxa"/>
                  <w:tcBorders>
                    <w:bottom w:val="single" w:sz="6" w:space="0" w:color="BFBFBF"/>
                  </w:tcBorders>
                  <w:vAlign w:val="center"/>
                </w:tcPr>
                <w:p w:rsidR="00AC2131" w:rsidRDefault="00AC2131" w:rsidP="00AC2131">
                  <w:pPr>
                    <w:pStyle w:val="TableBodyText"/>
                  </w:pPr>
                  <w:r>
                    <w:t>4.8</w:t>
                  </w:r>
                </w:p>
              </w:tc>
              <w:tc>
                <w:tcPr>
                  <w:tcW w:w="964" w:type="dxa"/>
                  <w:tcBorders>
                    <w:bottom w:val="single" w:sz="6" w:space="0" w:color="BFBFBF"/>
                  </w:tcBorders>
                  <w:shd w:val="clear" w:color="auto" w:fill="auto"/>
                  <w:vAlign w:val="center"/>
                </w:tcPr>
                <w:p w:rsidR="00AC2131" w:rsidRDefault="00AC2131" w:rsidP="00AC2131">
                  <w:pPr>
                    <w:pStyle w:val="TableBodyText"/>
                  </w:pPr>
                  <w:r>
                    <w:t>4.8</w:t>
                  </w:r>
                </w:p>
              </w:tc>
              <w:tc>
                <w:tcPr>
                  <w:tcW w:w="964" w:type="dxa"/>
                  <w:tcBorders>
                    <w:bottom w:val="single" w:sz="6" w:space="0" w:color="BFBFBF"/>
                  </w:tcBorders>
                  <w:shd w:val="clear" w:color="auto" w:fill="auto"/>
                  <w:vAlign w:val="center"/>
                </w:tcPr>
                <w:p w:rsidR="00AC2131" w:rsidRDefault="00AC2131" w:rsidP="00AC2131">
                  <w:pPr>
                    <w:pStyle w:val="TableBodyText"/>
                  </w:pPr>
                  <w:r>
                    <w:t>4.8</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sidRPr="008E77FE">
              <w:rPr>
                <w:rStyle w:val="NoteLabel"/>
              </w:rPr>
              <w:t>a</w:t>
            </w:r>
            <w:r>
              <w:t> </w:t>
            </w:r>
            <w:r w:rsidRPr="00BA3B01">
              <w:t xml:space="preserve">Combined assistance comprises </w:t>
            </w:r>
            <w:r>
              <w:t xml:space="preserve">tariff, </w:t>
            </w:r>
            <w:r w:rsidRPr="00BA3B01">
              <w:t>budgetary, and agricultural pricing assistance</w:t>
            </w:r>
            <w:r>
              <w:t xml:space="preserve">. </w:t>
            </w:r>
            <w:r>
              <w:rPr>
                <w:rStyle w:val="NoteLabel"/>
              </w:rPr>
              <w:t>b</w:t>
            </w:r>
            <w:r>
              <w:t> </w:t>
            </w:r>
            <w:r w:rsidRPr="00BA3B01">
              <w:t>Sectoral estimates include assistance to the sector that has not been allocated to specific industry groupings</w:t>
            </w:r>
            <w:r>
              <w:t xml:space="preserve">. </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With the legislated reduction of remaining textiles, leather, clothing and footwear tariffs from 10 to 5 per cent in January 2015 and announced rationalisation of the automotive industry, effective assistance to those industries is likely to decline further (chapter 6).</w:t>
      </w:r>
    </w:p>
    <w:p w:rsidR="00AC2131" w:rsidRDefault="00AC2131" w:rsidP="00AC2131">
      <w:pPr>
        <w:pStyle w:val="Heading4"/>
      </w:pPr>
      <w:r>
        <w:t>Dairy cattle farming and Sheep, beef cattle and grain farming</w:t>
      </w:r>
    </w:p>
    <w:p w:rsidR="00AC2131" w:rsidRDefault="00AC2131" w:rsidP="00AC2131">
      <w:pPr>
        <w:pStyle w:val="BodyText"/>
      </w:pPr>
      <w:r>
        <w:t xml:space="preserve">The estimated effective rate of assistance for </w:t>
      </w:r>
      <w:r w:rsidRPr="00BD24C0">
        <w:rPr>
          <w:i/>
        </w:rPr>
        <w:t>Dairy cattle farming</w:t>
      </w:r>
      <w:r>
        <w:t xml:space="preserve"> declined markedly from 2009</w:t>
      </w:r>
      <w:r>
        <w:noBreakHyphen/>
        <w:t>10 to 2013</w:t>
      </w:r>
      <w:r>
        <w:noBreakHyphen/>
        <w:t xml:space="preserve">14 — from 6.6 per cent to 1.9 per cent. This largely reflects a decline in Exceptional Circumstances drought support. Prior to the dairy industry’s deregulation in July 2000, the effective rate of combined assistance was estimated to exceed 30 per cent. </w:t>
      </w:r>
    </w:p>
    <w:p w:rsidR="00AC2131" w:rsidRDefault="00AC2131" w:rsidP="00AC2131">
      <w:pPr>
        <w:pStyle w:val="BodyText"/>
      </w:pPr>
      <w:r>
        <w:t>Reflecting lower claims for Exceptional Circumstances drought support largely following the easing of drought conditions to 2012</w:t>
      </w:r>
      <w:r>
        <w:noBreakHyphen/>
        <w:t xml:space="preserve">13, the effective rate of assistance for the </w:t>
      </w:r>
      <w:r w:rsidRPr="00C23767">
        <w:rPr>
          <w:i/>
        </w:rPr>
        <w:t>Sheep, beef cattle and grain farming</w:t>
      </w:r>
      <w:r>
        <w:t xml:space="preserve"> group declined from 6.6 per cent in 2009</w:t>
      </w:r>
      <w:r>
        <w:noBreakHyphen/>
        <w:t xml:space="preserve">10 to 3.2 per cent </w:t>
      </w:r>
      <w:r>
        <w:lastRenderedPageBreak/>
        <w:t>in 2013</w:t>
      </w:r>
      <w:r>
        <w:noBreakHyphen/>
        <w:t>14</w:t>
      </w:r>
      <w:r w:rsidRPr="00C63197">
        <w:t xml:space="preserve">. </w:t>
      </w:r>
      <w:r>
        <w:t>Although the general reduction of drought and other support since 2008</w:t>
      </w:r>
      <w:r>
        <w:noBreakHyphen/>
        <w:t xml:space="preserve">09 has been associated with lower effective assistance to </w:t>
      </w:r>
      <w:r>
        <w:rPr>
          <w:i/>
        </w:rPr>
        <w:t>S</w:t>
      </w:r>
      <w:r w:rsidRPr="003901A8">
        <w:rPr>
          <w:i/>
        </w:rPr>
        <w:t>heep, beef cattle and grain farming</w:t>
      </w:r>
      <w:r>
        <w:t>, effective assistance to the group increased from 2012</w:t>
      </w:r>
      <w:r>
        <w:noBreakHyphen/>
        <w:t>13 to 2013</w:t>
      </w:r>
      <w:r>
        <w:noBreakHyphen/>
        <w:t>14 with higher budgetary assistance from the Carbon Farming Futures program (an additional $30 million in 2013</w:t>
      </w:r>
      <w:r>
        <w:noBreakHyphen/>
        <w:t>14 relative to 2012</w:t>
      </w:r>
      <w:r>
        <w:noBreakHyphen/>
        <w:t xml:space="preserve">13), R&amp;D support (an additional $24 million) and the Small Business Depreciation Rules scheme (an additional $75 million). </w:t>
      </w:r>
    </w:p>
    <w:p w:rsidR="00AC2131" w:rsidRDefault="00AC2131" w:rsidP="00AC2131">
      <w:pPr>
        <w:pStyle w:val="BodyText"/>
      </w:pPr>
      <w:r w:rsidRPr="00C63197">
        <w:t xml:space="preserve">Declines were also estimated over the period for some other agricultural industry groupings because of lower claims for drought support. </w:t>
      </w:r>
    </w:p>
    <w:p w:rsidR="00AC2131" w:rsidRDefault="00AC2131" w:rsidP="00AC2131">
      <w:pPr>
        <w:pStyle w:val="Heading4"/>
      </w:pPr>
      <w:r>
        <w:t>Forestry and logging</w:t>
      </w:r>
    </w:p>
    <w:p w:rsidR="00AC2131" w:rsidRDefault="00AC2131" w:rsidP="00AC2131">
      <w:pPr>
        <w:pStyle w:val="BodyText"/>
      </w:pPr>
      <w:r>
        <w:t xml:space="preserve">The estimated effective rate of assistance to </w:t>
      </w:r>
      <w:r w:rsidRPr="004A0402">
        <w:rPr>
          <w:i/>
        </w:rPr>
        <w:t>Forestry and logging</w:t>
      </w:r>
      <w:r>
        <w:t xml:space="preserve"> has changed markedly over recent years. The effective rate of assistance for </w:t>
      </w:r>
      <w:r w:rsidRPr="004A0402">
        <w:rPr>
          <w:i/>
        </w:rPr>
        <w:t>Forestry and logging</w:t>
      </w:r>
      <w:r w:rsidRPr="00C63197">
        <w:t xml:space="preserve"> </w:t>
      </w:r>
      <w:r>
        <w:t>was 6.9 per cent in 2007</w:t>
      </w:r>
      <w:r>
        <w:noBreakHyphen/>
        <w:t>08. The change to negative 1.3 per cent in 2008</w:t>
      </w:r>
      <w:r>
        <w:noBreakHyphen/>
        <w:t>09 and then back to 4.7 per cent in 2009</w:t>
      </w:r>
      <w:r>
        <w:noBreakHyphen/>
        <w:t>10, reflects the impact of changes in the direction of accelerated write-offs on forestry-managed investments from positive assistance in 2007</w:t>
      </w:r>
      <w:r>
        <w:noBreakHyphen/>
        <w:t>08 (the acceleration stage) to increased taxation in 2008</w:t>
      </w:r>
      <w:r>
        <w:noBreakHyphen/>
        <w:t xml:space="preserve">09 (the pay-back stage). The Forestry Managed Investment Scheme was terminated on 30 June 2008. </w:t>
      </w:r>
    </w:p>
    <w:p w:rsidR="00AC2131" w:rsidRDefault="00AC2131" w:rsidP="00AC2131">
      <w:pPr>
        <w:pStyle w:val="BodyText"/>
      </w:pPr>
      <w:r>
        <w:t xml:space="preserve">Effective rates of assistance to </w:t>
      </w:r>
      <w:r w:rsidRPr="004A0402">
        <w:rPr>
          <w:i/>
        </w:rPr>
        <w:t>Forestry and logging</w:t>
      </w:r>
      <w:r>
        <w:t xml:space="preserve"> have stabilised in more recent years at around 4 to 5 per </w:t>
      </w:r>
      <w:r w:rsidRPr="007929D9">
        <w:t xml:space="preserve">cent reflecting </w:t>
      </w:r>
      <w:r>
        <w:t xml:space="preserve">the effect of </w:t>
      </w:r>
      <w:r w:rsidRPr="007929D9">
        <w:t>structural adjustment packages for the Tasmanian forestry industry</w:t>
      </w:r>
      <w:r>
        <w:t>, the small business capital gains tax concessions schemes and net tariff assistance to forestry and logging</w:t>
      </w:r>
      <w:r w:rsidRPr="007929D9">
        <w:t xml:space="preserve">. </w:t>
      </w:r>
    </w:p>
    <w:p w:rsidR="00AC2131" w:rsidRDefault="00AC2131" w:rsidP="00AC2131">
      <w:pPr>
        <w:pStyle w:val="Heading3"/>
      </w:pPr>
      <w:r>
        <w:t>Effective rates at the firm level</w:t>
      </w:r>
    </w:p>
    <w:p w:rsidR="00AC2131" w:rsidRDefault="00AC2131" w:rsidP="00AC2131">
      <w:pPr>
        <w:pStyle w:val="BodyText"/>
      </w:pPr>
      <w:r w:rsidRPr="004710F2">
        <w:t xml:space="preserve">While present effective rates </w:t>
      </w:r>
      <w:r>
        <w:t xml:space="preserve">for agriculture and manufacturing </w:t>
      </w:r>
      <w:r w:rsidRPr="004710F2">
        <w:t xml:space="preserve">are historically low, the effective rate of assistance for an individual company or project can be </w:t>
      </w:r>
      <w:r>
        <w:t>substantial</w:t>
      </w:r>
      <w:r w:rsidRPr="004710F2">
        <w:t xml:space="preserve">. </w:t>
      </w:r>
      <w:r>
        <w:t xml:space="preserve">This can be particularly so when a grant program is targeted at particular </w:t>
      </w:r>
      <w:r w:rsidRPr="004710F2">
        <w:t>goods</w:t>
      </w:r>
      <w:r>
        <w:t>-</w:t>
      </w:r>
      <w:r w:rsidRPr="004710F2">
        <w:t>producing and service</w:t>
      </w:r>
      <w:r>
        <w:t>s</w:t>
      </w:r>
      <w:r w:rsidRPr="004710F2">
        <w:t xml:space="preserve"> activities </w:t>
      </w:r>
      <w:r>
        <w:t xml:space="preserve">and </w:t>
      </w:r>
      <w:r w:rsidRPr="004710F2">
        <w:t>provide</w:t>
      </w:r>
      <w:r>
        <w:t>s</w:t>
      </w:r>
      <w:r w:rsidRPr="004710F2">
        <w:t xml:space="preserve"> </w:t>
      </w:r>
      <w:r>
        <w:t xml:space="preserve">a </w:t>
      </w:r>
      <w:r w:rsidRPr="004710F2">
        <w:t xml:space="preserve">subsidy equivalent for </w:t>
      </w:r>
      <w:r>
        <w:t xml:space="preserve">the </w:t>
      </w:r>
      <w:r w:rsidRPr="004710F2">
        <w:t>supported projects well above industry averages</w:t>
      </w:r>
      <w:r>
        <w:t xml:space="preserve"> (box 5.5)</w:t>
      </w:r>
      <w:r w:rsidRPr="004710F2">
        <w:t xml:space="preserve">. This can be quite distortionary, </w:t>
      </w:r>
      <w:r>
        <w:t xml:space="preserve">both </w:t>
      </w:r>
      <w:r w:rsidRPr="004710F2">
        <w:t>within an industry as well as at the economy-wide level.</w:t>
      </w:r>
      <w:r>
        <w:t xml:space="preserve">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 xml:space="preserve">Box </w:t>
            </w:r>
            <w:bookmarkStart w:id="15" w:name="OLE_LINK5"/>
            <w:r>
              <w:rPr>
                <w:b w:val="0"/>
              </w:rPr>
              <w:t>5.</w:t>
            </w:r>
            <w:r>
              <w:rPr>
                <w:b w:val="0"/>
                <w:noProof/>
              </w:rPr>
              <w:t>5</w:t>
            </w:r>
            <w:bookmarkEnd w:id="15"/>
            <w:r>
              <w:tab/>
              <w:t>Assistance measures that provide above average levels of support</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It is an empirical question as to whether the level of effective assistance that may accrue to a company or project from a grant program is above an industry average or not. Estimation of effective assistance would require information about the output and value-added from an activity as well as information on goods and services inputs to production on a consistent basis as the industry total. The collection of such information across programs is not undertaken for this review. Because not all firms in any industry receive government grants, assistance accruing to specific firms and projects will deliver above average assistance compared to the industry as a whole. Grant programs that afford matched funding or which target one or a small range of firms (or projects) will potentially also confer higher levels of relative assistance. Some examples of government support with the potential to provide above industry-average assistance levels include the following.</w:t>
            </w:r>
          </w:p>
          <w:p w:rsidR="00AC2131" w:rsidRDefault="00AC2131" w:rsidP="00AC2131">
            <w:pPr>
              <w:pStyle w:val="BoxListBullet"/>
              <w:tabs>
                <w:tab w:val="clear" w:pos="284"/>
                <w:tab w:val="num" w:pos="403"/>
              </w:tabs>
              <w:ind w:left="403" w:hanging="425"/>
            </w:pPr>
            <w:r>
              <w:t>Film industry offsets — government support provided by the producer tax offset (part of the Australian Screen Production Incentive) amounted to $223 million in 2013</w:t>
            </w:r>
            <w:r>
              <w:noBreakHyphen/>
              <w:t xml:space="preserve">14. This assistance was used to support $822 million in production budgets for the Australian film and television industry which amounted to over 25 per cent of production costs. </w:t>
            </w:r>
          </w:p>
          <w:p w:rsidR="00AC2131" w:rsidRDefault="00AC2131" w:rsidP="00AC2131">
            <w:pPr>
              <w:pStyle w:val="BoxListBullet"/>
              <w:tabs>
                <w:tab w:val="clear" w:pos="284"/>
                <w:tab w:val="num" w:pos="403"/>
              </w:tabs>
              <w:ind w:left="403" w:hanging="425"/>
            </w:pPr>
            <w:r>
              <w:t xml:space="preserve">Tasmanian Freight Equalisation Scheme (TFES) — </w:t>
            </w:r>
            <w:r w:rsidRPr="00F0029D">
              <w:t>eligibility for the TFES is arbitrary and the direct recipients are concentrated, with 50</w:t>
            </w:r>
            <w:r>
              <w:t> </w:t>
            </w:r>
            <w:r w:rsidRPr="00F0029D">
              <w:t>per</w:t>
            </w:r>
            <w:r>
              <w:t> </w:t>
            </w:r>
            <w:r w:rsidRPr="00F0029D">
              <w:t>cent of the total amount claimed going to 10</w:t>
            </w:r>
            <w:r>
              <w:t> </w:t>
            </w:r>
            <w:r w:rsidRPr="00F0029D">
              <w:t>recipients</w:t>
            </w:r>
            <w:r>
              <w:t xml:space="preserve"> (PC 2014f). </w:t>
            </w:r>
          </w:p>
          <w:p w:rsidR="00AC2131" w:rsidRDefault="00AC2131" w:rsidP="00AC2131">
            <w:pPr>
              <w:pStyle w:val="BoxListBullet"/>
              <w:tabs>
                <w:tab w:val="clear" w:pos="284"/>
                <w:tab w:val="num" w:pos="403"/>
              </w:tabs>
              <w:ind w:left="403" w:hanging="425"/>
            </w:pPr>
            <w:r>
              <w:t>Co-investment grants — o</w:t>
            </w:r>
            <w:r w:rsidRPr="00D47BD0">
              <w:t>ver the three years to 2013</w:t>
            </w:r>
            <w:r>
              <w:noBreakHyphen/>
            </w:r>
            <w:r w:rsidRPr="00D47BD0">
              <w:t>14, nearly $50</w:t>
            </w:r>
            <w:r>
              <w:t> </w:t>
            </w:r>
            <w:r w:rsidRPr="00D47BD0">
              <w:t xml:space="preserve">million in co-investment grants has been paid to </w:t>
            </w:r>
            <w:r>
              <w:t xml:space="preserve">four </w:t>
            </w:r>
            <w:r w:rsidRPr="00D47BD0">
              <w:t>firms by the Australian Government and an (unanswered) call for a further $375 million</w:t>
            </w:r>
            <w:r>
              <w:t xml:space="preserve"> to other entities has been made. These </w:t>
            </w:r>
            <w:r w:rsidRPr="00D47BD0">
              <w:t>payments can confer high levels of assistance at the individual firm or project level</w:t>
            </w:r>
            <w:r>
              <w:t xml:space="preserve"> (chapter 3)</w:t>
            </w:r>
            <w:r w:rsidRPr="00D47BD0">
              <w:t>.</w:t>
            </w:r>
            <w:r>
              <w:t xml:space="preserve"> </w:t>
            </w:r>
          </w:p>
          <w:p w:rsidR="00AC2131" w:rsidRDefault="00AC2131" w:rsidP="00AC2131">
            <w:pPr>
              <w:pStyle w:val="BoxListBullet"/>
              <w:tabs>
                <w:tab w:val="clear" w:pos="284"/>
                <w:tab w:val="num" w:pos="403"/>
              </w:tabs>
              <w:ind w:left="403" w:hanging="425"/>
            </w:pPr>
            <w:r>
              <w:t>Ethanol production subsidy — between 2003</w:t>
            </w:r>
            <w:r>
              <w:noBreakHyphen/>
              <w:t>04 and 2013</w:t>
            </w:r>
            <w:r>
              <w:noBreakHyphen/>
              <w:t xml:space="preserve">14, participants in the program ranged from between 1 and 5 firms, with a single firm receiving over 70 per cent of funding over the life of the program (ANAO 2015). </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2"/>
      </w:pPr>
      <w:r>
        <w:t>5.</w:t>
      </w:r>
      <w:r>
        <w:rPr>
          <w:noProof/>
        </w:rPr>
        <w:t>5</w:t>
      </w:r>
      <w:r>
        <w:tab/>
        <w:t>Effective rates of assistance since 1970</w:t>
      </w:r>
    </w:p>
    <w:p w:rsidR="00AC2131" w:rsidRDefault="00AC2131" w:rsidP="00AC2131">
      <w:pPr>
        <w:pStyle w:val="BodyText"/>
      </w:pPr>
      <w:r>
        <w:t xml:space="preserve">The Commission’s combined assistance estimates comprise tariff assistance, budgetary outlays, tax concessions and agricultural pricing assistance. </w:t>
      </w:r>
      <w:r w:rsidRPr="00931F92">
        <w:t xml:space="preserve">Combined assistance is reported in terms of the net value of assistance and its components, and </w:t>
      </w:r>
      <w:r>
        <w:t>as a proportion of unassisted value-added (</w:t>
      </w:r>
      <w:r w:rsidRPr="00931F92">
        <w:t xml:space="preserve">the effective rate of assistance </w:t>
      </w:r>
      <w:r>
        <w:t>— section 5.4)</w:t>
      </w:r>
      <w:r w:rsidRPr="00931F92">
        <w:t>.</w:t>
      </w:r>
      <w:r>
        <w:t xml:space="preserve"> </w:t>
      </w:r>
    </w:p>
    <w:p w:rsidR="00AC2131" w:rsidRDefault="00AC2131" w:rsidP="00AC2131">
      <w:pPr>
        <w:pStyle w:val="BodyText"/>
      </w:pPr>
      <w:r>
        <w:t xml:space="preserve">The Commission has estimated effective rates of assistance to the manufacturing and agricultural sectors since the early 1970s. The estimates have been derived in several ‘series’, each spanning a number of consecutive years, with each series retaining a common methodology, coverage of measures and data sources across those years. While methodologies and data sources have changed between series, taken together, the series provide a broad indication of directions and trends in assistance at the sectoral level. </w:t>
      </w:r>
    </w:p>
    <w:p w:rsidR="00AC2131" w:rsidRPr="00B46C2D" w:rsidRDefault="00AC2131" w:rsidP="00AC2131">
      <w:pPr>
        <w:pStyle w:val="BodyText"/>
        <w:rPr>
          <w:spacing w:val="-2"/>
        </w:rPr>
      </w:pPr>
      <w:r w:rsidRPr="00B46C2D">
        <w:rPr>
          <w:spacing w:val="-2"/>
        </w:rPr>
        <w:lastRenderedPageBreak/>
        <w:t>Figure 5.8 presents effective rate of assistance estimates from the different series from 1970</w:t>
      </w:r>
      <w:r w:rsidRPr="00B46C2D">
        <w:rPr>
          <w:spacing w:val="-2"/>
        </w:rPr>
        <w:noBreakHyphen/>
        <w:t>71 to the present. Breaks in the series are represented by gaps in the chart, and overlaps are included to show the effects of the methodological and data changes made in moving between series. In figure 5.8, estimates of the effective rate of assistance for the previous 2004</w:t>
      </w:r>
      <w:r w:rsidRPr="00B46C2D">
        <w:rPr>
          <w:spacing w:val="-2"/>
        </w:rPr>
        <w:noBreakHyphen/>
        <w:t>05 benchmarked series are reported for the years 2005</w:t>
      </w:r>
      <w:r w:rsidRPr="00B46C2D">
        <w:rPr>
          <w:spacing w:val="-2"/>
        </w:rPr>
        <w:noBreakHyphen/>
        <w:t>06 to 2008</w:t>
      </w:r>
      <w:r w:rsidRPr="00B46C2D">
        <w:rPr>
          <w:spacing w:val="-2"/>
        </w:rPr>
        <w:noBreakHyphen/>
        <w:t>09. Estimates for the current 2008</w:t>
      </w:r>
      <w:r w:rsidRPr="00B46C2D">
        <w:rPr>
          <w:spacing w:val="-2"/>
        </w:rPr>
        <w:noBreakHyphen/>
        <w:t>09 benchmark series are reported for the years 2006</w:t>
      </w:r>
      <w:r w:rsidRPr="00B46C2D">
        <w:rPr>
          <w:spacing w:val="-2"/>
        </w:rPr>
        <w:noBreakHyphen/>
        <w:t>07 to 2013</w:t>
      </w:r>
      <w:r w:rsidRPr="00B46C2D">
        <w:rPr>
          <w:spacing w:val="-2"/>
        </w:rPr>
        <w:noBreakHyphen/>
        <w:t xml:space="preserve">14.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8C60D4">
              <w:rPr>
                <w:b w:val="0"/>
              </w:rPr>
              <w:t xml:space="preserve">Figure </w:t>
            </w:r>
            <w:bookmarkStart w:id="16" w:name="OLE_LINK16"/>
            <w:r w:rsidRPr="008C60D4">
              <w:rPr>
                <w:b w:val="0"/>
              </w:rPr>
              <w:t>5.</w:t>
            </w:r>
            <w:r w:rsidRPr="008C60D4">
              <w:rPr>
                <w:b w:val="0"/>
                <w:noProof/>
              </w:rPr>
              <w:t>8</w:t>
            </w:r>
            <w:bookmarkEnd w:id="16"/>
            <w:r>
              <w:tab/>
              <w:t>Effective rates of assistance to manufacturing and agriculture,</w:t>
            </w:r>
            <w:r w:rsidRPr="00B46C2D">
              <w:rPr>
                <w:rStyle w:val="NoteLabel"/>
              </w:rPr>
              <w:t>a</w:t>
            </w:r>
            <w:r>
              <w:t xml:space="preserve"> 1970</w:t>
            </w:r>
            <w:r>
              <w:noBreakHyphen/>
              <w:t>71 to 2013</w:t>
            </w:r>
            <w:r>
              <w:noBreakHyphen/>
              <w:t>14</w:t>
            </w:r>
          </w:p>
          <w:p w:rsidR="00AC2131" w:rsidRPr="00176D3F" w:rsidRDefault="00AC2131" w:rsidP="00AC2131">
            <w:pPr>
              <w:pStyle w:val="Subtitle"/>
            </w:pPr>
            <w:r>
              <w:t>per cent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Default="00AC2131" w:rsidP="00AC2131">
                  <w:pPr>
                    <w:pStyle w:val="Figure"/>
                    <w:spacing w:before="60" w:after="60"/>
                  </w:pPr>
                  <w:r>
                    <w:rPr>
                      <w:noProof/>
                    </w:rPr>
                    <w:drawing>
                      <wp:inline distT="0" distB="0" distL="0" distR="0" wp14:anchorId="79AD52B8" wp14:editId="094B6884">
                        <wp:extent cx="5400675" cy="2876550"/>
                        <wp:effectExtent l="0" t="0" r="9525" b="0"/>
                        <wp:docPr id="31" name="Picture 31" descr="Figure 5.8 presents effective rates of assistance to manufacturing and agriculture from 1970-71 to 2013-14.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Note"/>
            </w:pPr>
            <w:r>
              <w:rPr>
                <w:rStyle w:val="NoteLabel"/>
              </w:rPr>
              <w:t>a</w:t>
            </w:r>
            <w:r>
              <w:t> </w:t>
            </w:r>
            <w:r w:rsidRPr="007E3CF1">
              <w:t>Refers to selected agriculture activities up to and including the year 2000</w:t>
            </w:r>
            <w:r>
              <w:noBreakHyphen/>
            </w:r>
            <w:r w:rsidRPr="007E3CF1">
              <w:t>01. From 2001</w:t>
            </w:r>
            <w:r>
              <w:noBreakHyphen/>
            </w:r>
            <w:r w:rsidRPr="007E3CF1">
              <w:t>02, estimates refer to division A of the Australian and New Zealand Standard Industrial Classification which covers agriculture, forestry, fishing and hunting activities.</w:t>
            </w:r>
            <w:r>
              <w:t xml:space="preserve"> </w:t>
            </w: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 xml:space="preserve">Commission estimates. </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3"/>
      </w:pPr>
      <w:r>
        <w:t>Manufacturing</w:t>
      </w:r>
    </w:p>
    <w:p w:rsidR="00AC2131" w:rsidRPr="00B46C2D" w:rsidRDefault="00AC2131" w:rsidP="00AC2131">
      <w:pPr>
        <w:pStyle w:val="BodyText"/>
        <w:rPr>
          <w:spacing w:val="-4"/>
        </w:rPr>
      </w:pPr>
      <w:r w:rsidRPr="00B46C2D">
        <w:rPr>
          <w:spacing w:val="-4"/>
        </w:rPr>
        <w:t>The estimates indicate a marked decline in measured assistance to the manufacturing sector over the last 35 years. The estimated effective rate of assistance for manufacturing as a whole (as calculated in the first series) was around 35 per cent in 1970</w:t>
      </w:r>
      <w:r w:rsidRPr="00B46C2D">
        <w:rPr>
          <w:spacing w:val="-4"/>
        </w:rPr>
        <w:noBreakHyphen/>
        <w:t xml:space="preserve">71, whereas since 2000, the rate has been around 5 per cent, declining to around 4 per cent in more recent years. </w:t>
      </w:r>
    </w:p>
    <w:p w:rsidR="00AC2131" w:rsidRDefault="00AC2131" w:rsidP="00AC2131">
      <w:pPr>
        <w:pStyle w:val="BodyText"/>
      </w:pPr>
      <w:r w:rsidRPr="00F2351F">
        <w:t xml:space="preserve">Major influences on this decline over the past four decades have been the </w:t>
      </w:r>
      <w:bookmarkStart w:id="17" w:name="OLE_LINK4"/>
      <w:r w:rsidRPr="00F2351F">
        <w:t>25</w:t>
      </w:r>
      <w:r>
        <w:t> </w:t>
      </w:r>
      <w:r w:rsidRPr="00F2351F">
        <w:t>per</w:t>
      </w:r>
      <w:r>
        <w:t> </w:t>
      </w:r>
      <w:r w:rsidRPr="00F2351F">
        <w:t>cent across-the-board tariff cut</w:t>
      </w:r>
      <w:bookmarkEnd w:id="17"/>
      <w:r w:rsidRPr="00F2351F">
        <w:t xml:space="preserve"> of 1973</w:t>
      </w:r>
      <w:r>
        <w:t xml:space="preserve">, the removal of all quantitative import restrictions (except for textiles, clothing and footwear) by 1988 and the </w:t>
      </w:r>
      <w:r w:rsidRPr="00F2351F">
        <w:t>broad programs of tariff reductions that commenced in the late 1980s</w:t>
      </w:r>
      <w:r>
        <w:t xml:space="preserve"> with </w:t>
      </w:r>
      <w:bookmarkStart w:id="18" w:name="OLE_LINK13"/>
      <w:r>
        <w:t xml:space="preserve">the May 1988 </w:t>
      </w:r>
      <w:r w:rsidRPr="008D4FC5">
        <w:rPr>
          <w:i/>
        </w:rPr>
        <w:t>Economic Statement</w:t>
      </w:r>
      <w:r>
        <w:t xml:space="preserve"> under which the Government introduced an across-the-board program to phase down all </w:t>
      </w:r>
      <w:r>
        <w:lastRenderedPageBreak/>
        <w:t>tariffs (except for passenger motor vehicles and textiles, clothing and footwear activities which had their own tariff reduction programs) to either 10 per cent or 15 per cent by 1992</w:t>
      </w:r>
      <w:bookmarkEnd w:id="18"/>
      <w:r>
        <w:t xml:space="preserve">. </w:t>
      </w:r>
    </w:p>
    <w:p w:rsidR="00AC2131" w:rsidRDefault="00AC2131" w:rsidP="00AC2131">
      <w:pPr>
        <w:pStyle w:val="BodyText"/>
      </w:pPr>
      <w:r>
        <w:t xml:space="preserve">Reductions in general tariff rates were continued with </w:t>
      </w:r>
      <w:bookmarkStart w:id="19" w:name="OLE_LINK17"/>
      <w:r>
        <w:t xml:space="preserve">the 1991 </w:t>
      </w:r>
      <w:r w:rsidRPr="008D4FC5">
        <w:rPr>
          <w:i/>
        </w:rPr>
        <w:t>Building a Competitive Australia</w:t>
      </w:r>
      <w:r>
        <w:t xml:space="preserve"> initiative under which general tariff rates were reduced from 15 and 10 per cent to a single rate of 5 per cent over the four years from 1992 to 1996</w:t>
      </w:r>
      <w:r w:rsidRPr="00F2351F">
        <w:t xml:space="preserve">. </w:t>
      </w:r>
      <w:r>
        <w:t xml:space="preserve">As part of the initiative, tariffs on passenger motor vehicles were reduced to 15 per cent by 2000 and </w:t>
      </w:r>
      <w:bookmarkStart w:id="20" w:name="OLE_LINK18"/>
      <w:r>
        <w:t xml:space="preserve">for textiles, clothing and footwear activities import quotas were abolished by 1993 </w:t>
      </w:r>
      <w:bookmarkEnd w:id="20"/>
      <w:r>
        <w:t xml:space="preserve">and tariffs phased down to a maximum of 25 per cent by 2000. </w:t>
      </w:r>
      <w:bookmarkEnd w:id="19"/>
    </w:p>
    <w:p w:rsidR="00AC2131" w:rsidRPr="00E170B5" w:rsidRDefault="00AC2131" w:rsidP="00AC2131">
      <w:pPr>
        <w:pStyle w:val="BodyText"/>
      </w:pPr>
      <w:r>
        <w:t>Subsequent d</w:t>
      </w:r>
      <w:r w:rsidRPr="00F2351F">
        <w:t xml:space="preserve">eclines </w:t>
      </w:r>
      <w:r>
        <w:t xml:space="preserve">in effective assistance to manufacturing </w:t>
      </w:r>
      <w:r w:rsidRPr="00F2351F">
        <w:t>have been associated mainly with reductions in tariff assistance to the</w:t>
      </w:r>
      <w:r w:rsidRPr="008F1FA3">
        <w:t xml:space="preserve"> textile, clothing and footwear, and passenger motor vehicle industries</w:t>
      </w:r>
      <w:r w:rsidRPr="00F2351F">
        <w:t xml:space="preserve">. </w:t>
      </w:r>
      <w:r>
        <w:t>Tariffs on passenger motor vehicles were further reduced from the 15 per cent set in January 2000 to 10 per cent in January 2005 and 5 per cent in January 2010. After the termination of tariff quotas in 1993 and the phasing of tariffs to a maximum of 25 per cent by the y</w:t>
      </w:r>
      <w:r w:rsidRPr="00E170B5">
        <w:t>ear 2000</w:t>
      </w:r>
      <w:r>
        <w:t>, m</w:t>
      </w:r>
      <w:r w:rsidRPr="00E170B5">
        <w:t xml:space="preserve">aximum textiles, clothing and footwear tariffs were </w:t>
      </w:r>
      <w:r>
        <w:t xml:space="preserve">reduced to </w:t>
      </w:r>
      <w:r w:rsidRPr="00E170B5">
        <w:t>17.5</w:t>
      </w:r>
      <w:r>
        <w:t> per cent in January </w:t>
      </w:r>
      <w:r w:rsidRPr="00E170B5">
        <w:t>2005</w:t>
      </w:r>
      <w:r>
        <w:t xml:space="preserve">, </w:t>
      </w:r>
      <w:r w:rsidRPr="00E170B5">
        <w:t>10</w:t>
      </w:r>
      <w:r>
        <w:t> per cent in January </w:t>
      </w:r>
      <w:r w:rsidRPr="00E170B5">
        <w:t xml:space="preserve">2010 and </w:t>
      </w:r>
      <w:r>
        <w:t xml:space="preserve">5 per cent in </w:t>
      </w:r>
      <w:r w:rsidRPr="00E170B5">
        <w:t>January 2015</w:t>
      </w:r>
      <w:r>
        <w:t xml:space="preserve">. </w:t>
      </w:r>
    </w:p>
    <w:p w:rsidR="00AC2131" w:rsidRDefault="00AC2131" w:rsidP="00AC2131">
      <w:pPr>
        <w:pStyle w:val="BodyText"/>
      </w:pPr>
      <w:r>
        <w:t>The</w:t>
      </w:r>
      <w:r w:rsidRPr="00F2351F">
        <w:t xml:space="preserve"> 5</w:t>
      </w:r>
      <w:r>
        <w:t> </w:t>
      </w:r>
      <w:r w:rsidRPr="00F2351F">
        <w:t>per</w:t>
      </w:r>
      <w:r>
        <w:t> </w:t>
      </w:r>
      <w:r w:rsidRPr="00F2351F">
        <w:t xml:space="preserve">cent tariff, </w:t>
      </w:r>
      <w:r>
        <w:t xml:space="preserve">now </w:t>
      </w:r>
      <w:r w:rsidRPr="00F2351F">
        <w:t>levied on over 50</w:t>
      </w:r>
      <w:r>
        <w:t> </w:t>
      </w:r>
      <w:r w:rsidRPr="00F2351F">
        <w:t>per</w:t>
      </w:r>
      <w:r>
        <w:t> </w:t>
      </w:r>
      <w:r w:rsidRPr="00F2351F">
        <w:t>cent of manufactured items of merchandise trade, continues to provide some assistance to many manufacturing activities, and an associated impost on consumers</w:t>
      </w:r>
      <w:r>
        <w:t>,</w:t>
      </w:r>
      <w:r w:rsidRPr="00F2351F">
        <w:t xml:space="preserve"> industry and government administration.</w:t>
      </w:r>
      <w:r>
        <w:t xml:space="preserve"> The tariffs also afford a margin of preference to eligible foreign exporters under Australia’s preferential bilateral and regional trade agreements. To satisfy eligibility requirements, exporters in partner economies must satisfy complex rules of origin (chapter 4). </w:t>
      </w:r>
    </w:p>
    <w:p w:rsidR="00AC2131" w:rsidRDefault="00AC2131" w:rsidP="00AC2131">
      <w:pPr>
        <w:pStyle w:val="Heading3"/>
      </w:pPr>
      <w:r>
        <w:t>Agriculture (primary production)</w:t>
      </w:r>
    </w:p>
    <w:p w:rsidR="00AC2131" w:rsidRDefault="00AC2131" w:rsidP="00AC2131">
      <w:pPr>
        <w:pStyle w:val="BodyText"/>
      </w:pPr>
      <w:r>
        <w:t>For agriculture, the estimated effective rate of assistance (as calculated in the first series) was over 25 per cent in 1970</w:t>
      </w:r>
      <w:r>
        <w:noBreakHyphen/>
        <w:t>71 and, by 1974</w:t>
      </w:r>
      <w:r>
        <w:noBreakHyphen/>
        <w:t xml:space="preserve">75, it had fallen to about 8 per cent. The subsequent volatility in the agricultural estimates, particularly through the 1970s and 1980s, reflects variation in domestic support prices and world prices (used for assistance benchmarks) as well as the impact of drought and other factors on output. </w:t>
      </w:r>
    </w:p>
    <w:p w:rsidR="00AC2131" w:rsidRPr="00193E5A" w:rsidRDefault="00AC2131" w:rsidP="00AC2131">
      <w:pPr>
        <w:pStyle w:val="BodyText"/>
      </w:pPr>
      <w:r w:rsidRPr="00193E5A">
        <w:t>The rise in the effective rate of assistance to agriculture in 2006</w:t>
      </w:r>
      <w:r w:rsidRPr="00193E5A">
        <w:noBreakHyphen/>
        <w:t>07 and 2007</w:t>
      </w:r>
      <w:r w:rsidRPr="00193E5A">
        <w:noBreakHyphen/>
        <w:t xml:space="preserve">08 reflects significant increases in Exceptional Circumstances drought relief payments and interest rate subsidies at the height of the drought through much of Australia, as well as the Dairy Industry Structural Adjustment package. Such assistance has since declined significantly and the estimated assistance to the sector overall has declined to around 2.8 per cent. </w:t>
      </w:r>
    </w:p>
    <w:p w:rsidR="00AC2131" w:rsidRDefault="00AC2131" w:rsidP="00AC2131">
      <w:pPr>
        <w:sectPr w:rsidR="00AC2131" w:rsidSect="00AC2131">
          <w:headerReference w:type="even" r:id="rId62"/>
          <w:headerReference w:type="default" r:id="rId63"/>
          <w:footerReference w:type="even" r:id="rId64"/>
          <w:footerReference w:type="default" r:id="rId65"/>
          <w:type w:val="oddPage"/>
          <w:pgSz w:w="11907" w:h="16840" w:code="9"/>
          <w:pgMar w:top="1985" w:right="1304" w:bottom="1247" w:left="1814" w:header="1701" w:footer="397" w:gutter="0"/>
          <w:pgNumType w:chapSep="period"/>
          <w:cols w:space="720"/>
          <w:docGrid w:linePitch="326"/>
        </w:sectPr>
      </w:pPr>
    </w:p>
    <w:p w:rsidR="00AC2131" w:rsidRDefault="00AC2131" w:rsidP="00AC2131">
      <w:pPr>
        <w:pStyle w:val="Heading1"/>
        <w:spacing w:before="0"/>
      </w:pPr>
      <w:r>
        <w:lastRenderedPageBreak/>
        <w:t>6</w:t>
      </w:r>
      <w:r>
        <w:tab/>
        <w:t>Recent developments in industry assistance</w:t>
      </w:r>
    </w:p>
    <w:p w:rsidR="00AC2131" w:rsidRDefault="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Pr="002C7FFE" w:rsidRDefault="00AC2131" w:rsidP="00AC2131">
            <w:pPr>
              <w:pStyle w:val="BoxTitle"/>
            </w:pPr>
            <w:r w:rsidRPr="002C7FFE">
              <w:t>Key points</w:t>
            </w:r>
          </w:p>
        </w:tc>
      </w:tr>
      <w:tr w:rsidR="00AC2131" w:rsidTr="00AC2131">
        <w:trPr>
          <w:cantSplit/>
        </w:trPr>
        <w:tc>
          <w:tcPr>
            <w:tcW w:w="8771" w:type="dxa"/>
            <w:tcBorders>
              <w:top w:val="nil"/>
              <w:left w:val="nil"/>
              <w:bottom w:val="nil"/>
              <w:right w:val="nil"/>
            </w:tcBorders>
            <w:shd w:val="clear" w:color="auto" w:fill="F2F2F2"/>
          </w:tcPr>
          <w:p w:rsidR="00AC2131" w:rsidRPr="00473D8D" w:rsidRDefault="00AC2131" w:rsidP="00AC2131">
            <w:pPr>
              <w:pStyle w:val="BoxListBullet"/>
            </w:pPr>
            <w:r>
              <w:t>Budgetary industry assistance in 2013</w:t>
            </w:r>
            <w:r>
              <w:noBreakHyphen/>
              <w:t>14 was about 17 per cent, ($1.3 billion) higher than in 2012</w:t>
            </w:r>
            <w:r>
              <w:noBreakHyphen/>
              <w:t xml:space="preserve">13. The largest </w:t>
            </w:r>
            <w:r w:rsidRPr="00FE7A19">
              <w:t xml:space="preserve">increase </w:t>
            </w:r>
            <w:r>
              <w:t>was</w:t>
            </w:r>
            <w:r w:rsidRPr="00FE7A19">
              <w:t xml:space="preserve"> the Small Business Simplified Depreciation Rules ($1.5</w:t>
            </w:r>
            <w:r>
              <w:t> </w:t>
            </w:r>
            <w:r w:rsidRPr="00FE7A19">
              <w:t>billion)</w:t>
            </w:r>
            <w:r>
              <w:t>.</w:t>
            </w:r>
          </w:p>
          <w:p w:rsidR="00AC2131" w:rsidRDefault="00AC2131" w:rsidP="00AC2131">
            <w:pPr>
              <w:pStyle w:val="BoxListBullet"/>
            </w:pPr>
            <w:r>
              <w:t xml:space="preserve">In the year to May 2015, the Government announced distinguishable additional industry assistance of around $1.5 billion and reductions of around $1.3 billion in budget outlays and concessions, over the coming years. Much of this was included in the May 2014 Budget. </w:t>
            </w:r>
          </w:p>
          <w:p w:rsidR="00AC2131" w:rsidRDefault="00AC2131" w:rsidP="00AC2131">
            <w:pPr>
              <w:pStyle w:val="BoxListBullet"/>
            </w:pPr>
            <w:r>
              <w:t xml:space="preserve">During the period, an additional $203 million over four years for freight and shipping to Tasmania under the Tasmanian Freight Equalisation Scheme. </w:t>
            </w:r>
          </w:p>
          <w:p w:rsidR="00AC2131" w:rsidRPr="001E4D17" w:rsidRDefault="00AC2131" w:rsidP="00AC2131">
            <w:pPr>
              <w:pStyle w:val="BoxListBullet"/>
              <w:rPr>
                <w:szCs w:val="24"/>
              </w:rPr>
            </w:pPr>
            <w:r>
              <w:t>Other notable changes in assistance arrangements announced involved additional funding or more liberal access arrangements for farm support. They included:</w:t>
            </w:r>
          </w:p>
          <w:p w:rsidR="00AC2131" w:rsidRPr="001E4D17" w:rsidRDefault="00AC2131" w:rsidP="00AC2131">
            <w:pPr>
              <w:pStyle w:val="BoxListBullet2"/>
              <w:rPr>
                <w:szCs w:val="24"/>
              </w:rPr>
            </w:pPr>
            <w:r>
              <w:t xml:space="preserve">the introduction of a concessional Loans Scheme to help farmers recover from drought and other disruptions </w:t>
            </w:r>
          </w:p>
          <w:p w:rsidR="00AC2131" w:rsidRDefault="00AC2131" w:rsidP="00AC2131">
            <w:pPr>
              <w:pStyle w:val="BoxListBullet2"/>
              <w:rPr>
                <w:szCs w:val="24"/>
              </w:rPr>
            </w:pPr>
            <w:r>
              <w:t>a Farm Household Allowance Scheme to support eligible farmers to improve their longer-term situation.</w:t>
            </w:r>
          </w:p>
          <w:p w:rsidR="00AC2131" w:rsidRDefault="00AC2131" w:rsidP="00AC2131">
            <w:pPr>
              <w:pStyle w:val="BoxListBullet"/>
            </w:pPr>
            <w:r>
              <w:t>The main Government initiated reduction in support comprised the now passed legislation denying large companies access to the R&amp;D Tax Incentive — expected to reduce assistance by around $1.1 billion over the forward estimates.</w:t>
            </w:r>
          </w:p>
          <w:p w:rsidR="00AC2131" w:rsidRDefault="00AC2131" w:rsidP="00AC2131">
            <w:pPr>
              <w:pStyle w:val="BoxListBullet"/>
            </w:pPr>
            <w:r>
              <w:t xml:space="preserve">While individual proposed expenditures can be identified, ascertaining the net additional assistance implied by the announcements, however, is not always straightforward. </w:t>
            </w:r>
          </w:p>
          <w:p w:rsidR="00AC2131" w:rsidRDefault="00AC2131" w:rsidP="00AC2131">
            <w:pPr>
              <w:pStyle w:val="BoxListBullet2"/>
            </w:pPr>
            <w:r>
              <w:t xml:space="preserve">For example, around half of the announced $1.7 billion in the </w:t>
            </w:r>
            <w:r w:rsidRPr="003C4F72">
              <w:rPr>
                <w:i/>
              </w:rPr>
              <w:t xml:space="preserve">Industry Innovation </w:t>
            </w:r>
            <w:r>
              <w:rPr>
                <w:i/>
              </w:rPr>
              <w:t xml:space="preserve">and </w:t>
            </w:r>
            <w:r w:rsidRPr="003C4F72">
              <w:rPr>
                <w:i/>
              </w:rPr>
              <w:t>Competitiveness Agenda</w:t>
            </w:r>
            <w:r>
              <w:t xml:space="preserve"> is offset by reductions from the cessation of other industry programs. </w:t>
            </w:r>
          </w:p>
          <w:p w:rsidR="00AC2131" w:rsidRDefault="00AC2131" w:rsidP="00AC2131">
            <w:pPr>
              <w:pStyle w:val="BoxListBullet"/>
            </w:pPr>
            <w:r>
              <w:t>Noteworthy among several reviews relating to industry assistance were recommendations to remove numerous restrictions on competition by the Competition Policy Review (Harper review) and the Financial System Inquiry (Murray inquiry).</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rsidRPr="00BA5AA9">
        <w:t xml:space="preserve">This chapter provides an overview of </w:t>
      </w:r>
      <w:r>
        <w:t xml:space="preserve">the main </w:t>
      </w:r>
      <w:r w:rsidRPr="00BA5AA9">
        <w:t>Australian Government announcements and related developments pertaining to in</w:t>
      </w:r>
      <w:r>
        <w:t>dustry assistance since May 2014</w:t>
      </w:r>
      <w:r w:rsidRPr="00BA5AA9">
        <w:t xml:space="preserve">, the reporting date for </w:t>
      </w:r>
      <w:r>
        <w:t xml:space="preserve">the previous </w:t>
      </w:r>
      <w:r>
        <w:rPr>
          <w:i/>
        </w:rPr>
        <w:t>Trade &amp; Assistance Review 2012</w:t>
      </w:r>
      <w:r>
        <w:rPr>
          <w:i/>
        </w:rPr>
        <w:noBreakHyphen/>
        <w:t>13</w:t>
      </w:r>
      <w:r w:rsidRPr="00B57F9F">
        <w:t>, to the end of April 2015</w:t>
      </w:r>
      <w:r>
        <w:t xml:space="preserve"> (before the 2015 Budget)</w:t>
      </w:r>
      <w:r w:rsidRPr="00BA5AA9">
        <w:t>.</w:t>
      </w:r>
      <w:r>
        <w:t xml:space="preserve"> The announcements are grouped according to category (such as research and development and regional development) for measures applying across industries, or major industry divisions (such as agriculture and manufacturing) for measures focused on an industry. Public policy reviews with assistance implications are also reported. </w:t>
      </w:r>
    </w:p>
    <w:p w:rsidR="00AC2131" w:rsidRDefault="00AC2131" w:rsidP="00AC2131">
      <w:pPr>
        <w:pStyle w:val="BodyText"/>
      </w:pPr>
      <w:r>
        <w:lastRenderedPageBreak/>
        <w:t>The principal purpose of the chapter is to afford greater transparency into the potential direction and nature of industry assistance over the coming year(s) based on announcements during the year.</w:t>
      </w:r>
      <w:r w:rsidDel="00EA3153">
        <w:t xml:space="preserve"> </w:t>
      </w:r>
      <w:r>
        <w:t xml:space="preserve">As such, the chapter does not provide budget details of current or future assistance. The level of estimated assistance is reported in chapter 5 together with changes in assistance in recent years. Forecasts of the financial impact on the current policies and Budget provisions are not provided in the </w:t>
      </w:r>
      <w:r w:rsidRPr="002D15DA">
        <w:rPr>
          <w:i/>
        </w:rPr>
        <w:t>Trade &amp; Assistance Review</w:t>
      </w:r>
      <w:r>
        <w:t xml:space="preserve">. </w:t>
      </w:r>
    </w:p>
    <w:p w:rsidR="00AC2131" w:rsidRDefault="00AC2131" w:rsidP="00AC2131">
      <w:pPr>
        <w:pStyle w:val="BodyText"/>
      </w:pPr>
      <w:r>
        <w:t xml:space="preserve">Nonetheless, some insight into the changing quantum and scale of industry assistance can be deduced from the announcements, but caution is required. The major and readily distinguishable announcements of expenditures and concessions with industry assistance implications since May 2014 (identified for reporting in this </w:t>
      </w:r>
      <w:r w:rsidRPr="003C4F72">
        <w:rPr>
          <w:i/>
        </w:rPr>
        <w:t>Review)</w:t>
      </w:r>
      <w:r>
        <w:t xml:space="preserve"> involve around $4 billion — mostly to be expended over the budget forward estimates. Announced expenditure and concession reductions of over $1.3 billion are also reported. However, ascertaining the net </w:t>
      </w:r>
      <w:r w:rsidRPr="002D15DA">
        <w:rPr>
          <w:i/>
        </w:rPr>
        <w:t>additional</w:t>
      </w:r>
      <w:r>
        <w:t xml:space="preserve"> assistance implied by the announcements is not straightforward and caution needs to be exercised in drawing inferences about the future of assistance</w:t>
      </w:r>
      <w:r w:rsidRPr="00BB4729">
        <w:t xml:space="preserve"> </w:t>
      </w:r>
      <w:r>
        <w:t xml:space="preserve">levels. </w:t>
      </w:r>
    </w:p>
    <w:p w:rsidR="00AC2131" w:rsidRPr="009E1918" w:rsidRDefault="00AC2131" w:rsidP="00AC2131">
      <w:pPr>
        <w:pStyle w:val="ListBullet"/>
      </w:pPr>
      <w:r>
        <w:t xml:space="preserve">Some of the measures reported refer to major announcements and variations in major grant programs for which funding has previously been announced and provisioned, for example, as is the case with the On Farm Efficiency grants program under the Murray </w:t>
      </w:r>
      <w:r w:rsidRPr="009E1918">
        <w:t xml:space="preserve">Darling Basin Plan for which major announcements were made that included some funding increases. </w:t>
      </w:r>
    </w:p>
    <w:p w:rsidR="00AC2131" w:rsidRDefault="00AC2131" w:rsidP="00AC2131">
      <w:pPr>
        <w:pStyle w:val="ListBullet"/>
      </w:pPr>
      <w:r>
        <w:t xml:space="preserve">Some policy announcements brought forward or transferred funds from previous programs. For example, some programs and expenditures announced under the Government’s 2014 Industry Innovation and Competitiveness Agenda were offset by reductions in expenditure on programs contained in the former Government’s 2013 Industry and Innovation Statement. </w:t>
      </w:r>
    </w:p>
    <w:p w:rsidR="00AC2131" w:rsidRDefault="00AC2131" w:rsidP="00AC2131">
      <w:pPr>
        <w:pStyle w:val="ListBullet"/>
      </w:pPr>
      <w:r>
        <w:t>In other cases, a new program may be announced, but the announcement does not refer to a former program being superseded or replaced, including where the former program had higher funding. In such cases, the announcement could be associated with a reduction in funding, rather than an increment, for example as is the case with the new Landcare program.</w:t>
      </w:r>
    </w:p>
    <w:p w:rsidR="00AC2131" w:rsidRDefault="00AC2131">
      <w:pPr>
        <w:pStyle w:val="BodyText"/>
      </w:pPr>
      <w:r>
        <w:t>After account is taken of factors such as these, the announcements identified in this chapter suggest additional new expenditures with assistance implications in the order of about $1.5 billion in budget outlays and concessions, over the coming years.</w:t>
      </w:r>
      <w:r>
        <w:rPr>
          <w:rStyle w:val="FootnoteReference"/>
        </w:rPr>
        <w:footnoteReference w:id="49"/>
      </w:r>
      <w:r>
        <w:t xml:space="preserve"> Much of this was included in the May 2014 Budget with new commitments (covered in this chapter), made after the May 2014 Budget but before the 2015 Budget, total around $400 million. Reductions in budget outlays and concessions of around $1.3 billion have also been announced. The net cost of assistance to the budget in any one year would depend on related offsets within or between programs and the scheduling of payments of on-going </w:t>
      </w:r>
      <w:r>
        <w:lastRenderedPageBreak/>
        <w:t xml:space="preserve">programs. The assistance estimates reported in chapter 5 of the </w:t>
      </w:r>
      <w:r w:rsidRPr="000F271C">
        <w:rPr>
          <w:i/>
        </w:rPr>
        <w:t>Review</w:t>
      </w:r>
      <w:r>
        <w:t xml:space="preserve"> take account of the net of variations in assistance. </w:t>
      </w:r>
    </w:p>
    <w:p w:rsidR="00AC2131" w:rsidRDefault="00AC2131" w:rsidP="00AC2131">
      <w:pPr>
        <w:pStyle w:val="Heading2"/>
      </w:pPr>
      <w:r>
        <w:t>6.</w:t>
      </w:r>
      <w:r>
        <w:rPr>
          <w:noProof/>
        </w:rPr>
        <w:t>1</w:t>
      </w:r>
      <w:r>
        <w:tab/>
      </w:r>
      <w:r w:rsidRPr="00ED78EF">
        <w:t>Research, development and innovation</w:t>
      </w:r>
    </w:p>
    <w:p w:rsidR="00AC2131" w:rsidRDefault="00AC2131" w:rsidP="00AC2131">
      <w:pPr>
        <w:pStyle w:val="BodyText"/>
      </w:pPr>
      <w:r w:rsidRPr="00ED78EF">
        <w:t xml:space="preserve">Support for business </w:t>
      </w:r>
      <w:r>
        <w:t>research and development (</w:t>
      </w:r>
      <w:r w:rsidRPr="00ED78EF">
        <w:t>R&amp;D</w:t>
      </w:r>
      <w:r>
        <w:t>)</w:t>
      </w:r>
      <w:r w:rsidRPr="00ED78EF">
        <w:t>, including</w:t>
      </w:r>
      <w:r>
        <w:t xml:space="preserve"> innovation</w:t>
      </w:r>
      <w:r w:rsidRPr="00ED78EF">
        <w:t xml:space="preserve"> and commercialisation, forms a significant component of the Australian Government’s budgetary assistance to industry. As measured by the Commission, it accounted for around </w:t>
      </w:r>
      <w:r>
        <w:t>34</w:t>
      </w:r>
      <w:r w:rsidRPr="00ED78EF">
        <w:t xml:space="preserve"> per cent of </w:t>
      </w:r>
      <w:r>
        <w:t xml:space="preserve">distinguishable and measurable </w:t>
      </w:r>
      <w:r w:rsidRPr="00ED78EF">
        <w:t xml:space="preserve">budgetary assistance to industry </w:t>
      </w:r>
      <w:r>
        <w:t>in 2013</w:t>
      </w:r>
      <w:r w:rsidRPr="00ED78EF">
        <w:noBreakHyphen/>
      </w:r>
      <w:r>
        <w:t>14</w:t>
      </w:r>
      <w:r w:rsidRPr="00ED78EF">
        <w:t xml:space="preserve"> </w:t>
      </w:r>
      <w:r>
        <w:t xml:space="preserve">or some $3.1 billion </w:t>
      </w:r>
      <w:r w:rsidRPr="00ED78EF">
        <w:t>(chapter </w:t>
      </w:r>
      <w:r>
        <w:t>5</w:t>
      </w:r>
      <w:r w:rsidRPr="00ED78EF">
        <w:t xml:space="preserve">). This section reports on developments </w:t>
      </w:r>
      <w:r>
        <w:t xml:space="preserve">relating to research, development and innovation since May 2014. </w:t>
      </w:r>
    </w:p>
    <w:p w:rsidR="00AC2131" w:rsidRDefault="00AC2131" w:rsidP="00AC2131">
      <w:pPr>
        <w:pStyle w:val="Heading3"/>
      </w:pPr>
      <w:r>
        <w:t>Cooperative Research Centres</w:t>
      </w:r>
    </w:p>
    <w:p w:rsidR="00AC2131" w:rsidRPr="00C00E3F" w:rsidRDefault="00AC2131" w:rsidP="00AC2131">
      <w:pPr>
        <w:pStyle w:val="BodyText"/>
      </w:pPr>
      <w:r w:rsidRPr="00C00E3F">
        <w:t>The CRC Programme was established in 1990 to support industry-led collaborations between researchers, industry a</w:t>
      </w:r>
      <w:r w:rsidRPr="00460885">
        <w:t xml:space="preserve">nd the community. Since then, a total of 209 CRCs have been funded by </w:t>
      </w:r>
      <w:r w:rsidRPr="00870CDF">
        <w:t>the Australian Government</w:t>
      </w:r>
      <w:r>
        <w:t xml:space="preserve"> with about $3.8 billion provided (McFarlane 2014b). </w:t>
      </w:r>
      <w:r w:rsidRPr="00C00E3F">
        <w:t>In 2014-15 there are 35 active CRCs.</w:t>
      </w:r>
    </w:p>
    <w:p w:rsidR="00AC2131" w:rsidRPr="00CA7322" w:rsidRDefault="00AC2131" w:rsidP="00AC2131">
      <w:pPr>
        <w:pStyle w:val="BodyText"/>
      </w:pPr>
      <w:r w:rsidRPr="00460885">
        <w:t>In the May</w:t>
      </w:r>
      <w:r>
        <w:t> </w:t>
      </w:r>
      <w:r w:rsidRPr="00460885">
        <w:t xml:space="preserve">2014 Budget, the Australian Government reduced funding for the Cooperative Research Centres Programme </w:t>
      </w:r>
      <w:r w:rsidRPr="00870CDF">
        <w:t>by $80</w:t>
      </w:r>
      <w:r>
        <w:t> </w:t>
      </w:r>
      <w:r w:rsidRPr="00CA7322">
        <w:t>million over the forward estimates. As a result of this decision, the 17th selection round did not proceed for new applicants. This decision does not impact on existing CRC contracts.</w:t>
      </w:r>
      <w:r>
        <w:t xml:space="preserve"> </w:t>
      </w:r>
    </w:p>
    <w:p w:rsidR="00AC2131" w:rsidRDefault="00AC2131" w:rsidP="00AC2131">
      <w:pPr>
        <w:pStyle w:val="BodyText"/>
      </w:pPr>
      <w:r>
        <w:t xml:space="preserve">In September 2014, a review of the </w:t>
      </w:r>
      <w:r w:rsidRPr="00CA7322">
        <w:t xml:space="preserve">CRC Programme </w:t>
      </w:r>
      <w:r>
        <w:t xml:space="preserve">was announced, with the final report and recommendations expected in 2015. The CRC programme was last reviewed in 2008 by Professor Mary O’Kane as part of the wider review of the national innovation system. </w:t>
      </w:r>
      <w:r w:rsidRPr="001C3D6F">
        <w:rPr>
          <w:i/>
        </w:rPr>
        <w:t>Trade &amp; Assistance Review 2007</w:t>
      </w:r>
      <w:r w:rsidRPr="001C3D6F">
        <w:rPr>
          <w:i/>
        </w:rPr>
        <w:noBreakHyphen/>
        <w:t>08</w:t>
      </w:r>
      <w:r>
        <w:t xml:space="preserve"> (p.38) outlines the recommendations of the O’Kane Review, the Government’s response, and the earlier findings about the CRC programme by the Productivity Commission (PC 2007).</w:t>
      </w:r>
    </w:p>
    <w:p w:rsidR="00AC2131" w:rsidRPr="00B676FC" w:rsidRDefault="00AC2131" w:rsidP="00AC2131">
      <w:pPr>
        <w:pStyle w:val="Heading3"/>
      </w:pPr>
      <w:r>
        <w:t xml:space="preserve">Rural </w:t>
      </w:r>
      <w:r w:rsidRPr="00B676FC">
        <w:t xml:space="preserve">R&amp;D </w:t>
      </w:r>
      <w:r>
        <w:t>for Profit grant programme</w:t>
      </w:r>
    </w:p>
    <w:p w:rsidR="00AC2131" w:rsidRDefault="00AC2131" w:rsidP="00AC2131">
      <w:pPr>
        <w:pStyle w:val="BodyText"/>
      </w:pPr>
      <w:r>
        <w:t xml:space="preserve">In the May 2014 Budget, the Australian Government announced $100 million in new funding over four years, for the existing fifteen rural research and development corporations (RDCs) through the Rural R&amp;D for Profit grant programme </w:t>
      </w:r>
      <w:r w:rsidRPr="00AB29B1">
        <w:rPr>
          <w:szCs w:val="24"/>
        </w:rPr>
        <w:t>(Joyce 2014</w:t>
      </w:r>
      <w:r>
        <w:rPr>
          <w:szCs w:val="24"/>
        </w:rPr>
        <w:t>a</w:t>
      </w:r>
      <w:r w:rsidRPr="00AB29B1">
        <w:rPr>
          <w:szCs w:val="24"/>
        </w:rPr>
        <w:t>)</w:t>
      </w:r>
      <w:r>
        <w:t>. The intention is to fund collaborative research activities that focus on enhancing the productivity of agricultural industries. The RDCs outlay around $500 million each year, with funding provided by government and industry.</w:t>
      </w:r>
    </w:p>
    <w:p w:rsidR="00AC2131" w:rsidRDefault="00AC2131" w:rsidP="00AC2131">
      <w:pPr>
        <w:pStyle w:val="BodyText"/>
      </w:pPr>
      <w:r w:rsidRPr="00FD45B6">
        <w:t xml:space="preserve">To be eligible for grant funding, RDCs must partner with one or more researchers, research agencies, </w:t>
      </w:r>
      <w:r>
        <w:t xml:space="preserve">other </w:t>
      </w:r>
      <w:r w:rsidRPr="00FD45B6">
        <w:t>RDCs,</w:t>
      </w:r>
      <w:r>
        <w:t xml:space="preserve"> </w:t>
      </w:r>
      <w:r w:rsidRPr="00FD45B6">
        <w:t xml:space="preserve">funding bodies, businesses, producer groups or not-for-profit organisations, and the partnership </w:t>
      </w:r>
      <w:r>
        <w:t>should</w:t>
      </w:r>
      <w:r w:rsidRPr="00FD45B6">
        <w:t xml:space="preserve"> provide</w:t>
      </w:r>
      <w:r>
        <w:t xml:space="preserve"> </w:t>
      </w:r>
      <w:r w:rsidRPr="00FD45B6">
        <w:t xml:space="preserve">funding (cash or cash plus an in-kind </w:t>
      </w:r>
      <w:r w:rsidRPr="00FD45B6">
        <w:lastRenderedPageBreak/>
        <w:t>contribution) at least equal to the requested Australian Government grant</w:t>
      </w:r>
      <w:r>
        <w:t xml:space="preserve"> </w:t>
      </w:r>
      <w:r w:rsidRPr="00FD45B6">
        <w:t>funding.</w:t>
      </w:r>
      <w:r>
        <w:t xml:space="preserve"> </w:t>
      </w:r>
      <w:r w:rsidRPr="00FD45B6">
        <w:t>Successful projects will be approved by the Minister for Agriculture based upon the department’s</w:t>
      </w:r>
      <w:r>
        <w:t xml:space="preserve"> </w:t>
      </w:r>
      <w:r w:rsidRPr="00FD45B6">
        <w:t xml:space="preserve">recommendations, which will be informed by an expert assessment panel. </w:t>
      </w:r>
    </w:p>
    <w:p w:rsidR="00AC2131" w:rsidRPr="00804D68" w:rsidRDefault="00AC2131" w:rsidP="00AC2131">
      <w:pPr>
        <w:pStyle w:val="BodyText"/>
        <w:rPr>
          <w:lang w:val="en"/>
        </w:rPr>
      </w:pPr>
      <w:r w:rsidRPr="00804D68">
        <w:rPr>
          <w:lang w:val="en"/>
        </w:rPr>
        <w:t xml:space="preserve">In </w:t>
      </w:r>
      <w:r>
        <w:rPr>
          <w:lang w:val="en"/>
        </w:rPr>
        <w:t>R</w:t>
      </w:r>
      <w:r w:rsidRPr="00804D68">
        <w:rPr>
          <w:lang w:val="en"/>
        </w:rPr>
        <w:t xml:space="preserve">ound </w:t>
      </w:r>
      <w:r>
        <w:rPr>
          <w:lang w:val="en"/>
        </w:rPr>
        <w:t>O</w:t>
      </w:r>
      <w:r w:rsidRPr="00804D68">
        <w:rPr>
          <w:lang w:val="en"/>
        </w:rPr>
        <w:t>ne, applications must address one or more priorities in the following research, development and extension areas:</w:t>
      </w:r>
    </w:p>
    <w:p w:rsidR="00AC2131" w:rsidRPr="00804D68" w:rsidRDefault="00AC2131" w:rsidP="00AC2131">
      <w:pPr>
        <w:pStyle w:val="ListBullet"/>
        <w:rPr>
          <w:lang w:val="en"/>
        </w:rPr>
      </w:pPr>
      <w:r w:rsidRPr="00804D68">
        <w:rPr>
          <w:lang w:val="en"/>
        </w:rPr>
        <w:t>increase the profitability and productivity of primary industries</w:t>
      </w:r>
    </w:p>
    <w:p w:rsidR="00AC2131" w:rsidRPr="00804D68" w:rsidRDefault="00AC2131" w:rsidP="00AC2131">
      <w:pPr>
        <w:pStyle w:val="ListBullet"/>
        <w:rPr>
          <w:lang w:val="en"/>
        </w:rPr>
      </w:pPr>
      <w:r w:rsidRPr="00804D68">
        <w:rPr>
          <w:lang w:val="en"/>
        </w:rPr>
        <w:t>increase the value of primary products</w:t>
      </w:r>
    </w:p>
    <w:p w:rsidR="00AC2131" w:rsidRPr="00804D68" w:rsidRDefault="00AC2131" w:rsidP="00AC2131">
      <w:pPr>
        <w:pStyle w:val="ListBullet"/>
        <w:rPr>
          <w:lang w:val="en"/>
        </w:rPr>
      </w:pPr>
      <w:r w:rsidRPr="00804D68">
        <w:rPr>
          <w:lang w:val="en"/>
        </w:rPr>
        <w:t xml:space="preserve">strengthen on-farm adoption and improve information flows </w:t>
      </w:r>
    </w:p>
    <w:p w:rsidR="00AC2131" w:rsidRPr="00804D68" w:rsidRDefault="00AC2131" w:rsidP="00AC2131">
      <w:pPr>
        <w:pStyle w:val="ListBullet"/>
        <w:rPr>
          <w:lang w:val="en"/>
        </w:rPr>
      </w:pPr>
      <w:r w:rsidRPr="00804D68">
        <w:rPr>
          <w:lang w:val="en"/>
        </w:rPr>
        <w:t xml:space="preserve">strengthen primary producers’ ability to adapt to opportunities and threats. </w:t>
      </w:r>
    </w:p>
    <w:p w:rsidR="00AC2131" w:rsidRDefault="00AC2131" w:rsidP="00AC2131">
      <w:pPr>
        <w:pStyle w:val="BodyText"/>
      </w:pPr>
      <w:r w:rsidRPr="00FD45B6">
        <w:t>It is expected that no more than $30</w:t>
      </w:r>
      <w:r>
        <w:t> </w:t>
      </w:r>
      <w:r w:rsidRPr="00FD45B6">
        <w:t xml:space="preserve">million will be allocated (across multiple years) in the </w:t>
      </w:r>
      <w:r>
        <w:t>F</w:t>
      </w:r>
      <w:r w:rsidRPr="00FD45B6">
        <w:t xml:space="preserve">irst </w:t>
      </w:r>
      <w:r>
        <w:t>R</w:t>
      </w:r>
      <w:r w:rsidRPr="00FD45B6">
        <w:t>ound of the programme, with approximately $19.2</w:t>
      </w:r>
      <w:r>
        <w:t> </w:t>
      </w:r>
      <w:r w:rsidRPr="00FD45B6">
        <w:t>million to be paid in 2014</w:t>
      </w:r>
      <w:r>
        <w:noBreakHyphen/>
      </w:r>
      <w:r w:rsidRPr="00FD45B6">
        <w:t xml:space="preserve">15. </w:t>
      </w:r>
      <w:r w:rsidRPr="00CB6094">
        <w:rPr>
          <w:szCs w:val="24"/>
        </w:rPr>
        <w:t>(Department of Agriculture 2015</w:t>
      </w:r>
      <w:r>
        <w:rPr>
          <w:szCs w:val="24"/>
        </w:rPr>
        <w:t>a</w:t>
      </w:r>
      <w:r w:rsidRPr="00CB6094">
        <w:rPr>
          <w:szCs w:val="24"/>
        </w:rPr>
        <w:t>)</w:t>
      </w:r>
      <w:r>
        <w:t xml:space="preserve">. </w:t>
      </w:r>
      <w:r w:rsidRPr="00FD45B6">
        <w:t xml:space="preserve">Successful projects are expected to be announced in </w:t>
      </w:r>
      <w:r>
        <w:t>May </w:t>
      </w:r>
      <w:r w:rsidRPr="00FD45B6">
        <w:t>2015</w:t>
      </w:r>
      <w:r>
        <w:t xml:space="preserve">. </w:t>
      </w:r>
    </w:p>
    <w:p w:rsidR="00AC2131" w:rsidRDefault="00AC2131" w:rsidP="00AC2131">
      <w:pPr>
        <w:pStyle w:val="BodyText"/>
      </w:pPr>
      <w:r>
        <w:t>The 2011 Productivity Commission inquiry into Rural Research and Development Corporations (PC 2011a) found that a significant part of the Government’s funding contribution to RDCs appears to have supported R&amp;D for which producers and industries would have commercial motivation to fund themselves. The Commission recommended at that time that the existing dollar-for dollar matching by the government of industry contributions be halved over a ten year period. The then Government rejected the Commission’s recommendation in the 2012 Rural Research and Development Policy Statement (Department of Agriculture 2015).</w:t>
      </w:r>
    </w:p>
    <w:p w:rsidR="00AC2131" w:rsidRPr="00B676FC" w:rsidRDefault="00AC2131" w:rsidP="00AC2131">
      <w:pPr>
        <w:pStyle w:val="Heading3"/>
      </w:pPr>
      <w:r>
        <w:t xml:space="preserve">Reduced access to the </w:t>
      </w:r>
      <w:r w:rsidRPr="00B676FC">
        <w:t xml:space="preserve">R&amp;D </w:t>
      </w:r>
      <w:r>
        <w:t>T</w:t>
      </w:r>
      <w:r w:rsidRPr="00B676FC">
        <w:t xml:space="preserve">ax </w:t>
      </w:r>
      <w:r>
        <w:t>I</w:t>
      </w:r>
      <w:r w:rsidRPr="00B676FC">
        <w:t>ncentive</w:t>
      </w:r>
      <w:r>
        <w:t xml:space="preserve"> for large companies</w:t>
      </w:r>
    </w:p>
    <w:p w:rsidR="00AC2131" w:rsidRPr="00F42443" w:rsidRDefault="00AC2131" w:rsidP="00AC2131">
      <w:pPr>
        <w:pStyle w:val="BodyText"/>
      </w:pPr>
      <w:r w:rsidRPr="00F42443">
        <w:t xml:space="preserve">The R&amp;D </w:t>
      </w:r>
      <w:r>
        <w:t>T</w:t>
      </w:r>
      <w:r w:rsidRPr="00F42443">
        <w:t xml:space="preserve">ax </w:t>
      </w:r>
      <w:r>
        <w:t>I</w:t>
      </w:r>
      <w:r w:rsidRPr="00F42443">
        <w:t xml:space="preserve">ncentive replaced the previous </w:t>
      </w:r>
      <w:r>
        <w:t xml:space="preserve">long running </w:t>
      </w:r>
      <w:r w:rsidRPr="00F42443">
        <w:t>scheme (the R&amp;D tax concession) from 1</w:t>
      </w:r>
      <w:r>
        <w:t> </w:t>
      </w:r>
      <w:r w:rsidRPr="00F42443">
        <w:t xml:space="preserve">July 2011. The two components of the R&amp;D </w:t>
      </w:r>
      <w:r>
        <w:t>Tax I</w:t>
      </w:r>
      <w:r w:rsidRPr="00F42443">
        <w:t xml:space="preserve">ncentive are: </w:t>
      </w:r>
    </w:p>
    <w:p w:rsidR="00AC2131" w:rsidRPr="00F42443" w:rsidRDefault="00AC2131" w:rsidP="00AC2131">
      <w:pPr>
        <w:pStyle w:val="ListBullet"/>
      </w:pPr>
      <w:r w:rsidRPr="00F42443">
        <w:t>a 45</w:t>
      </w:r>
      <w:r>
        <w:t> </w:t>
      </w:r>
      <w:r w:rsidRPr="00F42443">
        <w:t>per</w:t>
      </w:r>
      <w:r>
        <w:t> </w:t>
      </w:r>
      <w:r w:rsidRPr="00F42443">
        <w:t>cent refundable R&amp;D tax offset for eligible entities with a turnover of less than $20</w:t>
      </w:r>
      <w:r>
        <w:t> </w:t>
      </w:r>
      <w:r w:rsidRPr="00F42443">
        <w:t>million</w:t>
      </w:r>
    </w:p>
    <w:p w:rsidR="00AC2131" w:rsidRPr="00F42443" w:rsidRDefault="00AC2131" w:rsidP="00AC2131">
      <w:pPr>
        <w:pStyle w:val="ListBullet"/>
      </w:pPr>
      <w:r w:rsidRPr="00F42443">
        <w:t>a non-refundable 40</w:t>
      </w:r>
      <w:r>
        <w:t> </w:t>
      </w:r>
      <w:r w:rsidRPr="00F42443">
        <w:t>per</w:t>
      </w:r>
      <w:r>
        <w:t> </w:t>
      </w:r>
      <w:r w:rsidRPr="00F42443">
        <w:t xml:space="preserve">cent R&amp;D tax offset for all other eligible entities. </w:t>
      </w:r>
    </w:p>
    <w:p w:rsidR="00AC2131" w:rsidRDefault="00AC2131" w:rsidP="00AC2131">
      <w:pPr>
        <w:pStyle w:val="BodyText"/>
      </w:pPr>
      <w:r>
        <w:t xml:space="preserve">In </w:t>
      </w:r>
      <w:r w:rsidRPr="00F42443">
        <w:t xml:space="preserve">February 2013, the previous </w:t>
      </w:r>
      <w:r>
        <w:t>G</w:t>
      </w:r>
      <w:r w:rsidRPr="00F42443">
        <w:t xml:space="preserve">overnment announced </w:t>
      </w:r>
      <w:r>
        <w:t xml:space="preserve">its intention to deny access to the R&amp;D offset for very large companies. </w:t>
      </w:r>
      <w:r w:rsidRPr="00F42443">
        <w:t xml:space="preserve">The </w:t>
      </w:r>
      <w:r>
        <w:t xml:space="preserve">current </w:t>
      </w:r>
      <w:r w:rsidRPr="00F42443">
        <w:t xml:space="preserve">Government announced </w:t>
      </w:r>
      <w:r>
        <w:t xml:space="preserve">the reintroduction of this access limiting measure in </w:t>
      </w:r>
      <w:r w:rsidRPr="00F42443">
        <w:t>November 2013.</w:t>
      </w:r>
    </w:p>
    <w:p w:rsidR="00AC2131" w:rsidRDefault="00AC2131" w:rsidP="00AC2131">
      <w:pPr>
        <w:pStyle w:val="BodyText"/>
      </w:pPr>
      <w:r>
        <w:t xml:space="preserve">In February 2015, the </w:t>
      </w:r>
      <w:r w:rsidRPr="00330E8B">
        <w:rPr>
          <w:i/>
        </w:rPr>
        <w:t>Tax Laws Amendment (Research and Development) Bill 2013</w:t>
      </w:r>
      <w:r>
        <w:t xml:space="preserve"> was passed by both houses of the Australian Parliament</w:t>
      </w:r>
      <w:r w:rsidRPr="00E676FF">
        <w:t>.</w:t>
      </w:r>
      <w:r>
        <w:t xml:space="preserve"> The Bill denies access to the research and development tax incentive for companies </w:t>
      </w:r>
      <w:r w:rsidRPr="00B676FC">
        <w:rPr>
          <w:lang w:val="en"/>
        </w:rPr>
        <w:t>with aggregate Australian turnover of $20</w:t>
      </w:r>
      <w:r>
        <w:rPr>
          <w:lang w:val="en"/>
        </w:rPr>
        <w:t> </w:t>
      </w:r>
      <w:r w:rsidRPr="00B676FC">
        <w:rPr>
          <w:lang w:val="en"/>
        </w:rPr>
        <w:t>billion or more</w:t>
      </w:r>
      <w:r>
        <w:rPr>
          <w:lang w:val="en"/>
        </w:rPr>
        <w:t xml:space="preserve">, </w:t>
      </w:r>
      <w:r>
        <w:t xml:space="preserve">on the grounds that </w:t>
      </w:r>
      <w:r w:rsidRPr="00F42443">
        <w:t>R&amp;D spending of small firms is more responsive than that of large firms to government incentives.</w:t>
      </w:r>
      <w:r>
        <w:rPr>
          <w:lang w:val="en"/>
        </w:rPr>
        <w:t xml:space="preserve"> </w:t>
      </w:r>
      <w:r w:rsidRPr="00F42443">
        <w:t xml:space="preserve">This measure is estimated to </w:t>
      </w:r>
      <w:r>
        <w:t xml:space="preserve">reduce the </w:t>
      </w:r>
      <w:r>
        <w:lastRenderedPageBreak/>
        <w:t xml:space="preserve">tax expenditure by </w:t>
      </w:r>
      <w:r w:rsidRPr="00F42443">
        <w:t>$1.1</w:t>
      </w:r>
      <w:r>
        <w:t> </w:t>
      </w:r>
      <w:r w:rsidRPr="00F42443">
        <w:t>billion over the forward estimates period (</w:t>
      </w:r>
      <w:r>
        <w:t>Australian Government 2013)</w:t>
      </w:r>
      <w:r w:rsidRPr="00F42443">
        <w:t>.</w:t>
      </w:r>
      <w:r>
        <w:t xml:space="preserve"> </w:t>
      </w:r>
    </w:p>
    <w:p w:rsidR="00AC2131" w:rsidRPr="00B676FC" w:rsidRDefault="00AC2131" w:rsidP="00AC2131">
      <w:pPr>
        <w:pStyle w:val="Heading3"/>
      </w:pPr>
      <w:r>
        <w:t>Extension of funding for NICTA</w:t>
      </w:r>
    </w:p>
    <w:p w:rsidR="00AC2131" w:rsidRPr="00E15D3D" w:rsidRDefault="00AC2131" w:rsidP="00AC2131">
      <w:pPr>
        <w:pStyle w:val="BodyText"/>
      </w:pPr>
      <w:r>
        <w:t>National ICT Australia Ltd (NICTA)</w:t>
      </w:r>
      <w:r w:rsidRPr="00E15D3D">
        <w:t>, Australia's Information Communications Technology Research Centre of Excellence, was established</w:t>
      </w:r>
      <w:r>
        <w:t xml:space="preserve"> in 2002 </w:t>
      </w:r>
      <w:r w:rsidRPr="00E15D3D">
        <w:t>to</w:t>
      </w:r>
      <w:r>
        <w:t xml:space="preserve"> </w:t>
      </w:r>
      <w:r w:rsidRPr="00E15D3D">
        <w:t>increase the scale and quality of Australian ICT research and development. It builds new technology-focused start</w:t>
      </w:r>
      <w:r>
        <w:t>-</w:t>
      </w:r>
      <w:r w:rsidRPr="00E15D3D">
        <w:t>ups</w:t>
      </w:r>
      <w:r>
        <w:t xml:space="preserve"> </w:t>
      </w:r>
      <w:r w:rsidRPr="00E15D3D">
        <w:t xml:space="preserve">and </w:t>
      </w:r>
      <w:r>
        <w:t xml:space="preserve">conducts </w:t>
      </w:r>
      <w:r w:rsidRPr="00E15D3D">
        <w:t>research.</w:t>
      </w:r>
      <w:r>
        <w:t xml:space="preserve"> </w:t>
      </w:r>
    </w:p>
    <w:p w:rsidR="00AC2131" w:rsidRDefault="00AC2131" w:rsidP="00AC2131">
      <w:pPr>
        <w:pStyle w:val="BodyText"/>
      </w:pPr>
      <w:r>
        <w:t xml:space="preserve">In May 2014, the Australian Government announced $84.9 million of new funding for (NICTA) over two </w:t>
      </w:r>
      <w:r w:rsidRPr="00C05CBA">
        <w:t xml:space="preserve">years </w:t>
      </w:r>
      <w:r w:rsidRPr="00C05CBA">
        <w:rPr>
          <w:szCs w:val="24"/>
        </w:rPr>
        <w:t>(Turnbull 2014b)</w:t>
      </w:r>
      <w:r w:rsidRPr="00C05CBA">
        <w:t>.</w:t>
      </w:r>
      <w:r>
        <w:t xml:space="preserve"> </w:t>
      </w:r>
      <w:r w:rsidRPr="00E15D3D">
        <w:t>The Department of Communications and the Australian Research Council will each contribute $21.4</w:t>
      </w:r>
      <w:r>
        <w:t> </w:t>
      </w:r>
      <w:r w:rsidRPr="00E15D3D">
        <w:t>million in</w:t>
      </w:r>
      <w:r>
        <w:t xml:space="preserve"> </w:t>
      </w:r>
      <w:r w:rsidRPr="00E15D3D">
        <w:t>2014–15 and $21.0</w:t>
      </w:r>
      <w:r>
        <w:t> </w:t>
      </w:r>
      <w:r w:rsidRPr="00E15D3D">
        <w:t>million in 2015–16</w:t>
      </w:r>
      <w:r>
        <w:t>, with zero contributions thereafter under the Forward Estimates</w:t>
      </w:r>
      <w:r w:rsidRPr="00E15D3D">
        <w:t>.</w:t>
      </w:r>
      <w:r>
        <w:t xml:space="preserve"> The Minister for Communications also noted that </w:t>
      </w:r>
      <w:r w:rsidRPr="00E15D3D">
        <w:t xml:space="preserve">NICTA </w:t>
      </w:r>
      <w:r>
        <w:t>has experienced ‘</w:t>
      </w:r>
      <w:r w:rsidRPr="00E15D3D">
        <w:t>rapid recent growth in commercial revenue</w:t>
      </w:r>
      <w:r>
        <w:t>’</w:t>
      </w:r>
      <w:r w:rsidRPr="00E15D3D">
        <w:t xml:space="preserve"> through its partnerships with domestic and overseas firms</w:t>
      </w:r>
      <w:r>
        <w:t xml:space="preserve"> </w:t>
      </w:r>
      <w:r w:rsidRPr="00C05CBA">
        <w:t>(Turnbull 2014b).</w:t>
      </w:r>
      <w:r>
        <w:t xml:space="preserve"> I</w:t>
      </w:r>
      <w:r w:rsidRPr="00E15D3D">
        <w:t xml:space="preserve">n recognition of NICTA's maturity and current stage of development, the Government </w:t>
      </w:r>
      <w:r>
        <w:t xml:space="preserve">indicated </w:t>
      </w:r>
      <w:r w:rsidRPr="00E15D3D">
        <w:t xml:space="preserve">NICTA </w:t>
      </w:r>
      <w:r>
        <w:t xml:space="preserve">should move to self-funding </w:t>
      </w:r>
      <w:r w:rsidRPr="00E15D3D">
        <w:t xml:space="preserve">from private sector investment and research grants </w:t>
      </w:r>
      <w:r>
        <w:t xml:space="preserve">from </w:t>
      </w:r>
      <w:r w:rsidRPr="00E15D3D">
        <w:t>Ju</w:t>
      </w:r>
      <w:r>
        <w:t>ly </w:t>
      </w:r>
      <w:r w:rsidRPr="00E15D3D">
        <w:t>2016.</w:t>
      </w:r>
      <w:r>
        <w:t xml:space="preserve"> The portfolio budget papers 2014</w:t>
      </w:r>
      <w:r>
        <w:noBreakHyphen/>
        <w:t>15 show that NCITA earned commercial revenue of $9.9 million in 2013</w:t>
      </w:r>
      <w:r>
        <w:noBreakHyphen/>
        <w:t>14 and forecast to earn $9.9 million in 2014</w:t>
      </w:r>
      <w:r>
        <w:noBreakHyphen/>
        <w:t>15 and $10.8 million in 2016</w:t>
      </w:r>
      <w:r>
        <w:noBreakHyphen/>
        <w:t xml:space="preserve">17. </w:t>
      </w:r>
    </w:p>
    <w:p w:rsidR="00AC2131" w:rsidRDefault="00AC2131" w:rsidP="00AC2131">
      <w:pPr>
        <w:pStyle w:val="Heading2"/>
      </w:pPr>
      <w:r>
        <w:t>6.</w:t>
      </w:r>
      <w:r>
        <w:rPr>
          <w:noProof/>
        </w:rPr>
        <w:t>2</w:t>
      </w:r>
      <w:r>
        <w:tab/>
        <w:t>Primary production</w:t>
      </w:r>
    </w:p>
    <w:p w:rsidR="00AC2131" w:rsidRDefault="00AC2131" w:rsidP="00AC2131">
      <w:pPr>
        <w:pStyle w:val="BodyText"/>
      </w:pPr>
      <w:r>
        <w:t>In 2013</w:t>
      </w:r>
      <w:r>
        <w:noBreakHyphen/>
        <w:t>14</w:t>
      </w:r>
      <w:r w:rsidRPr="00ED78EF">
        <w:t xml:space="preserve">, Australian Government </w:t>
      </w:r>
      <w:r>
        <w:t xml:space="preserve">direct </w:t>
      </w:r>
      <w:r w:rsidRPr="00ED78EF">
        <w:t xml:space="preserve">support for </w:t>
      </w:r>
      <w:r>
        <w:t xml:space="preserve">primary production that is readily distinguishable and measurable </w:t>
      </w:r>
      <w:r w:rsidRPr="00ED78EF">
        <w:t>is estimated to be</w:t>
      </w:r>
      <w:r>
        <w:t xml:space="preserve"> around 17</w:t>
      </w:r>
      <w:r w:rsidRPr="00ED78EF">
        <w:t xml:space="preserve"> per cent of </w:t>
      </w:r>
      <w:r>
        <w:t xml:space="preserve">industry-allocated </w:t>
      </w:r>
      <w:r w:rsidRPr="00ED78EF">
        <w:t>budgetary support</w:t>
      </w:r>
      <w:r>
        <w:t xml:space="preserve"> provided through budgetary outlays and taxation concessions amounting to $1.3 billion in 2013</w:t>
      </w:r>
      <w:r>
        <w:noBreakHyphen/>
        <w:t xml:space="preserve">14 </w:t>
      </w:r>
      <w:r w:rsidRPr="00ED78EF">
        <w:t>(chapter </w:t>
      </w:r>
      <w:r>
        <w:t>5)</w:t>
      </w:r>
      <w:r w:rsidRPr="00ED78EF">
        <w:t>.</w:t>
      </w:r>
      <w:r>
        <w:rPr>
          <w:rStyle w:val="FootnoteReference"/>
        </w:rPr>
        <w:footnoteReference w:id="50"/>
      </w:r>
      <w:r w:rsidRPr="00ED78EF">
        <w:t xml:space="preserve"> This section reports </w:t>
      </w:r>
      <w:r>
        <w:t>certain developments since May 2014 with the Farm Household Allowance, drought related concessional loans, the National Landcare Programme and the Murray-Darling Basin Plan.</w:t>
      </w:r>
    </w:p>
    <w:p w:rsidR="00AC2131" w:rsidRDefault="00AC2131" w:rsidP="00AC2131">
      <w:pPr>
        <w:pStyle w:val="Heading3"/>
      </w:pPr>
      <w:r w:rsidRPr="00746311">
        <w:t>Farm Household Allowance</w:t>
      </w:r>
    </w:p>
    <w:p w:rsidR="00AC2131" w:rsidRPr="00102E6F" w:rsidRDefault="00AC2131" w:rsidP="00AC2131">
      <w:pPr>
        <w:pStyle w:val="BodyText"/>
        <w:rPr>
          <w:rStyle w:val="BodyTextChar"/>
        </w:rPr>
      </w:pPr>
      <w:r>
        <w:t>In July 2014, the Farm Household Allowance</w:t>
      </w:r>
      <w:r w:rsidRPr="00A45961">
        <w:t xml:space="preserve"> </w:t>
      </w:r>
      <w:r>
        <w:t xml:space="preserve">commenced operation. </w:t>
      </w:r>
      <w:r w:rsidRPr="00291B90">
        <w:rPr>
          <w:lang w:val="en"/>
        </w:rPr>
        <w:t xml:space="preserve">The Farm Household Allowance provides eligible farmers and their partners who are experiencing financial </w:t>
      </w:r>
      <w:r w:rsidRPr="00B57F9F">
        <w:rPr>
          <w:lang w:val="en"/>
        </w:rPr>
        <w:t>hardship with assistance and support to improve their longer-term financial situation</w:t>
      </w:r>
      <w:r>
        <w:rPr>
          <w:lang w:val="en"/>
        </w:rPr>
        <w:t xml:space="preserve"> (Department of Agriculture 2015b)</w:t>
      </w:r>
      <w:r w:rsidRPr="00B57F9F">
        <w:rPr>
          <w:lang w:val="en"/>
        </w:rPr>
        <w:t xml:space="preserve">. </w:t>
      </w:r>
    </w:p>
    <w:p w:rsidR="00AC2131" w:rsidRDefault="00AC2131" w:rsidP="00AC2131">
      <w:pPr>
        <w:pStyle w:val="BodyText"/>
      </w:pPr>
      <w:r w:rsidRPr="00291B90">
        <w:rPr>
          <w:lang w:val="en"/>
        </w:rPr>
        <w:lastRenderedPageBreak/>
        <w:t xml:space="preserve">The </w:t>
      </w:r>
      <w:r>
        <w:rPr>
          <w:lang w:val="en"/>
        </w:rPr>
        <w:t xml:space="preserve">Australian Government </w:t>
      </w:r>
      <w:r w:rsidRPr="00291B90">
        <w:rPr>
          <w:lang w:val="en"/>
        </w:rPr>
        <w:t xml:space="preserve">allowance is paid fortnightly at a rate equivalent to Newstart Allowance (or Youth Allowance for those under 22 years). A Health Care Card </w:t>
      </w:r>
      <w:r>
        <w:rPr>
          <w:lang w:val="en"/>
        </w:rPr>
        <w:t>is</w:t>
      </w:r>
      <w:r w:rsidRPr="00291B90">
        <w:rPr>
          <w:lang w:val="en"/>
        </w:rPr>
        <w:t xml:space="preserve"> provided to recipients. Support is also provided through a dedicated case manager to help recipients assess their situation and develop a</w:t>
      </w:r>
      <w:r>
        <w:rPr>
          <w:lang w:val="en"/>
        </w:rPr>
        <w:t xml:space="preserve"> financial</w:t>
      </w:r>
      <w:r w:rsidRPr="00291B90">
        <w:rPr>
          <w:lang w:val="en"/>
        </w:rPr>
        <w:t xml:space="preserve"> plan.</w:t>
      </w:r>
      <w:r>
        <w:rPr>
          <w:lang w:val="en"/>
        </w:rPr>
        <w:t xml:space="preserve"> </w:t>
      </w:r>
      <w:r w:rsidRPr="00291B90">
        <w:rPr>
          <w:lang w:val="en"/>
        </w:rPr>
        <w:t xml:space="preserve">Eligible farmers and their partners are able to access </w:t>
      </w:r>
      <w:r>
        <w:rPr>
          <w:lang w:val="en"/>
        </w:rPr>
        <w:t xml:space="preserve">(cumulatively) </w:t>
      </w:r>
      <w:r w:rsidRPr="00291B90">
        <w:rPr>
          <w:lang w:val="en"/>
        </w:rPr>
        <w:t>up to three years of payment.</w:t>
      </w:r>
      <w:r>
        <w:rPr>
          <w:lang w:val="en"/>
        </w:rPr>
        <w:t xml:space="preserve"> </w:t>
      </w:r>
      <w:r w:rsidRPr="00291B90">
        <w:t>The Farm Household Allowance is available regardless of the cause of financial hardship and does not rely on a climatic trigger (such as a drought declaration).</w:t>
      </w:r>
      <w:r>
        <w:t xml:space="preserve"> </w:t>
      </w:r>
    </w:p>
    <w:p w:rsidR="00AC2131" w:rsidRDefault="00AC2131" w:rsidP="00AC2131">
      <w:pPr>
        <w:pStyle w:val="BodyText"/>
      </w:pPr>
      <w:r>
        <w:t>The (new) Allowance replaces</w:t>
      </w:r>
      <w:r w:rsidRPr="00A45961">
        <w:t xml:space="preserve"> the </w:t>
      </w:r>
      <w:r>
        <w:t xml:space="preserve">Interim Farm Household Allowance, which had commenced in March 2014, ahead of the intended start of the Farm Household Allowance in July 2014. The Interim Allowance was a ‘temporary’ response to drought circumstances. </w:t>
      </w:r>
    </w:p>
    <w:p w:rsidR="00AC2131" w:rsidRDefault="00AC2131" w:rsidP="00AC2131">
      <w:pPr>
        <w:pStyle w:val="BodyText"/>
      </w:pPr>
      <w:r>
        <w:rPr>
          <w:rFonts w:ascii="Helvetica" w:hAnsi="Helvetica" w:cs="Helvetica"/>
          <w:color w:val="444444"/>
          <w:sz w:val="22"/>
          <w:szCs w:val="22"/>
        </w:rPr>
        <w:t>T</w:t>
      </w:r>
      <w:r w:rsidRPr="00A86955">
        <w:rPr>
          <w:rStyle w:val="BodyTextChar"/>
        </w:rPr>
        <w:t xml:space="preserve">he Farm Household Allowance </w:t>
      </w:r>
      <w:r>
        <w:rPr>
          <w:rStyle w:val="BodyTextChar"/>
        </w:rPr>
        <w:t xml:space="preserve">(and the Interim arrangement) </w:t>
      </w:r>
      <w:r w:rsidRPr="00A86955">
        <w:rPr>
          <w:rStyle w:val="BodyTextChar"/>
        </w:rPr>
        <w:t>replace</w:t>
      </w:r>
      <w:r>
        <w:rPr>
          <w:rStyle w:val="BodyTextChar"/>
        </w:rPr>
        <w:t>s</w:t>
      </w:r>
      <w:r w:rsidRPr="00A86955">
        <w:rPr>
          <w:rStyle w:val="BodyTextChar"/>
        </w:rPr>
        <w:t xml:space="preserve"> the </w:t>
      </w:r>
      <w:r>
        <w:rPr>
          <w:rStyle w:val="BodyTextChar"/>
        </w:rPr>
        <w:t xml:space="preserve">previous </w:t>
      </w:r>
      <w:r w:rsidRPr="00A86955">
        <w:rPr>
          <w:rStyle w:val="BodyTextChar"/>
        </w:rPr>
        <w:t>Transitional Farm Family Payment</w:t>
      </w:r>
      <w:r>
        <w:rPr>
          <w:rStyle w:val="BodyTextChar"/>
        </w:rPr>
        <w:t>, t</w:t>
      </w:r>
      <w:r w:rsidRPr="00A86955">
        <w:t xml:space="preserve">he major change </w:t>
      </w:r>
      <w:r>
        <w:t xml:space="preserve">being an increase in the </w:t>
      </w:r>
      <w:r w:rsidRPr="00A86955">
        <w:t xml:space="preserve">assets </w:t>
      </w:r>
      <w:r>
        <w:t xml:space="preserve">threshold </w:t>
      </w:r>
      <w:r w:rsidRPr="00A86955">
        <w:t xml:space="preserve">test </w:t>
      </w:r>
      <w:r>
        <w:t xml:space="preserve">by over $1 million to a new threshold of $2.55 million, making </w:t>
      </w:r>
      <w:r w:rsidRPr="00A86955">
        <w:t>income support accessible to more farmers</w:t>
      </w:r>
      <w:r>
        <w:t xml:space="preserve"> (Department of Human Services 2012). The 2014</w:t>
      </w:r>
      <w:r>
        <w:noBreakHyphen/>
        <w:t>15 Budget estimated the Farm Household Allowance would cost $70.2 million (2014</w:t>
      </w:r>
      <w:r>
        <w:noBreakHyphen/>
        <w:t>15), $118.4 million (2015</w:t>
      </w:r>
      <w:r>
        <w:noBreakHyphen/>
        <w:t>16), $172.5 million (2016</w:t>
      </w:r>
      <w:r>
        <w:noBreakHyphen/>
        <w:t>17) and $160.9 million (2017</w:t>
      </w:r>
      <w:r>
        <w:noBreakHyphen/>
        <w:t>18).</w:t>
      </w:r>
    </w:p>
    <w:p w:rsidR="00AC2131" w:rsidRDefault="00AC2131" w:rsidP="00AC2131">
      <w:pPr>
        <w:pStyle w:val="Heading3"/>
      </w:pPr>
      <w:r>
        <w:t>Concessional Loans Schemes</w:t>
      </w:r>
    </w:p>
    <w:p w:rsidR="00AC2131" w:rsidRDefault="00AC2131" w:rsidP="00AC2131">
      <w:pPr>
        <w:pStyle w:val="BodyText"/>
      </w:pPr>
      <w:r>
        <w:t>The Australian Government has committed $700 million for the provision of concessional loans to farm businesses (provided for in the 2013–14 and the 2014–</w:t>
      </w:r>
      <w:r w:rsidRPr="00C130FB">
        <w:t xml:space="preserve">15 </w:t>
      </w:r>
      <w:r>
        <w:t>b</w:t>
      </w:r>
      <w:r w:rsidRPr="00C130FB">
        <w:t>udget</w:t>
      </w:r>
      <w:r>
        <w:t>s</w:t>
      </w:r>
      <w:r w:rsidRPr="00C130FB">
        <w:t>)</w:t>
      </w:r>
      <w:r>
        <w:t xml:space="preserve"> — the Farm Finance Concessional Loans Scheme, the Drought Concessional Loans Scheme and the Drought Recovery Concessional Loans Scheme (table 6.1)</w:t>
      </w:r>
      <w:r w:rsidRPr="00C130FB">
        <w:t>.</w:t>
      </w:r>
      <w:r>
        <w:t xml:space="preserve"> </w:t>
      </w:r>
    </w:p>
    <w:p w:rsidR="00AC2131" w:rsidRDefault="00AC2131" w:rsidP="00AC2131">
      <w:pPr>
        <w:pStyle w:val="BodyText"/>
      </w:pPr>
      <w:r>
        <w:t>In April 2013, the Australian Government announced $420 million for the Farm Finance Concessional Loans Scheme to provide</w:t>
      </w:r>
      <w:r w:rsidRPr="00C130FB">
        <w:t xml:space="preserve"> assistance </w:t>
      </w:r>
      <w:r>
        <w:t>to farm businesses</w:t>
      </w:r>
      <w:r w:rsidRPr="00C130FB">
        <w:t xml:space="preserve"> experiencing debt servicing difficulties through concessional loans for productivity enhancement projects and debt restructuring.</w:t>
      </w:r>
      <w:r>
        <w:t xml:space="preserve"> Loans are for five years at a concessional variable interest rate currently set at 4.34 per cent. This assistance is not drought specific. </w:t>
      </w:r>
    </w:p>
    <w:p w:rsidR="00AC2131" w:rsidRDefault="00AC2131" w:rsidP="00AC2131">
      <w:pPr>
        <w:pStyle w:val="BodyText"/>
      </w:pPr>
      <w:r>
        <w:t>In February 2014, t</w:t>
      </w:r>
      <w:r w:rsidRPr="008E23A9">
        <w:t>he Austr</w:t>
      </w:r>
      <w:r>
        <w:t>alian Government announced $280 </w:t>
      </w:r>
      <w:r w:rsidRPr="008E23A9">
        <w:t xml:space="preserve">million for the Drought Concessional Loans Scheme over the 2013–14 and 2014–15 financial years. These loans </w:t>
      </w:r>
      <w:r>
        <w:t>are for debt restructuring, operating expenses or drought recovery and preparedness activities to</w:t>
      </w:r>
      <w:r w:rsidRPr="008E23A9">
        <w:t xml:space="preserve"> </w:t>
      </w:r>
      <w:r>
        <w:t>provide</w:t>
      </w:r>
      <w:r w:rsidRPr="008E23A9">
        <w:t xml:space="preserve"> farm businesses </w:t>
      </w:r>
      <w:r>
        <w:t xml:space="preserve">with in-drought support and </w:t>
      </w:r>
      <w:r w:rsidRPr="008E23A9">
        <w:t>the resources to recover</w:t>
      </w:r>
      <w:r>
        <w:t xml:space="preserve">. The Drought Concessional Loans Scheme offers loans of up to $1 million over five years at a concessional variable interest rate currently set at 3.84 per cent.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6.</w:t>
            </w:r>
            <w:r>
              <w:rPr>
                <w:b w:val="0"/>
                <w:noProof/>
              </w:rPr>
              <w:t>1</w:t>
            </w:r>
            <w:r>
              <w:tab/>
              <w:t xml:space="preserve">Comparison of the three farm concessional loans schemes </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3"/>
              <w:gridCol w:w="2122"/>
              <w:gridCol w:w="2122"/>
              <w:gridCol w:w="2120"/>
            </w:tblGrid>
            <w:tr w:rsidR="00AC2131" w:rsidTr="00AC2131">
              <w:tc>
                <w:tcPr>
                  <w:tcW w:w="1251" w:type="pct"/>
                  <w:tcBorders>
                    <w:top w:val="single" w:sz="6" w:space="0" w:color="BFBFBF"/>
                  </w:tcBorders>
                  <w:shd w:val="clear" w:color="auto" w:fill="auto"/>
                  <w:tcMar>
                    <w:top w:w="28" w:type="dxa"/>
                  </w:tcMar>
                </w:tcPr>
                <w:p w:rsidR="00AC2131" w:rsidRDefault="00AC2131" w:rsidP="00AC2131">
                  <w:pPr>
                    <w:pStyle w:val="TableColumnHeading"/>
                    <w:jc w:val="left"/>
                  </w:pPr>
                </w:p>
              </w:tc>
              <w:tc>
                <w:tcPr>
                  <w:tcW w:w="1250" w:type="pct"/>
                  <w:tcBorders>
                    <w:top w:val="single" w:sz="6" w:space="0" w:color="BFBFBF"/>
                    <w:bottom w:val="single" w:sz="6" w:space="0" w:color="BFBFBF"/>
                  </w:tcBorders>
                </w:tcPr>
                <w:p w:rsidR="00AC2131" w:rsidRDefault="00AC2131" w:rsidP="00AC2131">
                  <w:pPr>
                    <w:pStyle w:val="TableColumnHeading"/>
                    <w:jc w:val="left"/>
                  </w:pPr>
                  <w:r>
                    <w:t>Farm Finance Concessional Loans</w:t>
                  </w:r>
                </w:p>
              </w:tc>
              <w:tc>
                <w:tcPr>
                  <w:tcW w:w="125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Drought Concessional Loans</w:t>
                  </w:r>
                </w:p>
              </w:tc>
              <w:tc>
                <w:tcPr>
                  <w:tcW w:w="124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right="28"/>
                    <w:jc w:val="left"/>
                  </w:pPr>
                  <w:r>
                    <w:t>Drought Recovery Concessional Loans</w:t>
                  </w:r>
                </w:p>
              </w:tc>
            </w:tr>
            <w:tr w:rsidR="00AC2131" w:rsidTr="00AC2131">
              <w:tc>
                <w:tcPr>
                  <w:tcW w:w="1251" w:type="pct"/>
                  <w:tcBorders>
                    <w:bottom w:val="single" w:sz="6" w:space="0" w:color="BFBFBF"/>
                  </w:tcBorders>
                </w:tcPr>
                <w:p w:rsidR="00AC2131" w:rsidRDefault="00AC2131" w:rsidP="00AC2131">
                  <w:pPr>
                    <w:pStyle w:val="TableUnitsRow"/>
                    <w:jc w:val="left"/>
                  </w:pPr>
                  <w:r>
                    <w:t>Announced</w:t>
                  </w:r>
                </w:p>
              </w:tc>
              <w:tc>
                <w:tcPr>
                  <w:tcW w:w="1250" w:type="pct"/>
                  <w:tcBorders>
                    <w:top w:val="single" w:sz="6" w:space="0" w:color="BFBFBF"/>
                    <w:bottom w:val="single" w:sz="6" w:space="0" w:color="BFBFBF"/>
                  </w:tcBorders>
                </w:tcPr>
                <w:p w:rsidR="00AC2131" w:rsidRDefault="00AC2131" w:rsidP="00AC2131">
                  <w:pPr>
                    <w:pStyle w:val="TableUnitsRow"/>
                    <w:jc w:val="left"/>
                  </w:pPr>
                  <w:r>
                    <w:t>April 2013</w:t>
                  </w:r>
                </w:p>
              </w:tc>
              <w:tc>
                <w:tcPr>
                  <w:tcW w:w="1250" w:type="pct"/>
                  <w:tcBorders>
                    <w:top w:val="single" w:sz="6" w:space="0" w:color="BFBFBF"/>
                    <w:bottom w:val="single" w:sz="6" w:space="0" w:color="BFBFBF"/>
                  </w:tcBorders>
                </w:tcPr>
                <w:p w:rsidR="00AC2131" w:rsidRDefault="00AC2131" w:rsidP="00AC2131">
                  <w:pPr>
                    <w:pStyle w:val="TableUnitsRow"/>
                    <w:jc w:val="left"/>
                  </w:pPr>
                  <w:r>
                    <w:t>February 2014</w:t>
                  </w:r>
                </w:p>
              </w:tc>
              <w:tc>
                <w:tcPr>
                  <w:tcW w:w="1249" w:type="pct"/>
                  <w:tcBorders>
                    <w:top w:val="single" w:sz="6" w:space="0" w:color="BFBFBF"/>
                    <w:bottom w:val="single" w:sz="6" w:space="0" w:color="BFBFBF"/>
                  </w:tcBorders>
                </w:tcPr>
                <w:p w:rsidR="00AC2131" w:rsidRDefault="00AC2131" w:rsidP="00AC2131">
                  <w:pPr>
                    <w:pStyle w:val="TableUnitsRow"/>
                    <w:ind w:right="28"/>
                    <w:jc w:val="left"/>
                  </w:pPr>
                  <w:r>
                    <w:t>December 2014</w:t>
                  </w:r>
                </w:p>
              </w:tc>
            </w:tr>
            <w:tr w:rsidR="00AC2131" w:rsidTr="00AC2131">
              <w:tc>
                <w:tcPr>
                  <w:tcW w:w="1251" w:type="pct"/>
                  <w:tcBorders>
                    <w:top w:val="single" w:sz="6" w:space="0" w:color="BFBFBF"/>
                  </w:tcBorders>
                  <w:shd w:val="clear" w:color="auto" w:fill="F2F2F2"/>
                </w:tcPr>
                <w:p w:rsidR="00AC2131" w:rsidRDefault="00AC2131" w:rsidP="00AC2131">
                  <w:pPr>
                    <w:pStyle w:val="TableUnitsRow"/>
                    <w:jc w:val="left"/>
                  </w:pPr>
                  <w:r>
                    <w:t>Funding</w:t>
                  </w:r>
                </w:p>
              </w:tc>
              <w:tc>
                <w:tcPr>
                  <w:tcW w:w="1250" w:type="pct"/>
                  <w:tcBorders>
                    <w:top w:val="single" w:sz="6" w:space="0" w:color="BFBFBF"/>
                  </w:tcBorders>
                  <w:shd w:val="clear" w:color="auto" w:fill="F2F2F2"/>
                </w:tcPr>
                <w:p w:rsidR="00AC2131" w:rsidRDefault="00AC2131" w:rsidP="00AC2131">
                  <w:pPr>
                    <w:pStyle w:val="TableUnitsRow"/>
                    <w:jc w:val="left"/>
                  </w:pPr>
                  <w:r>
                    <w:t>$420 million</w:t>
                  </w:r>
                </w:p>
              </w:tc>
              <w:tc>
                <w:tcPr>
                  <w:tcW w:w="1250" w:type="pct"/>
                  <w:tcBorders>
                    <w:top w:val="single" w:sz="6" w:space="0" w:color="BFBFBF"/>
                  </w:tcBorders>
                  <w:shd w:val="clear" w:color="auto" w:fill="F2F2F2"/>
                </w:tcPr>
                <w:p w:rsidR="00AC2131" w:rsidRDefault="00AC2131" w:rsidP="00AC2131">
                  <w:pPr>
                    <w:pStyle w:val="TableUnitsRow"/>
                    <w:jc w:val="left"/>
                  </w:pPr>
                  <w:r>
                    <w:t>$280 million</w:t>
                  </w:r>
                </w:p>
              </w:tc>
              <w:tc>
                <w:tcPr>
                  <w:tcW w:w="1249" w:type="pct"/>
                  <w:tcBorders>
                    <w:top w:val="single" w:sz="6" w:space="0" w:color="BFBFBF"/>
                  </w:tcBorders>
                  <w:shd w:val="clear" w:color="auto" w:fill="F2F2F2"/>
                </w:tcPr>
                <w:p w:rsidR="00AC2131" w:rsidRDefault="00AC2131" w:rsidP="00AC2131">
                  <w:pPr>
                    <w:pStyle w:val="TableUnitsRow"/>
                    <w:ind w:right="28"/>
                    <w:jc w:val="left"/>
                  </w:pPr>
                  <w:r>
                    <w:t>$100 million</w:t>
                  </w:r>
                  <w:r>
                    <w:br/>
                    <w:t>(re-allocated from existing concessional loan measures)</w:t>
                  </w:r>
                </w:p>
              </w:tc>
            </w:tr>
            <w:tr w:rsidR="00AC2131" w:rsidTr="00AC2131">
              <w:tc>
                <w:tcPr>
                  <w:tcW w:w="1251" w:type="pct"/>
                </w:tcPr>
                <w:p w:rsidR="00AC2131" w:rsidDel="00BD3863" w:rsidRDefault="00AC2131" w:rsidP="00AC2131">
                  <w:pPr>
                    <w:pStyle w:val="TableUnitsRow"/>
                    <w:jc w:val="left"/>
                  </w:pPr>
                  <w:r>
                    <w:t>Funding allocated as at March 2015</w:t>
                  </w:r>
                </w:p>
              </w:tc>
              <w:tc>
                <w:tcPr>
                  <w:tcW w:w="1250" w:type="pct"/>
                </w:tcPr>
                <w:p w:rsidR="00AC2131" w:rsidRDefault="00AC2131" w:rsidP="00AC2131">
                  <w:pPr>
                    <w:pStyle w:val="TableUnitsRow"/>
                    <w:jc w:val="left"/>
                  </w:pPr>
                  <w:r>
                    <w:t>$330 million</w:t>
                  </w:r>
                </w:p>
              </w:tc>
              <w:tc>
                <w:tcPr>
                  <w:tcW w:w="1250" w:type="pct"/>
                </w:tcPr>
                <w:p w:rsidR="00AC2131" w:rsidRDefault="00AC2131" w:rsidP="00AC2131">
                  <w:pPr>
                    <w:pStyle w:val="TableUnitsRow"/>
                    <w:jc w:val="left"/>
                  </w:pPr>
                  <w:r>
                    <w:t>$270 million</w:t>
                  </w:r>
                </w:p>
              </w:tc>
              <w:tc>
                <w:tcPr>
                  <w:tcW w:w="1249" w:type="pct"/>
                </w:tcPr>
                <w:p w:rsidR="00AC2131" w:rsidRDefault="00AC2131" w:rsidP="00AC2131">
                  <w:pPr>
                    <w:pStyle w:val="TableUnitsRow"/>
                    <w:ind w:right="28"/>
                    <w:jc w:val="left"/>
                  </w:pPr>
                  <w:r>
                    <w:t>$100 million</w:t>
                  </w:r>
                </w:p>
              </w:tc>
            </w:tr>
            <w:tr w:rsidR="00AC2131" w:rsidTr="00AC2131">
              <w:tc>
                <w:tcPr>
                  <w:tcW w:w="1251" w:type="pct"/>
                  <w:shd w:val="clear" w:color="auto" w:fill="F2F2F2"/>
                </w:tcPr>
                <w:p w:rsidR="00AC2131" w:rsidRDefault="00AC2131" w:rsidP="00AC2131">
                  <w:pPr>
                    <w:pStyle w:val="TableUnitsRow"/>
                    <w:jc w:val="left"/>
                  </w:pPr>
                  <w:r>
                    <w:t>Expenditure provisioned years</w:t>
                  </w:r>
                </w:p>
              </w:tc>
              <w:tc>
                <w:tcPr>
                  <w:tcW w:w="1250" w:type="pct"/>
                  <w:shd w:val="clear" w:color="auto" w:fill="F2F2F2"/>
                </w:tcPr>
                <w:p w:rsidR="00AC2131" w:rsidRDefault="00AC2131" w:rsidP="00AC2131">
                  <w:pPr>
                    <w:pStyle w:val="TableUnitsRow"/>
                    <w:jc w:val="left"/>
                  </w:pPr>
                  <w:r>
                    <w:t>2013-14 and 2014-15</w:t>
                  </w:r>
                </w:p>
              </w:tc>
              <w:tc>
                <w:tcPr>
                  <w:tcW w:w="1250" w:type="pct"/>
                  <w:shd w:val="clear" w:color="auto" w:fill="F2F2F2"/>
                </w:tcPr>
                <w:p w:rsidR="00AC2131" w:rsidRDefault="00AC2131" w:rsidP="00AC2131">
                  <w:pPr>
                    <w:pStyle w:val="TableUnitsRow"/>
                    <w:jc w:val="left"/>
                  </w:pPr>
                  <w:r>
                    <w:t>2014</w:t>
                  </w:r>
                  <w:r>
                    <w:noBreakHyphen/>
                    <w:t>15</w:t>
                  </w:r>
                </w:p>
              </w:tc>
              <w:tc>
                <w:tcPr>
                  <w:tcW w:w="1249" w:type="pct"/>
                  <w:shd w:val="clear" w:color="auto" w:fill="F2F2F2"/>
                </w:tcPr>
                <w:p w:rsidR="00AC2131" w:rsidRDefault="00AC2131" w:rsidP="00AC2131">
                  <w:pPr>
                    <w:pStyle w:val="TableUnitsRow"/>
                    <w:ind w:right="28"/>
                    <w:jc w:val="left"/>
                  </w:pPr>
                  <w:r>
                    <w:t>2014</w:t>
                  </w:r>
                  <w:r>
                    <w:noBreakHyphen/>
                    <w:t>15</w:t>
                  </w:r>
                </w:p>
              </w:tc>
            </w:tr>
            <w:tr w:rsidR="00AC2131" w:rsidTr="00AC2131">
              <w:tc>
                <w:tcPr>
                  <w:tcW w:w="1251" w:type="pct"/>
                </w:tcPr>
                <w:p w:rsidR="00AC2131" w:rsidRDefault="00AC2131" w:rsidP="00AC2131">
                  <w:pPr>
                    <w:pStyle w:val="TableUnitsRow"/>
                    <w:jc w:val="left"/>
                  </w:pPr>
                  <w:r>
                    <w:t xml:space="preserve">Jurisdiction </w:t>
                  </w:r>
                </w:p>
              </w:tc>
              <w:tc>
                <w:tcPr>
                  <w:tcW w:w="1250" w:type="pct"/>
                </w:tcPr>
                <w:p w:rsidR="00AC2131" w:rsidRDefault="00AC2131" w:rsidP="00AC2131">
                  <w:pPr>
                    <w:pStyle w:val="TableUnitsRow"/>
                    <w:jc w:val="left"/>
                  </w:pPr>
                  <w:r>
                    <w:t>All States and Northern Territory</w:t>
                  </w:r>
                </w:p>
              </w:tc>
              <w:tc>
                <w:tcPr>
                  <w:tcW w:w="1250" w:type="pct"/>
                </w:tcPr>
                <w:p w:rsidR="00AC2131" w:rsidRDefault="00AC2131" w:rsidP="00AC2131">
                  <w:pPr>
                    <w:pStyle w:val="TableUnitsRow"/>
                    <w:jc w:val="left"/>
                  </w:pPr>
                  <w:r>
                    <w:t>New South Wales, Victoria, Western Australia, Northern Territory, South Australia and Queensland</w:t>
                  </w:r>
                </w:p>
              </w:tc>
              <w:tc>
                <w:tcPr>
                  <w:tcW w:w="1249" w:type="pct"/>
                </w:tcPr>
                <w:p w:rsidR="00AC2131" w:rsidRDefault="00AC2131" w:rsidP="00AC2131">
                  <w:pPr>
                    <w:pStyle w:val="TableUnitsRow"/>
                    <w:ind w:right="28"/>
                    <w:jc w:val="left"/>
                  </w:pPr>
                  <w:r>
                    <w:t>Queensland and New South Wales</w:t>
                  </w:r>
                </w:p>
              </w:tc>
            </w:tr>
            <w:tr w:rsidR="00AC2131" w:rsidTr="00AC2131">
              <w:trPr>
                <w:trHeight w:val="1057"/>
              </w:trPr>
              <w:tc>
                <w:tcPr>
                  <w:tcW w:w="1251" w:type="pct"/>
                  <w:shd w:val="clear" w:color="auto" w:fill="F2F2F2"/>
                </w:tcPr>
                <w:p w:rsidR="00AC2131" w:rsidRDefault="00AC2131" w:rsidP="00AC2131">
                  <w:pPr>
                    <w:pStyle w:val="TableUnitsRow"/>
                    <w:jc w:val="left"/>
                  </w:pPr>
                  <w:r>
                    <w:t>Purpose</w:t>
                  </w:r>
                </w:p>
              </w:tc>
              <w:tc>
                <w:tcPr>
                  <w:tcW w:w="1250" w:type="pct"/>
                  <w:shd w:val="clear" w:color="auto" w:fill="F2F2F2"/>
                </w:tcPr>
                <w:p w:rsidR="00AC2131" w:rsidRDefault="00AC2131" w:rsidP="00AC2131">
                  <w:pPr>
                    <w:pStyle w:val="TableUnitsRow"/>
                    <w:jc w:val="left"/>
                  </w:pPr>
                  <w:r>
                    <w:t>Debt restructuring (and productivity enhancements in WA, Vic. and Tas.)</w:t>
                  </w:r>
                </w:p>
              </w:tc>
              <w:tc>
                <w:tcPr>
                  <w:tcW w:w="1250" w:type="pct"/>
                  <w:shd w:val="clear" w:color="auto" w:fill="F2F2F2"/>
                </w:tcPr>
                <w:p w:rsidR="00AC2131" w:rsidRDefault="00AC2131" w:rsidP="00AC2131">
                  <w:pPr>
                    <w:pStyle w:val="TableUnitsRow"/>
                    <w:jc w:val="left"/>
                  </w:pPr>
                  <w:r>
                    <w:t>Debt restructuring, operating expenses, drought recovery and preparedness</w:t>
                  </w:r>
                </w:p>
              </w:tc>
              <w:tc>
                <w:tcPr>
                  <w:tcW w:w="1249" w:type="pct"/>
                  <w:shd w:val="clear" w:color="auto" w:fill="F2F2F2"/>
                </w:tcPr>
                <w:p w:rsidR="00AC2131" w:rsidRDefault="00AC2131" w:rsidP="00AC2131">
                  <w:pPr>
                    <w:pStyle w:val="TableUnitsRow"/>
                    <w:ind w:right="28"/>
                    <w:jc w:val="left"/>
                  </w:pPr>
                  <w:r>
                    <w:t>Planting and/or restocking</w:t>
                  </w:r>
                </w:p>
              </w:tc>
            </w:tr>
            <w:tr w:rsidR="00AC2131" w:rsidTr="00AC2131">
              <w:tc>
                <w:tcPr>
                  <w:tcW w:w="1251" w:type="pct"/>
                </w:tcPr>
                <w:p w:rsidR="00AC2131" w:rsidRDefault="00AC2131" w:rsidP="00AC2131">
                  <w:pPr>
                    <w:pStyle w:val="TableUnitsRow"/>
                    <w:jc w:val="left"/>
                  </w:pPr>
                  <w:r>
                    <w:t>Loan term</w:t>
                  </w:r>
                </w:p>
              </w:tc>
              <w:tc>
                <w:tcPr>
                  <w:tcW w:w="1250" w:type="pct"/>
                </w:tcPr>
                <w:p w:rsidR="00AC2131" w:rsidRDefault="00AC2131" w:rsidP="00AC2131">
                  <w:pPr>
                    <w:pStyle w:val="TableUnitsRow"/>
                    <w:jc w:val="left"/>
                  </w:pPr>
                  <w:r>
                    <w:t>5 years</w:t>
                  </w:r>
                </w:p>
              </w:tc>
              <w:tc>
                <w:tcPr>
                  <w:tcW w:w="1250" w:type="pct"/>
                </w:tcPr>
                <w:p w:rsidR="00AC2131" w:rsidRDefault="00AC2131" w:rsidP="00AC2131">
                  <w:pPr>
                    <w:pStyle w:val="TableUnitsRow"/>
                    <w:jc w:val="left"/>
                  </w:pPr>
                  <w:r>
                    <w:t>5 years</w:t>
                  </w:r>
                </w:p>
              </w:tc>
              <w:tc>
                <w:tcPr>
                  <w:tcW w:w="1249" w:type="pct"/>
                </w:tcPr>
                <w:p w:rsidR="00AC2131" w:rsidRDefault="00AC2131" w:rsidP="00AC2131">
                  <w:pPr>
                    <w:pStyle w:val="TableUnitsRow"/>
                    <w:ind w:right="28"/>
                    <w:jc w:val="left"/>
                  </w:pPr>
                  <w:r>
                    <w:t>10 years</w:t>
                  </w:r>
                </w:p>
              </w:tc>
            </w:tr>
            <w:tr w:rsidR="00AC2131" w:rsidTr="00AC2131">
              <w:tc>
                <w:tcPr>
                  <w:tcW w:w="1251" w:type="pct"/>
                  <w:shd w:val="clear" w:color="auto" w:fill="F2F2F2"/>
                </w:tcPr>
                <w:p w:rsidR="00AC2131" w:rsidRDefault="00AC2131" w:rsidP="00AC2131">
                  <w:pPr>
                    <w:pStyle w:val="TableUnitsRow"/>
                    <w:jc w:val="left"/>
                  </w:pPr>
                  <w:r>
                    <w:t>Interest rate</w:t>
                  </w:r>
                </w:p>
              </w:tc>
              <w:tc>
                <w:tcPr>
                  <w:tcW w:w="1250" w:type="pct"/>
                  <w:shd w:val="clear" w:color="auto" w:fill="F2F2F2"/>
                </w:tcPr>
                <w:p w:rsidR="00AC2131" w:rsidRDefault="00AC2131" w:rsidP="00AC2131">
                  <w:pPr>
                    <w:pStyle w:val="TableUnitsRow"/>
                    <w:jc w:val="left"/>
                  </w:pPr>
                  <w:r>
                    <w:t>Currently 4.34%</w:t>
                  </w:r>
                </w:p>
              </w:tc>
              <w:tc>
                <w:tcPr>
                  <w:tcW w:w="1250" w:type="pct"/>
                  <w:shd w:val="clear" w:color="auto" w:fill="F2F2F2"/>
                </w:tcPr>
                <w:p w:rsidR="00AC2131" w:rsidRDefault="00AC2131" w:rsidP="00AC2131">
                  <w:pPr>
                    <w:pStyle w:val="TableUnitsRow"/>
                    <w:jc w:val="left"/>
                  </w:pPr>
                  <w:r>
                    <w:t>Currently 3.84%</w:t>
                  </w:r>
                  <w:r w:rsidRPr="008E77FE">
                    <w:rPr>
                      <w:rStyle w:val="NoteLabel"/>
                    </w:rPr>
                    <w:t xml:space="preserve"> a</w:t>
                  </w:r>
                </w:p>
              </w:tc>
              <w:tc>
                <w:tcPr>
                  <w:tcW w:w="1249" w:type="pct"/>
                  <w:shd w:val="clear" w:color="auto" w:fill="F2F2F2"/>
                </w:tcPr>
                <w:p w:rsidR="00AC2131" w:rsidRDefault="00AC2131" w:rsidP="00AC2131">
                  <w:pPr>
                    <w:pStyle w:val="TableUnitsRow"/>
                    <w:ind w:right="28"/>
                    <w:jc w:val="left"/>
                  </w:pPr>
                  <w:r>
                    <w:t>Initially 3.21%</w:t>
                  </w:r>
                </w:p>
              </w:tc>
            </w:tr>
            <w:tr w:rsidR="00AC2131" w:rsidTr="00AC2131">
              <w:tc>
                <w:tcPr>
                  <w:tcW w:w="1251" w:type="pct"/>
                </w:tcPr>
                <w:p w:rsidR="00AC2131" w:rsidRDefault="00AC2131" w:rsidP="00AC2131">
                  <w:pPr>
                    <w:pStyle w:val="TableUnitsRow"/>
                    <w:jc w:val="left"/>
                  </w:pPr>
                  <w:r>
                    <w:t>Loan limit</w:t>
                  </w:r>
                </w:p>
              </w:tc>
              <w:tc>
                <w:tcPr>
                  <w:tcW w:w="1250" w:type="pct"/>
                </w:tcPr>
                <w:p w:rsidR="00AC2131" w:rsidRDefault="00AC2131" w:rsidP="00AC2131">
                  <w:pPr>
                    <w:pStyle w:val="TableUnitsRow"/>
                    <w:ind w:left="0"/>
                    <w:jc w:val="left"/>
                  </w:pPr>
                  <w:r>
                    <w:t>50% of eligible debt to a maximum of between $650 000 and $1 million depending upon the jurisdiction</w:t>
                  </w:r>
                </w:p>
              </w:tc>
              <w:tc>
                <w:tcPr>
                  <w:tcW w:w="1250" w:type="pct"/>
                </w:tcPr>
                <w:p w:rsidR="00AC2131" w:rsidRDefault="00AC2131" w:rsidP="00AC2131">
                  <w:pPr>
                    <w:pStyle w:val="TableUnitsRow"/>
                    <w:ind w:left="0"/>
                    <w:jc w:val="left"/>
                  </w:pPr>
                  <w:r>
                    <w:t>50% of eligible debt to a maximum of $1 million</w:t>
                  </w:r>
                </w:p>
              </w:tc>
              <w:tc>
                <w:tcPr>
                  <w:tcW w:w="1249" w:type="pct"/>
                </w:tcPr>
                <w:p w:rsidR="00AC2131" w:rsidRDefault="00AC2131" w:rsidP="00AC2131">
                  <w:pPr>
                    <w:pStyle w:val="TableUnitsRow"/>
                    <w:ind w:right="28"/>
                    <w:jc w:val="left"/>
                  </w:pPr>
                  <w:r>
                    <w:t>50% of eligible debt to a maximum of $1 million</w:t>
                  </w:r>
                </w:p>
              </w:tc>
            </w:tr>
            <w:tr w:rsidR="00AC2131" w:rsidTr="00AC2131">
              <w:tc>
                <w:tcPr>
                  <w:tcW w:w="1251" w:type="pct"/>
                  <w:shd w:val="clear" w:color="auto" w:fill="F2F2F2"/>
                </w:tcPr>
                <w:p w:rsidR="00AC2131" w:rsidRDefault="00AC2131" w:rsidP="00AC2131">
                  <w:pPr>
                    <w:pStyle w:val="TableBodyText"/>
                    <w:jc w:val="left"/>
                  </w:pPr>
                  <w:r>
                    <w:t xml:space="preserve">Drought dependent </w:t>
                  </w:r>
                </w:p>
              </w:tc>
              <w:tc>
                <w:tcPr>
                  <w:tcW w:w="1250" w:type="pct"/>
                  <w:shd w:val="clear" w:color="auto" w:fill="F2F2F2"/>
                </w:tcPr>
                <w:p w:rsidR="00AC2131" w:rsidRDefault="00AC2131" w:rsidP="00AC2131">
                  <w:pPr>
                    <w:pStyle w:val="TableBodyText"/>
                    <w:jc w:val="left"/>
                  </w:pPr>
                  <w:r>
                    <w:t xml:space="preserve">No </w:t>
                  </w:r>
                </w:p>
              </w:tc>
              <w:tc>
                <w:tcPr>
                  <w:tcW w:w="1250" w:type="pct"/>
                  <w:shd w:val="clear" w:color="auto" w:fill="F2F2F2"/>
                </w:tcPr>
                <w:p w:rsidR="00AC2131" w:rsidRDefault="00AC2131" w:rsidP="00AC2131">
                  <w:pPr>
                    <w:pStyle w:val="TableBodyText"/>
                    <w:jc w:val="left"/>
                  </w:pPr>
                  <w:r>
                    <w:t>Yes</w:t>
                  </w:r>
                </w:p>
              </w:tc>
              <w:tc>
                <w:tcPr>
                  <w:tcW w:w="1249" w:type="pct"/>
                  <w:shd w:val="clear" w:color="auto" w:fill="F2F2F2"/>
                </w:tcPr>
                <w:p w:rsidR="00AC2131" w:rsidRDefault="00AC2131" w:rsidP="00AC2131">
                  <w:pPr>
                    <w:pStyle w:val="TableBodyText"/>
                    <w:ind w:right="28"/>
                    <w:jc w:val="left"/>
                  </w:pPr>
                  <w:r>
                    <w:t>Yes</w:t>
                  </w:r>
                </w:p>
              </w:tc>
            </w:tr>
            <w:tr w:rsidR="00AC2131" w:rsidTr="00AC2131">
              <w:tc>
                <w:tcPr>
                  <w:tcW w:w="1251" w:type="pct"/>
                  <w:shd w:val="clear" w:color="auto" w:fill="auto"/>
                </w:tcPr>
                <w:p w:rsidR="00AC2131" w:rsidRDefault="00AC2131" w:rsidP="00AC2131">
                  <w:pPr>
                    <w:pStyle w:val="TableBodyText"/>
                    <w:jc w:val="left"/>
                  </w:pPr>
                  <w:r>
                    <w:t>No. of approved loans as at 31 March 2015</w:t>
                  </w:r>
                </w:p>
              </w:tc>
              <w:tc>
                <w:tcPr>
                  <w:tcW w:w="1250" w:type="pct"/>
                </w:tcPr>
                <w:p w:rsidR="00AC2131" w:rsidRDefault="00AC2131" w:rsidP="00AC2131">
                  <w:pPr>
                    <w:pStyle w:val="TableBodyText"/>
                    <w:jc w:val="left"/>
                  </w:pPr>
                  <w:r>
                    <w:t>348</w:t>
                  </w:r>
                </w:p>
              </w:tc>
              <w:tc>
                <w:tcPr>
                  <w:tcW w:w="1250" w:type="pct"/>
                  <w:shd w:val="clear" w:color="auto" w:fill="auto"/>
                </w:tcPr>
                <w:p w:rsidR="00AC2131" w:rsidRDefault="00AC2131" w:rsidP="00AC2131">
                  <w:pPr>
                    <w:pStyle w:val="TableBodyText"/>
                    <w:jc w:val="left"/>
                  </w:pPr>
                  <w:r>
                    <w:t>180</w:t>
                  </w:r>
                </w:p>
              </w:tc>
              <w:tc>
                <w:tcPr>
                  <w:tcW w:w="1249" w:type="pct"/>
                  <w:shd w:val="clear" w:color="auto" w:fill="auto"/>
                </w:tcPr>
                <w:p w:rsidR="00AC2131" w:rsidRDefault="00AC2131" w:rsidP="00AC2131">
                  <w:pPr>
                    <w:pStyle w:val="TableBodyText"/>
                    <w:ind w:right="28"/>
                    <w:jc w:val="left"/>
                  </w:pPr>
                  <w:r>
                    <w:t>3</w:t>
                  </w:r>
                </w:p>
              </w:tc>
            </w:tr>
            <w:tr w:rsidR="00AC2131" w:rsidTr="00AC2131">
              <w:tc>
                <w:tcPr>
                  <w:tcW w:w="1251" w:type="pct"/>
                  <w:tcBorders>
                    <w:bottom w:val="single" w:sz="6" w:space="0" w:color="BFBFBF"/>
                  </w:tcBorders>
                  <w:shd w:val="clear" w:color="auto" w:fill="F2F2F2"/>
                </w:tcPr>
                <w:p w:rsidR="00AC2131" w:rsidRDefault="00AC2131" w:rsidP="00AC2131">
                  <w:pPr>
                    <w:pStyle w:val="TableBodyText"/>
                    <w:jc w:val="left"/>
                  </w:pPr>
                  <w:r>
                    <w:t>Value of approved loans as at 31 March 2015</w:t>
                  </w:r>
                </w:p>
              </w:tc>
              <w:tc>
                <w:tcPr>
                  <w:tcW w:w="1250" w:type="pct"/>
                  <w:tcBorders>
                    <w:bottom w:val="single" w:sz="6" w:space="0" w:color="BFBFBF"/>
                  </w:tcBorders>
                  <w:shd w:val="clear" w:color="auto" w:fill="F2F2F2"/>
                </w:tcPr>
                <w:p w:rsidR="00AC2131" w:rsidRDefault="00AC2131" w:rsidP="00AC2131">
                  <w:pPr>
                    <w:pStyle w:val="TableBodyText"/>
                    <w:jc w:val="left"/>
                  </w:pPr>
                  <w:r>
                    <w:t>$163.9 million</w:t>
                  </w:r>
                </w:p>
              </w:tc>
              <w:tc>
                <w:tcPr>
                  <w:tcW w:w="1250" w:type="pct"/>
                  <w:tcBorders>
                    <w:bottom w:val="single" w:sz="6" w:space="0" w:color="BFBFBF"/>
                  </w:tcBorders>
                  <w:shd w:val="clear" w:color="auto" w:fill="F2F2F2"/>
                </w:tcPr>
                <w:p w:rsidR="00AC2131" w:rsidRDefault="00AC2131" w:rsidP="00AC2131">
                  <w:pPr>
                    <w:pStyle w:val="TableBodyText"/>
                    <w:jc w:val="left"/>
                  </w:pPr>
                  <w:r>
                    <w:t>$105.1 million</w:t>
                  </w:r>
                </w:p>
              </w:tc>
              <w:tc>
                <w:tcPr>
                  <w:tcW w:w="1249" w:type="pct"/>
                  <w:tcBorders>
                    <w:bottom w:val="single" w:sz="6" w:space="0" w:color="BFBFBF"/>
                  </w:tcBorders>
                  <w:shd w:val="clear" w:color="auto" w:fill="F2F2F2"/>
                </w:tcPr>
                <w:p w:rsidR="00AC2131" w:rsidRDefault="00AC2131" w:rsidP="00AC2131">
                  <w:pPr>
                    <w:pStyle w:val="TableBodyText"/>
                    <w:ind w:right="28"/>
                    <w:jc w:val="left"/>
                  </w:pPr>
                  <w:r>
                    <w:t>$0.6 million</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sidRPr="008E77FE">
              <w:rPr>
                <w:rStyle w:val="NoteLabel"/>
              </w:rPr>
              <w:t>a</w:t>
            </w:r>
            <w:r>
              <w:t xml:space="preserve"> The interest rate is to be maintained 0.5 percentage points below the Farm Finance Concessional Loan interest rate.</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Department of Agriculture (2015c).</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3"/>
      </w:pPr>
      <w:r>
        <w:t>Drought Recovery Concessional Loans Scheme</w:t>
      </w:r>
    </w:p>
    <w:p w:rsidR="00AC2131" w:rsidRDefault="00AC2131" w:rsidP="00AC2131">
      <w:pPr>
        <w:pStyle w:val="BodyText"/>
      </w:pPr>
      <w:r>
        <w:t>In December 2014</w:t>
      </w:r>
      <w:r w:rsidRPr="00A1483C">
        <w:t>, the Aust</w:t>
      </w:r>
      <w:r w:rsidRPr="00C031D5">
        <w:t xml:space="preserve">ralian Government announced the </w:t>
      </w:r>
      <w:r>
        <w:t>$100 million Drought Recovery Concessional Loans Scheme, funded from underspends from the 2013–14 Farm Finance Concessional Loan round and uncommitted funding from the Drought Concessional Loans Scheme. The Drought Recovery Concessional Loans Scheme is intended to target farm businesses in Queensland and New South Wales in financial need of assistance that have experienced unprecedented drought.</w:t>
      </w:r>
      <w:r w:rsidRPr="007824DC">
        <w:t xml:space="preserve"> </w:t>
      </w:r>
      <w:r>
        <w:t xml:space="preserve">The scheme is intended to help fund planting and restocking activities to help farm businesses recover from drought and return to normal operating conditions as quickly as possible, when seasonal conditions </w:t>
      </w:r>
      <w:r>
        <w:lastRenderedPageBreak/>
        <w:t xml:space="preserve">allow. In Queensland, the loans are also available to farm businesses directly impacted by the combined effects of drought and the mid-2011 disruption to live cattle exports to Indonesia. </w:t>
      </w:r>
      <w:r w:rsidRPr="0029008E">
        <w:t xml:space="preserve">Farm businesses </w:t>
      </w:r>
      <w:r>
        <w:t>are</w:t>
      </w:r>
      <w:r w:rsidRPr="0029008E">
        <w:t xml:space="preserve"> able to apply for a loan </w:t>
      </w:r>
      <w:r>
        <w:t xml:space="preserve">of </w:t>
      </w:r>
      <w:r w:rsidRPr="0029008E">
        <w:t>up to $1</w:t>
      </w:r>
      <w:r>
        <w:t> </w:t>
      </w:r>
      <w:r w:rsidRPr="0029008E">
        <w:t>million over 10</w:t>
      </w:r>
      <w:r>
        <w:t> </w:t>
      </w:r>
      <w:r w:rsidRPr="0029008E">
        <w:t xml:space="preserve">years at a concessional </w:t>
      </w:r>
      <w:r>
        <w:t xml:space="preserve">variable </w:t>
      </w:r>
      <w:r w:rsidRPr="0029008E">
        <w:t xml:space="preserve">interest rate </w:t>
      </w:r>
      <w:r>
        <w:t>currently</w:t>
      </w:r>
      <w:r w:rsidRPr="0029008E">
        <w:t xml:space="preserve"> set at 3.21</w:t>
      </w:r>
      <w:r>
        <w:t> </w:t>
      </w:r>
      <w:r w:rsidRPr="0029008E">
        <w:t>per</w:t>
      </w:r>
      <w:r>
        <w:t> </w:t>
      </w:r>
      <w:r w:rsidRPr="0029008E">
        <w:t>cent.</w:t>
      </w:r>
    </w:p>
    <w:p w:rsidR="00AC2131" w:rsidRDefault="00AC2131" w:rsidP="00AC2131">
      <w:pPr>
        <w:pStyle w:val="BodyText"/>
      </w:pPr>
      <w:r>
        <w:t xml:space="preserve">Concessional loan funding by the Australian Government is capped and the annual provisioned amount is allocated across the states on a needs basis. State delivery agencies assess applications, administer loan agreements and collect interest. Loans under all of the schemes are only available to farm businesses that, subject to national guidelines and assessed by state delivery agencies, are commercially viable in the long term, have the capacity to repay the loan; have sufficient security against the loan, and have support from their commercial lender(s). </w:t>
      </w:r>
    </w:p>
    <w:p w:rsidR="00AC2131" w:rsidRDefault="00AC2131" w:rsidP="00AC2131">
      <w:pPr>
        <w:pStyle w:val="Heading3"/>
      </w:pPr>
      <w:r>
        <w:t>National Landcare Programme</w:t>
      </w:r>
    </w:p>
    <w:p w:rsidR="00AC2131" w:rsidRDefault="00AC2131" w:rsidP="00AC2131">
      <w:pPr>
        <w:pStyle w:val="BodyText"/>
      </w:pPr>
      <w:r w:rsidRPr="00D93841">
        <w:t>In the 2014–15 Budget, the Government announced the establishment of the</w:t>
      </w:r>
      <w:r>
        <w:t xml:space="preserve"> </w:t>
      </w:r>
      <w:r w:rsidRPr="00D93841">
        <w:t xml:space="preserve">National Landcare Programme through the merger of the </w:t>
      </w:r>
      <w:r>
        <w:t>former</w:t>
      </w:r>
      <w:r w:rsidRPr="00D93841">
        <w:t xml:space="preserve"> Caring for our</w:t>
      </w:r>
      <w:r>
        <w:t xml:space="preserve"> </w:t>
      </w:r>
      <w:r w:rsidRPr="00D93841">
        <w:t>Country and Landcare programmes.</w:t>
      </w:r>
      <w:r>
        <w:t xml:space="preserve"> The </w:t>
      </w:r>
      <w:r w:rsidRPr="001D1A23">
        <w:t xml:space="preserve">National Landcare Programme </w:t>
      </w:r>
      <w:r>
        <w:t xml:space="preserve">is intended to </w:t>
      </w:r>
      <w:r w:rsidRPr="001D1A23">
        <w:t xml:space="preserve">help </w:t>
      </w:r>
      <w:r>
        <w:t>attain</w:t>
      </w:r>
      <w:r w:rsidRPr="001D1A23">
        <w:t xml:space="preserve"> sustainable agriculture as well as supporting the protection, conservation and rehabilitation of Australia’s natural environment</w:t>
      </w:r>
      <w:r>
        <w:t xml:space="preserve"> (Department of the Environment 2015). </w:t>
      </w:r>
      <w:r w:rsidRPr="00D93841">
        <w:t xml:space="preserve">The </w:t>
      </w:r>
      <w:r>
        <w:t>Australian Government</w:t>
      </w:r>
      <w:r w:rsidRPr="00D93841">
        <w:t xml:space="preserve"> </w:t>
      </w:r>
      <w:r>
        <w:t xml:space="preserve">has </w:t>
      </w:r>
      <w:r w:rsidRPr="00D93841">
        <w:t>provided $1</w:t>
      </w:r>
      <w:r>
        <w:t> b</w:t>
      </w:r>
      <w:r w:rsidRPr="00D93841">
        <w:t xml:space="preserve">illion over the four years </w:t>
      </w:r>
      <w:r>
        <w:t>from 2014-15</w:t>
      </w:r>
      <w:r w:rsidRPr="00D93841">
        <w:t xml:space="preserve"> to establish the Programme.</w:t>
      </w:r>
      <w:r>
        <w:rPr>
          <w:rStyle w:val="FootnoteReference"/>
        </w:rPr>
        <w:footnoteReference w:id="51"/>
      </w:r>
      <w:r>
        <w:t xml:space="preserve"> </w:t>
      </w:r>
    </w:p>
    <w:p w:rsidR="00AC2131" w:rsidRDefault="00AC2131" w:rsidP="00AC2131">
      <w:pPr>
        <w:pStyle w:val="BodyText"/>
      </w:pPr>
      <w:r>
        <w:t xml:space="preserve">The new National Landcare Programme is comprised of two funding streams: </w:t>
      </w:r>
    </w:p>
    <w:p w:rsidR="00AC2131" w:rsidRDefault="00AC2131" w:rsidP="00AC2131">
      <w:pPr>
        <w:pStyle w:val="ListBullet"/>
      </w:pPr>
      <w:r>
        <w:t>the regional funding stream which will provide $454 million through Australia’s 56 regional natural resource management organisations over four years; and</w:t>
      </w:r>
    </w:p>
    <w:p w:rsidR="00AC2131" w:rsidRDefault="00AC2131" w:rsidP="00AC2131">
      <w:pPr>
        <w:pStyle w:val="ListBullet"/>
      </w:pPr>
      <w:r>
        <w:t>t</w:t>
      </w:r>
      <w:r w:rsidRPr="00F94FDF">
        <w:t xml:space="preserve">he national funding stream </w:t>
      </w:r>
      <w:r>
        <w:t xml:space="preserve">which will provide around $500 million to </w:t>
      </w:r>
      <w:r w:rsidRPr="00F94FDF">
        <w:t xml:space="preserve">support </w:t>
      </w:r>
      <w:r>
        <w:t>measures</w:t>
      </w:r>
      <w:r w:rsidRPr="00F94FDF">
        <w:t xml:space="preserve"> </w:t>
      </w:r>
      <w:r>
        <w:t xml:space="preserve">intended to </w:t>
      </w:r>
      <w:r w:rsidRPr="00F94FDF">
        <w:t xml:space="preserve">protect and restore the environment and make agriculture more sustainable and productive. </w:t>
      </w:r>
    </w:p>
    <w:p w:rsidR="00AC2131" w:rsidRDefault="00AC2131" w:rsidP="00AC2131">
      <w:pPr>
        <w:pStyle w:val="BodyText"/>
      </w:pPr>
      <w:r>
        <w:t xml:space="preserve">Under the regional stream, regional natural resource management organisations, together with their local communities, are determining local priorities and deliver projects at the local and regional level. </w:t>
      </w:r>
    </w:p>
    <w:p w:rsidR="00AC2131" w:rsidRDefault="00AC2131" w:rsidP="00AC2131">
      <w:pPr>
        <w:pStyle w:val="BodyText"/>
      </w:pPr>
      <w:r>
        <w:t xml:space="preserve">The national stream is being delivered directly by </w:t>
      </w:r>
      <w:r w:rsidRPr="00480D03">
        <w:t>the Australian Government and includes a range of initiatives.</w:t>
      </w:r>
      <w:r>
        <w:t xml:space="preserve"> </w:t>
      </w:r>
      <w:r w:rsidRPr="00480D03">
        <w:t>Part of the national funding stream includes grants to agricultural producers. The Government announced in December 2014 that $5 million had been allocated in 2014</w:t>
      </w:r>
      <w:r w:rsidRPr="00480D03">
        <w:noBreakHyphen/>
        <w:t>15 under the 25</w:t>
      </w:r>
      <w:r w:rsidRPr="008E46A8">
        <w:rPr>
          <w:vertAlign w:val="superscript"/>
        </w:rPr>
        <w:t>th</w:t>
      </w:r>
      <w:r w:rsidRPr="00480D03">
        <w:t xml:space="preserve"> Anniversary Landcare Grants, with $2.5 million </w:t>
      </w:r>
      <w:r w:rsidRPr="00480D03">
        <w:lastRenderedPageBreak/>
        <w:t>provided to 148 agriculture focused projects and $2.5 million to 143 environment focused</w:t>
      </w:r>
      <w:r w:rsidRPr="008E46A8">
        <w:t xml:space="preserve"> </w:t>
      </w:r>
      <w:r w:rsidRPr="00480D03">
        <w:t xml:space="preserve">projects </w:t>
      </w:r>
      <w:r w:rsidRPr="00480D03">
        <w:rPr>
          <w:szCs w:val="24"/>
        </w:rPr>
        <w:t>(Joyce and Hunt 2014)</w:t>
      </w:r>
      <w:r w:rsidRPr="00480D03">
        <w:t>.</w:t>
      </w:r>
      <w:r>
        <w:t xml:space="preserve"> </w:t>
      </w:r>
    </w:p>
    <w:p w:rsidR="00AC2131" w:rsidRDefault="00AC2131" w:rsidP="00AC2131">
      <w:pPr>
        <w:pStyle w:val="Heading3"/>
      </w:pPr>
      <w:r>
        <w:t>Murray Darling Basin Plan</w:t>
      </w:r>
    </w:p>
    <w:p w:rsidR="00AC2131" w:rsidRDefault="00AC2131" w:rsidP="00AC2131">
      <w:pPr>
        <w:pStyle w:val="BodyText"/>
      </w:pPr>
      <w:r>
        <w:t xml:space="preserve">The genesis of the Murray Darling Basin Plan was the passing of the Water Act in 2007, which required the development of a Murray-Darling Basin Plan, to allocate water between consumptive and environmental uses, in each catchment. The proposed Basin Plan underwent extensive consultation and subsequent refinement before being adopted in November 2012. The Basin Plan is to be implemented over seven years taking full effect from 1 July 2019 when binding ‘sustainable diversion limits’ take effect. </w:t>
      </w:r>
    </w:p>
    <w:p w:rsidR="00AC2131" w:rsidRDefault="00AC2131" w:rsidP="00AC2131">
      <w:pPr>
        <w:pStyle w:val="BodyText"/>
      </w:pPr>
      <w:r>
        <w:t xml:space="preserve">Contemporaneously to the Plan being developed, the Australian Government embarked on a $3.1 billion program of purchasing water entitlements from irrigators in 2008, called Restoring the Balance, and a $5.8 billion program to upgrade irrigation infrastructure, called Sustainable Rural Water Use and Infrastructure, </w:t>
      </w:r>
      <w:r w:rsidRPr="00480D03">
        <w:t>focused mainly on recovering water for the environment by reducing Basin water los</w:t>
      </w:r>
      <w:r w:rsidRPr="008E46A8">
        <w:t>s</w:t>
      </w:r>
      <w:r w:rsidRPr="00480D03">
        <w:t>es and enhancing irrigation efficiency. In December 2013, the Government merged the Restoring the Balance program</w:t>
      </w:r>
      <w:r>
        <w:t xml:space="preserve"> with</w:t>
      </w:r>
      <w:r w:rsidRPr="00480D03">
        <w:t xml:space="preserve"> </w:t>
      </w:r>
      <w:r>
        <w:t xml:space="preserve">the </w:t>
      </w:r>
      <w:r w:rsidRPr="00480D03">
        <w:t>Supply Measures and the Sustainable Rural Water Use and Infrastructure</w:t>
      </w:r>
      <w:r>
        <w:t xml:space="preserve"> Program to provide greater flexibility in managing the Government’s water reform priorities. The combined $10 billion program has retained the name ‘Sustainable Rural Water Use and Infrastructure Program’ (SRWUIP). </w:t>
      </w:r>
    </w:p>
    <w:p w:rsidR="00AC2131" w:rsidRPr="00C07206" w:rsidRDefault="00AC2131" w:rsidP="00AC2131">
      <w:pPr>
        <w:pStyle w:val="BodyText"/>
      </w:pPr>
      <w:r w:rsidRPr="00102E6F">
        <w:rPr>
          <w:rStyle w:val="BodyTextChar"/>
        </w:rPr>
        <w:t>Water purchasing and irrigation infrastructure upgrades under the Murray Darling Basin Plan has implications for industry assistance to agricultural businesses, through payments to farm businesses and the provision of infrastructure to alter water-use efficiency. Assistance may be conferred, for example, if the compensation for water rights is higher than the underlying economic value, or if water-use efficiency expenditures that are commercially justified receive publicly funded support. In 2013</w:t>
      </w:r>
      <w:r w:rsidRPr="00102E6F">
        <w:rPr>
          <w:rStyle w:val="BodyTextChar"/>
        </w:rPr>
        <w:noBreakHyphen/>
        <w:t>14, the Australian government expended over $350 million on Department of the Environment water programs (Department of the Environment 2014d) of which around $186 million was expenditure of the Murray Darling Basin Authority (MBDA 2014). In addition, the Australian Government paid State Governments around $150 million under the infrastructure component of the SRWUIP.</w:t>
      </w:r>
    </w:p>
    <w:p w:rsidR="00AC2131" w:rsidRDefault="00AC2131" w:rsidP="00AC2131">
      <w:pPr>
        <w:pStyle w:val="BodyText"/>
        <w:rPr>
          <w:lang w:val="en"/>
        </w:rPr>
      </w:pPr>
      <w:r w:rsidRPr="00C07206">
        <w:t xml:space="preserve">The </w:t>
      </w:r>
      <w:r>
        <w:t xml:space="preserve">Australian Government has capped the level of purchasing </w:t>
      </w:r>
      <w:r w:rsidRPr="00203D24">
        <w:t>at 1500</w:t>
      </w:r>
      <w:r>
        <w:t> </w:t>
      </w:r>
      <w:r w:rsidRPr="00203D24">
        <w:t xml:space="preserve">billion litres, signed </w:t>
      </w:r>
      <w:r>
        <w:t>agreements</w:t>
      </w:r>
      <w:r w:rsidRPr="00203D24">
        <w:t xml:space="preserve"> with all states to implement the Basin Plan and re-prioritised spending away from non-strategic </w:t>
      </w:r>
      <w:r>
        <w:t>purchasing</w:t>
      </w:r>
      <w:r w:rsidRPr="00203D24">
        <w:t>, giving infrastructure investment greater priority</w:t>
      </w:r>
      <w:r>
        <w:t xml:space="preserve"> </w:t>
      </w:r>
      <w:r w:rsidRPr="005B61F7">
        <w:rPr>
          <w:szCs w:val="24"/>
        </w:rPr>
        <w:t>(Birmingham 2014</w:t>
      </w:r>
      <w:r>
        <w:rPr>
          <w:szCs w:val="24"/>
        </w:rPr>
        <w:t>b</w:t>
      </w:r>
      <w:r w:rsidRPr="005B61F7">
        <w:rPr>
          <w:szCs w:val="24"/>
        </w:rPr>
        <w:t>)</w:t>
      </w:r>
      <w:r w:rsidRPr="003B288F">
        <w:t>.</w:t>
      </w:r>
      <w:r>
        <w:t xml:space="preserve"> </w:t>
      </w:r>
      <w:r>
        <w:rPr>
          <w:lang w:val="en"/>
        </w:rPr>
        <w:t>Over the four years 2014</w:t>
      </w:r>
      <w:r>
        <w:rPr>
          <w:lang w:val="en"/>
        </w:rPr>
        <w:noBreakHyphen/>
        <w:t>15 to 2017</w:t>
      </w:r>
      <w:r>
        <w:rPr>
          <w:lang w:val="en"/>
        </w:rPr>
        <w:noBreakHyphen/>
        <w:t>18, the Government expects to spend $2.3 billion on rural water use and infrastructure projects (Birmingham 2014c).</w:t>
      </w:r>
    </w:p>
    <w:p w:rsidR="00AC2131" w:rsidRDefault="00AC2131" w:rsidP="00AC2131">
      <w:pPr>
        <w:pStyle w:val="BodyText"/>
      </w:pPr>
      <w:r>
        <w:t xml:space="preserve">The 2010 Productivity Commission study of </w:t>
      </w:r>
      <w:r w:rsidRPr="00EC120A">
        <w:rPr>
          <w:i/>
        </w:rPr>
        <w:t>Market Mechanisms for Recovering Water in the Murray-Darling Basin</w:t>
      </w:r>
      <w:r>
        <w:t xml:space="preserve"> found that purchasing water from willing sellers (at appropriate prices) is a cost effective way of meeting a Government’s liability for policy-induced </w:t>
      </w:r>
      <w:r>
        <w:lastRenderedPageBreak/>
        <w:t>changes in water availability. It further found that subsidising water infrastructure is rarely cost effective in obtaining water for the environment.</w:t>
      </w:r>
    </w:p>
    <w:p w:rsidR="00AC2131" w:rsidRDefault="00AC2131" w:rsidP="00AC2131">
      <w:pPr>
        <w:pStyle w:val="BodyText"/>
      </w:pPr>
      <w:r>
        <w:t>Outlined below are some recent developments in expenditure on water infrastructure and purchasing under the Murray-Darling Basin Plan, with some indication of the expected water recovery.</w:t>
      </w:r>
    </w:p>
    <w:p w:rsidR="00AC2131" w:rsidRDefault="00AC2131" w:rsidP="00AC2131">
      <w:pPr>
        <w:pStyle w:val="Heading4"/>
      </w:pPr>
      <w:r>
        <w:t>On-Farm Irrigation Efficiency Program</w:t>
      </w:r>
    </w:p>
    <w:p w:rsidR="00AC2131" w:rsidRDefault="00AC2131" w:rsidP="00AC2131">
      <w:pPr>
        <w:pStyle w:val="BodyText"/>
      </w:pPr>
      <w:r>
        <w:t xml:space="preserve">The $575 million On-Farm Irrigation Efficiency Program is part of the Sustainable Rural Water Use and Infrastructure Program. Four Rounds of applications have been completed since 2009. In April 2014, the Australian Government </w:t>
      </w:r>
      <w:r w:rsidRPr="003B288F">
        <w:t xml:space="preserve">announced an increase in funding for </w:t>
      </w:r>
      <w:r>
        <w:t xml:space="preserve">Round Four, </w:t>
      </w:r>
      <w:r w:rsidRPr="003B288F">
        <w:t xml:space="preserve">from </w:t>
      </w:r>
      <w:r>
        <w:t xml:space="preserve">an initially announced </w:t>
      </w:r>
      <w:r w:rsidRPr="003B288F">
        <w:t>$100</w:t>
      </w:r>
      <w:r>
        <w:t> </w:t>
      </w:r>
      <w:r w:rsidRPr="003B288F">
        <w:t>million</w:t>
      </w:r>
      <w:r>
        <w:t>,</w:t>
      </w:r>
      <w:r w:rsidRPr="003B288F">
        <w:t xml:space="preserve"> to </w:t>
      </w:r>
      <w:r>
        <w:t xml:space="preserve">a revised </w:t>
      </w:r>
      <w:r w:rsidRPr="003B288F">
        <w:t>$158</w:t>
      </w:r>
      <w:r>
        <w:t> </w:t>
      </w:r>
      <w:r w:rsidRPr="003B288F">
        <w:t>million</w:t>
      </w:r>
      <w:r>
        <w:t>, on the basis that the ‘quality and value of applications under this program was so good’ (Birmingham 2014a). The April 2014 decision provided in-principle approval for grants to support up to 476 farming projects and is expected to deliver 60 billion litres of water to the environment. This recovery contributes to the over 1900 billion litres the Commonwealth had acquired or contracted as at 31 March 2015 of the 2750 billion litres required to be implement the 2019 Murray-Darling Basin Plan targets.</w:t>
      </w:r>
    </w:p>
    <w:p w:rsidR="00AC2131" w:rsidRDefault="00AC2131" w:rsidP="00AC2131">
      <w:pPr>
        <w:pStyle w:val="BodyText"/>
      </w:pPr>
      <w:r>
        <w:t xml:space="preserve">In November 2014, the Australian Government announced </w:t>
      </w:r>
      <w:r w:rsidRPr="003B288F">
        <w:t xml:space="preserve">the </w:t>
      </w:r>
      <w:r>
        <w:t>opening of the F</w:t>
      </w:r>
      <w:r w:rsidRPr="003B288F">
        <w:t>ifth and final round of the On-Farm Irrigation Efficiency Program</w:t>
      </w:r>
      <w:r>
        <w:t xml:space="preserve"> </w:t>
      </w:r>
      <w:r w:rsidRPr="00114925">
        <w:rPr>
          <w:szCs w:val="24"/>
        </w:rPr>
        <w:t>(Birmingham 2014</w:t>
      </w:r>
      <w:r>
        <w:rPr>
          <w:szCs w:val="24"/>
        </w:rPr>
        <w:t>e</w:t>
      </w:r>
      <w:r w:rsidRPr="00114925">
        <w:rPr>
          <w:szCs w:val="24"/>
        </w:rPr>
        <w:t>)</w:t>
      </w:r>
      <w:r>
        <w:t xml:space="preserve">. The Australian Government expects to make available </w:t>
      </w:r>
      <w:r w:rsidRPr="003B288F">
        <w:t>$125</w:t>
      </w:r>
      <w:r>
        <w:t> </w:t>
      </w:r>
      <w:r w:rsidRPr="003B288F">
        <w:t>million</w:t>
      </w:r>
      <w:r>
        <w:t xml:space="preserve"> in the Fifth round.</w:t>
      </w:r>
    </w:p>
    <w:p w:rsidR="00AC2131" w:rsidRDefault="00AC2131" w:rsidP="00AC2131">
      <w:pPr>
        <w:pStyle w:val="Heading4"/>
      </w:pPr>
      <w:r>
        <w:t>South Australian River Murray irrigation and industry projects</w:t>
      </w:r>
    </w:p>
    <w:p w:rsidR="00AC2131" w:rsidRPr="00EC120A" w:rsidRDefault="00AC2131" w:rsidP="00AC2131">
      <w:pPr>
        <w:pStyle w:val="BodyText"/>
      </w:pPr>
      <w:r>
        <w:t>In</w:t>
      </w:r>
      <w:r w:rsidRPr="003B288F">
        <w:t xml:space="preserve"> July</w:t>
      </w:r>
      <w:r>
        <w:t> </w:t>
      </w:r>
      <w:r w:rsidRPr="003B288F">
        <w:t xml:space="preserve">2014, the </w:t>
      </w:r>
      <w:r>
        <w:t>Australian Government</w:t>
      </w:r>
      <w:r w:rsidRPr="003B288F">
        <w:t xml:space="preserve"> and South Australian </w:t>
      </w:r>
      <w:r>
        <w:t>Government</w:t>
      </w:r>
      <w:r w:rsidRPr="003B288F">
        <w:t xml:space="preserve"> jointly announced </w:t>
      </w:r>
      <w:r>
        <w:t xml:space="preserve">grants amounting to more than $100 million to fund almost 100 </w:t>
      </w:r>
      <w:r w:rsidRPr="003B288F">
        <w:t xml:space="preserve">South Australian River Murray </w:t>
      </w:r>
      <w:r>
        <w:t xml:space="preserve">irrigation and industry projects. The $100 million of grants is expected to return about 20 billion litres of water. This was the first round of </w:t>
      </w:r>
      <w:r w:rsidRPr="003B288F">
        <w:t>the Australian Government</w:t>
      </w:r>
      <w:r>
        <w:t xml:space="preserve">’s six year </w:t>
      </w:r>
      <w:r w:rsidRPr="003B288F">
        <w:t>$240</w:t>
      </w:r>
      <w:r>
        <w:t> </w:t>
      </w:r>
      <w:r w:rsidRPr="003B288F">
        <w:t xml:space="preserve">million South Australian River Murray Sustainability Irrigation Industry </w:t>
      </w:r>
      <w:r>
        <w:t xml:space="preserve">Improvement </w:t>
      </w:r>
      <w:r w:rsidRPr="003B288F">
        <w:t>Program</w:t>
      </w:r>
      <w:r>
        <w:t xml:space="preserve"> (3IP), which in turn is part of the Basin Plan package, and expected to recover around 40 billion litres of water </w:t>
      </w:r>
      <w:r w:rsidRPr="00725ED1">
        <w:rPr>
          <w:szCs w:val="24"/>
        </w:rPr>
        <w:t>(Birmingham and Weatherill 2014)</w:t>
      </w:r>
      <w:r>
        <w:t xml:space="preserve">. </w:t>
      </w:r>
    </w:p>
    <w:p w:rsidR="00AC2131" w:rsidRDefault="00AC2131" w:rsidP="00AC2131">
      <w:pPr>
        <w:pStyle w:val="Heading4"/>
      </w:pPr>
      <w:r>
        <w:t>Water Purchasing in Queensland and New South Wales Catchments of the Murray-Darling Basin.</w:t>
      </w:r>
    </w:p>
    <w:p w:rsidR="00AC2131" w:rsidRDefault="00AC2131" w:rsidP="00AC2131">
      <w:pPr>
        <w:pStyle w:val="BodyText"/>
      </w:pPr>
      <w:r>
        <w:t>In June 2014, the Water Recovery Strategy for the Murray-Darling Basin was released which sets out the water recovery priorities for 2014</w:t>
      </w:r>
      <w:r>
        <w:noBreakHyphen/>
        <w:t xml:space="preserve">15. </w:t>
      </w:r>
    </w:p>
    <w:p w:rsidR="00AC2131" w:rsidRDefault="00AC2131" w:rsidP="00AC2131">
      <w:pPr>
        <w:pStyle w:val="BodyText"/>
      </w:pPr>
      <w:r>
        <w:t xml:space="preserve">As part of the strategy to recover water </w:t>
      </w:r>
      <w:r w:rsidRPr="00417CAD">
        <w:t xml:space="preserve">to meet the </w:t>
      </w:r>
      <w:r>
        <w:t>s</w:t>
      </w:r>
      <w:r w:rsidRPr="00CB52B8">
        <w:t>ustain</w:t>
      </w:r>
      <w:r>
        <w:t>able diversion l</w:t>
      </w:r>
      <w:r w:rsidRPr="00CB52B8">
        <w:t xml:space="preserve">imits </w:t>
      </w:r>
      <w:r>
        <w:t>as set out in</w:t>
      </w:r>
      <w:r w:rsidRPr="00CB52B8">
        <w:t xml:space="preserve"> the Murray-Darling Basin Plan</w:t>
      </w:r>
      <w:r>
        <w:t>, a tender was held for g</w:t>
      </w:r>
      <w:r w:rsidRPr="00417CAD">
        <w:t xml:space="preserve">roundwater </w:t>
      </w:r>
      <w:r>
        <w:t xml:space="preserve">in Queensland’s </w:t>
      </w:r>
      <w:r w:rsidRPr="00417CAD">
        <w:t xml:space="preserve">Condamine Central Alluvium </w:t>
      </w:r>
      <w:r>
        <w:t xml:space="preserve">in July 2014 </w:t>
      </w:r>
      <w:r w:rsidRPr="003B288F">
        <w:t>with a budget of up to $10</w:t>
      </w:r>
      <w:r>
        <w:t> </w:t>
      </w:r>
      <w:r w:rsidRPr="003B288F">
        <w:t xml:space="preserve">million </w:t>
      </w:r>
      <w:r w:rsidRPr="00CB6094">
        <w:rPr>
          <w:szCs w:val="24"/>
        </w:rPr>
        <w:t xml:space="preserve">(Department </w:t>
      </w:r>
      <w:r w:rsidRPr="00CB6094">
        <w:rPr>
          <w:szCs w:val="24"/>
        </w:rPr>
        <w:lastRenderedPageBreak/>
        <w:t>of the Environment 2014</w:t>
      </w:r>
      <w:r>
        <w:rPr>
          <w:szCs w:val="24"/>
        </w:rPr>
        <w:t>b</w:t>
      </w:r>
      <w:r w:rsidRPr="00CB6094">
        <w:rPr>
          <w:szCs w:val="24"/>
        </w:rPr>
        <w:t>)</w:t>
      </w:r>
      <w:r w:rsidRPr="003B288F">
        <w:t>.</w:t>
      </w:r>
      <w:r>
        <w:t xml:space="preserve"> </w:t>
      </w:r>
      <w:r w:rsidRPr="00417CAD">
        <w:t>The need for a reduction in groundwater extractions for the Central Condamine Alluvium was included in the Basin Plan due to concern about declining groundwater levels.</w:t>
      </w:r>
      <w:r>
        <w:t xml:space="preserve"> </w:t>
      </w:r>
      <w:r w:rsidRPr="00417CAD">
        <w:t xml:space="preserve">Water purchasing for the environment </w:t>
      </w:r>
      <w:r>
        <w:t xml:space="preserve">is expected to </w:t>
      </w:r>
      <w:r w:rsidRPr="00417CAD">
        <w:t>help protect the productive base of the groundwater resource for the long term benefit of irrigators and the local community.</w:t>
      </w:r>
      <w:r>
        <w:t xml:space="preserve"> </w:t>
      </w:r>
    </w:p>
    <w:p w:rsidR="00AC2131" w:rsidRDefault="00AC2131" w:rsidP="00AC2131">
      <w:pPr>
        <w:pStyle w:val="BodyText"/>
      </w:pPr>
      <w:r>
        <w:t>In September and October</w:t>
      </w:r>
      <w:r w:rsidRPr="003B288F">
        <w:t xml:space="preserve"> 2014</w:t>
      </w:r>
      <w:r>
        <w:t>,</w:t>
      </w:r>
      <w:r w:rsidRPr="003B288F">
        <w:t xml:space="preserve"> </w:t>
      </w:r>
      <w:r>
        <w:t>the Government held a</w:t>
      </w:r>
      <w:r w:rsidRPr="003B288F">
        <w:t xml:space="preserve"> tender </w:t>
      </w:r>
      <w:r>
        <w:t xml:space="preserve">to purchase surface </w:t>
      </w:r>
      <w:r w:rsidRPr="003B288F">
        <w:t xml:space="preserve">water </w:t>
      </w:r>
      <w:r>
        <w:t>in</w:t>
      </w:r>
      <w:r w:rsidRPr="003B288F">
        <w:t xml:space="preserve"> the Queensland </w:t>
      </w:r>
      <w:r>
        <w:t xml:space="preserve">Lower Balonne area which forms part of the </w:t>
      </w:r>
      <w:r w:rsidRPr="003B288F">
        <w:t>Condamine-Balonne catchment</w:t>
      </w:r>
      <w:r>
        <w:t xml:space="preserve"> (Bir</w:t>
      </w:r>
      <w:r w:rsidRPr="00725ED1">
        <w:rPr>
          <w:szCs w:val="24"/>
        </w:rPr>
        <w:t>mingham</w:t>
      </w:r>
      <w:r>
        <w:rPr>
          <w:szCs w:val="24"/>
        </w:rPr>
        <w:t> 2014d</w:t>
      </w:r>
      <w:r>
        <w:t>)</w:t>
      </w:r>
      <w:r w:rsidRPr="003B288F">
        <w:t xml:space="preserve">. This tender </w:t>
      </w:r>
      <w:r>
        <w:t>included</w:t>
      </w:r>
      <w:r w:rsidRPr="003B288F">
        <w:t xml:space="preserve"> un</w:t>
      </w:r>
      <w:r>
        <w:t>-</w:t>
      </w:r>
      <w:r w:rsidRPr="003B288F">
        <w:t>supplemented and overland flow water</w:t>
      </w:r>
      <w:r>
        <w:t>-</w:t>
      </w:r>
      <w:r w:rsidRPr="003B288F">
        <w:t>harvesting licenses.</w:t>
      </w:r>
      <w:r>
        <w:t xml:space="preserve"> </w:t>
      </w:r>
    </w:p>
    <w:p w:rsidR="00AC2131" w:rsidRPr="00FF4C31" w:rsidRDefault="00AC2131" w:rsidP="00AC2131">
      <w:pPr>
        <w:pStyle w:val="BodyText"/>
      </w:pPr>
      <w:r>
        <w:t>From November 2014 to April 2015, a rolling tender was held in New South Wales Southern Connected Basin (Murrumbidgee, Murray and Lower Darling catchments) for purchases of high security and general security entitlements (</w:t>
      </w:r>
      <w:r w:rsidRPr="00CB6094">
        <w:rPr>
          <w:szCs w:val="24"/>
        </w:rPr>
        <w:t>Department of the Environment 2014</w:t>
      </w:r>
      <w:r>
        <w:rPr>
          <w:szCs w:val="24"/>
        </w:rPr>
        <w:t>c</w:t>
      </w:r>
      <w:r w:rsidRPr="00CB6094">
        <w:rPr>
          <w:szCs w:val="24"/>
        </w:rPr>
        <w:t>)</w:t>
      </w:r>
      <w:r>
        <w:t>. Water recovery progress is published monthly on the Department of the Environment’s website.</w:t>
      </w:r>
    </w:p>
    <w:p w:rsidR="00AC2131" w:rsidRPr="00ED78EF" w:rsidRDefault="00AC2131" w:rsidP="00AC2131">
      <w:pPr>
        <w:pStyle w:val="Heading2"/>
      </w:pPr>
      <w:r>
        <w:t>6.</w:t>
      </w:r>
      <w:r>
        <w:rPr>
          <w:noProof/>
        </w:rPr>
        <w:t>3</w:t>
      </w:r>
      <w:r>
        <w:tab/>
        <w:t>Manufacturing</w:t>
      </w:r>
    </w:p>
    <w:p w:rsidR="00AC2131" w:rsidRDefault="00AC2131" w:rsidP="00AC2131">
      <w:pPr>
        <w:pStyle w:val="BodyText"/>
      </w:pPr>
      <w:r w:rsidRPr="00ED78EF">
        <w:t xml:space="preserve">Australian Government support for the manufacturing sector comprised around </w:t>
      </w:r>
      <w:r>
        <w:t>22</w:t>
      </w:r>
      <w:r w:rsidRPr="00ED78EF">
        <w:t xml:space="preserve"> per cent of </w:t>
      </w:r>
      <w:r>
        <w:t>industry-allocated budgetary assistance in 2013</w:t>
      </w:r>
      <w:r>
        <w:noBreakHyphen/>
        <w:t>14</w:t>
      </w:r>
      <w:r w:rsidRPr="00ED78EF">
        <w:t xml:space="preserve"> </w:t>
      </w:r>
      <w:r>
        <w:t xml:space="preserve">amounting to $1.7 billion </w:t>
      </w:r>
      <w:r w:rsidRPr="00ED78EF">
        <w:t>(chapter </w:t>
      </w:r>
      <w:r>
        <w:t>5</w:t>
      </w:r>
      <w:r w:rsidRPr="00ED78EF">
        <w:t xml:space="preserve">). This section reports on developments directly affecting </w:t>
      </w:r>
      <w:r>
        <w:t>the manufacturing sector since May 2014</w:t>
      </w:r>
      <w:r w:rsidRPr="00ED78EF">
        <w:t>.</w:t>
      </w:r>
    </w:p>
    <w:p w:rsidR="00AC2131" w:rsidRDefault="00AC2131" w:rsidP="00AC2131">
      <w:pPr>
        <w:pStyle w:val="Heading3"/>
      </w:pPr>
      <w:r>
        <w:t>Reduced protection for domestic ethanol production</w:t>
      </w:r>
    </w:p>
    <w:p w:rsidR="00AC2131" w:rsidRDefault="00AC2131" w:rsidP="00AC2131">
      <w:pPr>
        <w:pStyle w:val="BodyText"/>
      </w:pPr>
      <w:r>
        <w:t>Prior to the 2014 Budget, ethanol fuel was subject to an excise of 38.143 cents per litre on users. The Ethanol Production Grants (EPG) Programme provides a grant of 38.143 cents per litre to domestic ethanol producers on fuel supplied for transport where production inputs are sourced domestically. The effect of the EPG is to reduce the ‘effective’ rate of excise to zero. Imported ethanol is subject to a customs duty of 38.143 cents per litre and a value duty of five per cent. Together, the duties and the EPG protect the domestic industry against imports.</w:t>
      </w:r>
    </w:p>
    <w:p w:rsidR="00AC2131" w:rsidRPr="001E447A" w:rsidRDefault="00AC2131" w:rsidP="00AC2131">
      <w:pPr>
        <w:pStyle w:val="BodyText"/>
      </w:pPr>
      <w:r>
        <w:t xml:space="preserve">In the May 2014 Budget, the Australian Government announced it would reduce the excise on domestic production to zero on 1 July 2015 and cease the Ethanol Grants Programme (Australian Government 2014d and Webb 2014). The fuel excise on domestically produced ethanol will then be increased by 2.5 cents per litre per year for five years, starting 1 July 2016, until it reaches 12.5 cents per litre in 2020, which represents 50 per cent of the energy content equivalent rate. </w:t>
      </w:r>
      <w:r w:rsidRPr="00646B5B">
        <w:t xml:space="preserve">The customs </w:t>
      </w:r>
      <w:r>
        <w:t xml:space="preserve">duty and the value duty will remain unchanged at </w:t>
      </w:r>
      <w:r w:rsidRPr="00646B5B">
        <w:t>38.143</w:t>
      </w:r>
      <w:r>
        <w:t> </w:t>
      </w:r>
      <w:r w:rsidRPr="00646B5B">
        <w:t>cents per litre</w:t>
      </w:r>
      <w:r>
        <w:t xml:space="preserve"> and 5 per cent, respectively</w:t>
      </w:r>
      <w:r w:rsidRPr="00646B5B">
        <w:t>.</w:t>
      </w:r>
      <w:r>
        <w:t xml:space="preserve"> The changes will reduce the level of protection to domestic ethanol production. </w:t>
      </w:r>
    </w:p>
    <w:p w:rsidR="00AC2131" w:rsidRDefault="00AC2131" w:rsidP="00AC2131">
      <w:pPr>
        <w:pStyle w:val="Heading3"/>
      </w:pPr>
      <w:r>
        <w:lastRenderedPageBreak/>
        <w:t>Opening of Round One of the Manufacturing Transition Programme</w:t>
      </w:r>
    </w:p>
    <w:p w:rsidR="00AC2131" w:rsidRDefault="00AC2131" w:rsidP="00AC2131">
      <w:pPr>
        <w:pStyle w:val="BodyText"/>
        <w:rPr>
          <w:lang w:val="en"/>
        </w:rPr>
      </w:pPr>
      <w:r>
        <w:t xml:space="preserve">In September 2014, the Australian Government announced the opening of Round One of the Manufacturing Transition Programme </w:t>
      </w:r>
      <w:r w:rsidRPr="006A6A2F">
        <w:rPr>
          <w:szCs w:val="24"/>
        </w:rPr>
        <w:t>(MacFarlane 2014</w:t>
      </w:r>
      <w:r>
        <w:rPr>
          <w:szCs w:val="24"/>
        </w:rPr>
        <w:t>a</w:t>
      </w:r>
      <w:r w:rsidRPr="006A6A2F">
        <w:rPr>
          <w:szCs w:val="24"/>
        </w:rPr>
        <w:t>)</w:t>
      </w:r>
      <w:r>
        <w:t>. Total funding of $50 million has been allocated over the three years, 2014</w:t>
      </w:r>
      <w:r>
        <w:noBreakHyphen/>
        <w:t>15 to 2016</w:t>
      </w:r>
      <w:r>
        <w:noBreakHyphen/>
        <w:t xml:space="preserve">17. </w:t>
      </w:r>
      <w:r w:rsidRPr="00451347">
        <w:rPr>
          <w:lang w:val="en"/>
        </w:rPr>
        <w:t>The Programme supports capital investment projects</w:t>
      </w:r>
      <w:r>
        <w:rPr>
          <w:lang w:val="en"/>
        </w:rPr>
        <w:t xml:space="preserve">, with the intention of </w:t>
      </w:r>
      <w:r w:rsidRPr="00451347">
        <w:rPr>
          <w:lang w:val="en"/>
        </w:rPr>
        <w:t>help</w:t>
      </w:r>
      <w:r>
        <w:rPr>
          <w:lang w:val="en"/>
        </w:rPr>
        <w:t>ing</w:t>
      </w:r>
      <w:r w:rsidRPr="00451347">
        <w:rPr>
          <w:lang w:val="en"/>
        </w:rPr>
        <w:t xml:space="preserve"> businesses</w:t>
      </w:r>
      <w:r>
        <w:rPr>
          <w:lang w:val="en"/>
        </w:rPr>
        <w:t xml:space="preserve"> </w:t>
      </w:r>
      <w:r w:rsidRPr="00451347">
        <w:rPr>
          <w:lang w:val="en"/>
        </w:rPr>
        <w:t>move or expand into higher value or niche manufacturing activities</w:t>
      </w:r>
      <w:r>
        <w:rPr>
          <w:lang w:val="en"/>
        </w:rPr>
        <w:t xml:space="preserve"> and </w:t>
      </w:r>
      <w:r w:rsidRPr="00451347">
        <w:rPr>
          <w:lang w:val="en"/>
        </w:rPr>
        <w:t>build skills in higher value and knowledge intensive activities in new or growing markets.</w:t>
      </w:r>
    </w:p>
    <w:p w:rsidR="00AC2131" w:rsidRPr="00451347" w:rsidRDefault="00AC2131" w:rsidP="00AC2131">
      <w:pPr>
        <w:pStyle w:val="BodyText"/>
      </w:pPr>
      <w:r>
        <w:t xml:space="preserve">The programme provides support over two years in the form of grants of between $1 million and $10 million, up to a maximum of 25 per cent of the expenditure incurred by the business in transitioning to new business activities </w:t>
      </w:r>
      <w:r w:rsidRPr="00CB6094">
        <w:rPr>
          <w:szCs w:val="24"/>
        </w:rPr>
        <w:t>(Department of Industry</w:t>
      </w:r>
      <w:r>
        <w:rPr>
          <w:szCs w:val="24"/>
        </w:rPr>
        <w:t xml:space="preserve"> and Science</w:t>
      </w:r>
      <w:r w:rsidRPr="00CB6094">
        <w:rPr>
          <w:szCs w:val="24"/>
        </w:rPr>
        <w:t> 2014a)</w:t>
      </w:r>
      <w:r>
        <w:t xml:space="preserve">. Eligible activities include: extending premises; commissioning new machinery and equipment; training in the use of new machinery and equipment; and buying technology or intellectual property. Applicants must currently be manufacturing in Australia. A merit selection process applies. The </w:t>
      </w:r>
      <w:r w:rsidRPr="00451347">
        <w:t>application must score highly against each of the following merit criteria to be recommended for funding</w:t>
      </w:r>
      <w:r>
        <w:t>:</w:t>
      </w:r>
    </w:p>
    <w:p w:rsidR="00AC2131" w:rsidRPr="00451347" w:rsidRDefault="00AC2131" w:rsidP="00AC2131">
      <w:pPr>
        <w:pStyle w:val="ListBullet"/>
      </w:pPr>
      <w:r w:rsidRPr="00451347">
        <w:t xml:space="preserve">the extent to which </w:t>
      </w:r>
      <w:r>
        <w:t>a</w:t>
      </w:r>
      <w:r w:rsidRPr="00451347">
        <w:t xml:space="preserve"> project represents a transition or expansion of </w:t>
      </w:r>
      <w:r>
        <w:t>a</w:t>
      </w:r>
      <w:r w:rsidRPr="00451347">
        <w:t xml:space="preserve"> business’ operations or activity to higher value-added or more knowledge intensive manufacturing (25 points)</w:t>
      </w:r>
      <w:r>
        <w:t>;</w:t>
      </w:r>
    </w:p>
    <w:p w:rsidR="00AC2131" w:rsidRPr="00451347" w:rsidRDefault="00AC2131" w:rsidP="00AC2131">
      <w:pPr>
        <w:pStyle w:val="ListBullet"/>
      </w:pPr>
      <w:r w:rsidRPr="00451347">
        <w:t xml:space="preserve">the level of net economic benefit </w:t>
      </w:r>
      <w:r>
        <w:t>a</w:t>
      </w:r>
      <w:r w:rsidRPr="00451347">
        <w:t xml:space="preserve"> project will achieve (25 points)</w:t>
      </w:r>
      <w:r>
        <w:t>;</w:t>
      </w:r>
    </w:p>
    <w:p w:rsidR="00AC2131" w:rsidRPr="00451347" w:rsidRDefault="00AC2131" w:rsidP="00AC2131">
      <w:pPr>
        <w:pStyle w:val="ListBullet"/>
      </w:pPr>
      <w:r w:rsidRPr="00451347">
        <w:t xml:space="preserve">the value for money offered by </w:t>
      </w:r>
      <w:r>
        <w:t>a</w:t>
      </w:r>
      <w:r w:rsidRPr="00451347">
        <w:t xml:space="preserve"> project (20 points)</w:t>
      </w:r>
      <w:r>
        <w:t>;</w:t>
      </w:r>
    </w:p>
    <w:p w:rsidR="00AC2131" w:rsidRPr="00451347" w:rsidRDefault="00AC2131" w:rsidP="00AC2131">
      <w:pPr>
        <w:pStyle w:val="ListBullet"/>
      </w:pPr>
      <w:r w:rsidRPr="00451347">
        <w:t>demonstrat</w:t>
      </w:r>
      <w:r>
        <w:t>ion of a</w:t>
      </w:r>
      <w:r w:rsidRPr="00451347">
        <w:t xml:space="preserve"> capacity and capability to carry out the project (20 points)</w:t>
      </w:r>
      <w:r>
        <w:t>; and</w:t>
      </w:r>
    </w:p>
    <w:p w:rsidR="00AC2131" w:rsidRPr="00451347" w:rsidRDefault="00AC2131" w:rsidP="00AC2131">
      <w:pPr>
        <w:pStyle w:val="ListBullet"/>
      </w:pPr>
      <w:r>
        <w:t>t</w:t>
      </w:r>
      <w:r w:rsidRPr="00451347">
        <w:t xml:space="preserve">he expected productivity improvements </w:t>
      </w:r>
      <w:r>
        <w:t xml:space="preserve">a </w:t>
      </w:r>
      <w:r w:rsidRPr="00451347">
        <w:t>project will achieve (10 points).</w:t>
      </w:r>
    </w:p>
    <w:p w:rsidR="00AC2131" w:rsidRPr="00451347" w:rsidRDefault="00AC2131" w:rsidP="00AC2131">
      <w:pPr>
        <w:pStyle w:val="BodyText"/>
      </w:pPr>
      <w:r>
        <w:t xml:space="preserve">The assessment criteria do not test for an identifiable market failure (that would be overcome by the support) or require it be demonstrated that the activity would not have proceeded in the absence of the assistance. (Concerns about the governance of unconditional grants is discussed in detail in chapter 3 of this </w:t>
      </w:r>
      <w:r w:rsidRPr="00C575F1">
        <w:rPr>
          <w:i/>
        </w:rPr>
        <w:t>Review</w:t>
      </w:r>
      <w:r>
        <w:t>).</w:t>
      </w:r>
    </w:p>
    <w:p w:rsidR="00AC2131" w:rsidRDefault="00AC2131" w:rsidP="00AC2131">
      <w:pPr>
        <w:pStyle w:val="Heading3"/>
      </w:pPr>
      <w:r>
        <w:t>Inquiry on automotive manufacturing</w:t>
      </w:r>
    </w:p>
    <w:p w:rsidR="00AC2131" w:rsidRDefault="00AC2131" w:rsidP="00AC2131">
      <w:pPr>
        <w:pStyle w:val="BodyText"/>
        <w:spacing w:before="200"/>
      </w:pPr>
      <w:r>
        <w:t xml:space="preserve">In October 2013, the Australian Government asked the Commission to undertake an public inquiry into public support for Australia’s automotive manufacturing industry, including passenger motor vehicle and automotive component production. The Commission’s final report was released by the Australian Government on 26 August 2014 </w:t>
      </w:r>
      <w:r>
        <w:rPr>
          <w:szCs w:val="24"/>
        </w:rPr>
        <w:t>(PC 2014a)</w:t>
      </w:r>
      <w:r>
        <w:t xml:space="preserve">. The inquiry concluded that there was a weak rationale for industry-specific assistance to automotive manufacturing firms and the economy-wide costs of such assistance outweigh the benefits. The Commission recommended that governments ensure appropriate resourcing of the delivery of generally available welfare, training and employment services in regions that are placed under pressure by automotive manufacturing retrenchments. The final report also found that regional adjustment funds, infrastructure and defence spending, </w:t>
      </w:r>
      <w:r>
        <w:lastRenderedPageBreak/>
        <w:t>and industry support programs are costly and ineffective ways to facilitate workforce adjustment.</w:t>
      </w:r>
    </w:p>
    <w:p w:rsidR="00AC2131" w:rsidRDefault="00AC2131" w:rsidP="00AC2131">
      <w:pPr>
        <w:pStyle w:val="BodyText"/>
        <w:spacing w:before="200"/>
      </w:pPr>
      <w:r>
        <w:t xml:space="preserve">In its response to the report in August 2014, the Government supported the key recommendation to repeal the </w:t>
      </w:r>
      <w:r>
        <w:rPr>
          <w:i/>
        </w:rPr>
        <w:t>Automotive Transformation Scheme 2009</w:t>
      </w:r>
      <w:r>
        <w:t xml:space="preserve"> after Holden, Ford and Toyota have ceased manufacturing vehicles in Australia (by the end of 2017). </w:t>
      </w:r>
    </w:p>
    <w:p w:rsidR="00AC2131" w:rsidRDefault="00AC2131" w:rsidP="00AC2131">
      <w:pPr>
        <w:pStyle w:val="BodyText"/>
        <w:spacing w:before="200"/>
      </w:pPr>
      <w:r>
        <w:t>The Government rejected the recommendation to not extend or replace the Automotive New Markets Program (ANMP) or other programs under the Automotive New Market Initiative after the scheduled closure of the vehicle manufacturers in 2015</w:t>
      </w:r>
      <w:r>
        <w:noBreakHyphen/>
        <w:t>16. The Government stated it would replace and extend the ANMP with the Automotive Diversification Program to run through to June 2018 — the objective being to help automotive supply chain firms to diversify and find new markets.</w:t>
      </w:r>
    </w:p>
    <w:p w:rsidR="00AC2131" w:rsidRDefault="00AC2131" w:rsidP="00AC2131">
      <w:pPr>
        <w:pStyle w:val="BodyText"/>
        <w:spacing w:before="200"/>
      </w:pPr>
      <w:r>
        <w:t xml:space="preserve">In March 2015, the Government announced that it will maintain the Automotive Transformation Scheme in its original form as legislated (McFarlane and Birmingham 2015). Under this announcement, the legislated Scheme will remain in place through to 2020. Actual expenditure under the Scheme relative to the budgeted values will depend on the extent to which eligible firms remain after the exit from Australia of the main passenger motor vehicle manufacturers by 2017. </w:t>
      </w:r>
    </w:p>
    <w:p w:rsidR="00AC2131" w:rsidRDefault="00AC2131" w:rsidP="00AC2131">
      <w:pPr>
        <w:pStyle w:val="Heading3"/>
      </w:pPr>
      <w:r>
        <w:t>Research report on dairy product manufacturing</w:t>
      </w:r>
    </w:p>
    <w:p w:rsidR="00AC2131" w:rsidRPr="00BB0FAD" w:rsidRDefault="00AC2131" w:rsidP="00AC2131">
      <w:pPr>
        <w:pStyle w:val="BodyText"/>
        <w:rPr>
          <w:lang w:val="en"/>
        </w:rPr>
      </w:pPr>
      <w:r>
        <w:t xml:space="preserve">In October 2014, the Australian Government released the Productivity Commission’s research report into the costs of doing business in Australia’s dairy product manufacturing industry </w:t>
      </w:r>
      <w:r w:rsidRPr="00E31CBB">
        <w:rPr>
          <w:szCs w:val="24"/>
        </w:rPr>
        <w:t>(PC 2014</w:t>
      </w:r>
      <w:r>
        <w:rPr>
          <w:szCs w:val="24"/>
        </w:rPr>
        <w:t>d</w:t>
      </w:r>
      <w:r w:rsidRPr="00E31CBB">
        <w:rPr>
          <w:szCs w:val="24"/>
        </w:rPr>
        <w:t>)</w:t>
      </w:r>
      <w:r>
        <w:t xml:space="preserve">. The study found that </w:t>
      </w:r>
      <w:r w:rsidRPr="00BB0FAD">
        <w:rPr>
          <w:lang w:val="en"/>
        </w:rPr>
        <w:t xml:space="preserve">Australian dairy product manufacturers face some cost pressures (such as energy and labour) relative to their competitors, but also some advantages, including highly competitive raw milk costs (the largest single input cost). </w:t>
      </w:r>
      <w:r>
        <w:rPr>
          <w:lang w:val="en"/>
        </w:rPr>
        <w:t>Whilst s</w:t>
      </w:r>
      <w:r w:rsidRPr="00BB0FAD">
        <w:rPr>
          <w:lang w:val="en"/>
        </w:rPr>
        <w:t xml:space="preserve">ome cost pressures may warrant government corrective action, most costs are largely driven by market factors and the commercial decisions of businesses. Manufacturers and farmers will need to continue innovating and improving the efficiency of their operations in the face of a potential expansion in global supply (for example, </w:t>
      </w:r>
      <w:r>
        <w:rPr>
          <w:lang w:val="en"/>
        </w:rPr>
        <w:t xml:space="preserve">the lifting of the </w:t>
      </w:r>
      <w:r w:rsidRPr="00BB0FAD">
        <w:rPr>
          <w:lang w:val="en"/>
        </w:rPr>
        <w:t>E</w:t>
      </w:r>
      <w:r>
        <w:rPr>
          <w:lang w:val="en"/>
        </w:rPr>
        <w:t xml:space="preserve">uropean </w:t>
      </w:r>
      <w:r w:rsidRPr="00BB0FAD">
        <w:rPr>
          <w:lang w:val="en"/>
        </w:rPr>
        <w:t>U</w:t>
      </w:r>
      <w:r>
        <w:rPr>
          <w:lang w:val="en"/>
        </w:rPr>
        <w:t>nion</w:t>
      </w:r>
      <w:r w:rsidRPr="00BB0FAD">
        <w:rPr>
          <w:lang w:val="en"/>
        </w:rPr>
        <w:t xml:space="preserve"> milk production quotas in 2015). </w:t>
      </w:r>
    </w:p>
    <w:p w:rsidR="00AC2131" w:rsidRPr="00BB0FAD" w:rsidRDefault="00AC2131" w:rsidP="00AC2131">
      <w:pPr>
        <w:pStyle w:val="BodyText"/>
        <w:rPr>
          <w:lang w:val="en"/>
        </w:rPr>
      </w:pPr>
      <w:r>
        <w:rPr>
          <w:lang w:val="en"/>
        </w:rPr>
        <w:t>In assessing s</w:t>
      </w:r>
      <w:r w:rsidRPr="00BB0FAD">
        <w:rPr>
          <w:lang w:val="en"/>
        </w:rPr>
        <w:t xml:space="preserve">uggestions that Australian dairy manufacturing should emulate the so-called New Zealand model, with a 'national champion', </w:t>
      </w:r>
      <w:r>
        <w:rPr>
          <w:lang w:val="en"/>
        </w:rPr>
        <w:t xml:space="preserve">the study noted such suggestions </w:t>
      </w:r>
      <w:r w:rsidRPr="00BB0FAD">
        <w:rPr>
          <w:lang w:val="en"/>
        </w:rPr>
        <w:t>are based on an overly simplistic comparison of the export performance of the two countries' dairy industries; tend to gloss over the regulatory arrangements that underpin the New Zealand dairy industry (for example, domestic price regulation); and over</w:t>
      </w:r>
      <w:r>
        <w:rPr>
          <w:lang w:val="en"/>
        </w:rPr>
        <w:t>-</w:t>
      </w:r>
      <w:r w:rsidRPr="00BB0FAD">
        <w:rPr>
          <w:lang w:val="en"/>
        </w:rPr>
        <w:t xml:space="preserve">emphasize the role of plant scale. </w:t>
      </w:r>
    </w:p>
    <w:p w:rsidR="00AC2131" w:rsidRDefault="00AC2131" w:rsidP="00AC2131">
      <w:pPr>
        <w:pStyle w:val="BodyText"/>
      </w:pPr>
      <w:r>
        <w:t xml:space="preserve">The study also found </w:t>
      </w:r>
      <w:r w:rsidRPr="004813DD">
        <w:t xml:space="preserve">that </w:t>
      </w:r>
      <w:r>
        <w:t xml:space="preserve">certain </w:t>
      </w:r>
      <w:r w:rsidRPr="004813DD">
        <w:t>forms of drought assistance</w:t>
      </w:r>
      <w:r>
        <w:t xml:space="preserve">, </w:t>
      </w:r>
      <w:r w:rsidRPr="004813DD">
        <w:t xml:space="preserve">biofuel subsidies and genetically modified crop regulations in some states and territories </w:t>
      </w:r>
      <w:r>
        <w:t xml:space="preserve">act to </w:t>
      </w:r>
      <w:r w:rsidRPr="004813DD">
        <w:t>reduce adjustment and innovation, affecting the efficiency of the dairy industry and the rest of the economy</w:t>
      </w:r>
      <w:r>
        <w:t>.</w:t>
      </w:r>
    </w:p>
    <w:p w:rsidR="00AC2131" w:rsidRDefault="00AC2131" w:rsidP="00AC2131">
      <w:pPr>
        <w:pStyle w:val="Heading3"/>
      </w:pPr>
      <w:r>
        <w:lastRenderedPageBreak/>
        <w:t>Cadbury withdrawal of application for support</w:t>
      </w:r>
    </w:p>
    <w:p w:rsidR="00AC2131" w:rsidRDefault="00AC2131" w:rsidP="00AC2131">
      <w:pPr>
        <w:pStyle w:val="BodyText"/>
      </w:pPr>
      <w:r>
        <w:t xml:space="preserve">In 2013, it was announced that the Australian Government funding would provide $16 million </w:t>
      </w:r>
      <w:r w:rsidRPr="008F0E95">
        <w:rPr>
          <w:lang w:val="en-US"/>
        </w:rPr>
        <w:t>funding to support a $66</w:t>
      </w:r>
      <w:r>
        <w:rPr>
          <w:lang w:val="en-US"/>
        </w:rPr>
        <w:t> </w:t>
      </w:r>
      <w:r w:rsidRPr="008F0E95">
        <w:rPr>
          <w:lang w:val="en-US"/>
        </w:rPr>
        <w:t>million upgrade of the Claremont factory</w:t>
      </w:r>
      <w:r>
        <w:t xml:space="preserve"> (</w:t>
      </w:r>
      <w:r w:rsidRPr="00445F4C">
        <w:rPr>
          <w:i/>
        </w:rPr>
        <w:t>Trade &amp; Assistance Review</w:t>
      </w:r>
      <w:r>
        <w:t xml:space="preserve"> 2012</w:t>
      </w:r>
      <w:r>
        <w:noBreakHyphen/>
        <w:t>13). Subsequently, the Commission of Audit recommended the abolition of the grant, saying there was no genuine market failure warranting government assistance (Australian Government 2014f).</w:t>
      </w:r>
    </w:p>
    <w:p w:rsidR="00AC2131" w:rsidRDefault="00AC2131" w:rsidP="00AC2131">
      <w:pPr>
        <w:pStyle w:val="BodyText"/>
      </w:pPr>
      <w:r>
        <w:t xml:space="preserve">In March 2015, the parent company of Cadbury Australia, Mondelez withdrew its application for the $16 million grant, as it was unable to comply with Government’s funding guidelines (Robb 2015a). The Minister noted that in withdrawing its application, Mondelez committed to $20 million in investment in the chocolate plant, having invested $100 million in the previous five years. </w:t>
      </w:r>
    </w:p>
    <w:p w:rsidR="00AC2131" w:rsidRPr="00767082" w:rsidRDefault="00AC2131" w:rsidP="00AC2131">
      <w:pPr>
        <w:pStyle w:val="BodyText"/>
      </w:pPr>
      <w:r>
        <w:t xml:space="preserve">The Government announced that it intends to spend the $16 million in Tasmania in other ways (Abetz 2015). </w:t>
      </w:r>
    </w:p>
    <w:p w:rsidR="00AC2131" w:rsidRDefault="00AC2131" w:rsidP="00AC2131">
      <w:pPr>
        <w:pStyle w:val="Heading2"/>
      </w:pPr>
      <w:r>
        <w:t>6.</w:t>
      </w:r>
      <w:r>
        <w:rPr>
          <w:noProof/>
        </w:rPr>
        <w:t>4</w:t>
      </w:r>
      <w:r>
        <w:tab/>
        <w:t>Industry Innovation and Competitiveness Agenda</w:t>
      </w:r>
    </w:p>
    <w:p w:rsidR="00AC2131" w:rsidRDefault="00AC2131" w:rsidP="00AC2131">
      <w:pPr>
        <w:pStyle w:val="BodyText"/>
      </w:pPr>
      <w:r>
        <w:t xml:space="preserve">In October 2014 the Australian Government released its </w:t>
      </w:r>
      <w:r w:rsidRPr="00290E27">
        <w:rPr>
          <w:i/>
        </w:rPr>
        <w:t>Industry Innovation and Competitiveness Agenda</w:t>
      </w:r>
      <w:r>
        <w:t xml:space="preserve"> (Australian Government 2014b). The Agenda is intended to strengthen Australia’s productivity and competitiveness including Australia’s export (and import competing) competitiveness. In seeking to improve Australia’s competitiveness the Agenda proposes four ‘ambitions’:</w:t>
      </w:r>
    </w:p>
    <w:p w:rsidR="00AC2131" w:rsidRDefault="00AC2131" w:rsidP="009B392D">
      <w:pPr>
        <w:pStyle w:val="Quote"/>
        <w:numPr>
          <w:ilvl w:val="0"/>
          <w:numId w:val="20"/>
        </w:numPr>
      </w:pPr>
      <w:r>
        <w:t>a lower cost, business friendly environment with less regulation, lower taxes and competitive markets;</w:t>
      </w:r>
    </w:p>
    <w:p w:rsidR="00AC2131" w:rsidRDefault="00AC2131" w:rsidP="009B392D">
      <w:pPr>
        <w:pStyle w:val="Quote"/>
        <w:numPr>
          <w:ilvl w:val="0"/>
          <w:numId w:val="20"/>
        </w:numPr>
      </w:pPr>
      <w:r>
        <w:t>a more skilled labour force;</w:t>
      </w:r>
    </w:p>
    <w:p w:rsidR="00AC2131" w:rsidRDefault="00AC2131" w:rsidP="009B392D">
      <w:pPr>
        <w:pStyle w:val="Quote"/>
        <w:numPr>
          <w:ilvl w:val="0"/>
          <w:numId w:val="20"/>
        </w:numPr>
      </w:pPr>
      <w:r>
        <w:t>better economic infrastructure; and</w:t>
      </w:r>
    </w:p>
    <w:p w:rsidR="00AC2131" w:rsidRDefault="00AC2131" w:rsidP="009B392D">
      <w:pPr>
        <w:pStyle w:val="Quote"/>
        <w:numPr>
          <w:ilvl w:val="0"/>
          <w:numId w:val="20"/>
        </w:numPr>
      </w:pPr>
      <w:r>
        <w:t>industry policy that fosters innovation and entrepreneurship. (Australian Government 2014b, p.ii)</w:t>
      </w:r>
    </w:p>
    <w:p w:rsidR="00AC2131" w:rsidRDefault="00AC2131" w:rsidP="00AC2131">
      <w:pPr>
        <w:pStyle w:val="BodyText"/>
      </w:pPr>
      <w:r>
        <w:t xml:space="preserve">The first three ambitions involve measures intended to improve the general business environment, such as, lowering the company tax rate by 1.5 percentage points to 28.5 per cent, examination of coastal shipping regulations, fostering further student engagement with science, technology engineering, and mathematics (STEM), task the Productivity Commission to review Australia’s workplace relations framework, and progress infrastructure reforms in response to the Productivity Commission’s completed inquiry into Public Infrastructure. </w:t>
      </w:r>
    </w:p>
    <w:p w:rsidR="00AC2131" w:rsidRDefault="00AC2131" w:rsidP="00AC2131">
      <w:pPr>
        <w:pStyle w:val="BodyText"/>
      </w:pPr>
      <w:r>
        <w:t xml:space="preserve">The industry policy ambition includes measures that have industry assistance implications. The measures are listed in table 6.2 where they are divided into two categories: those actions already taken; and those actions to come. The announced measures notionally amount to around $1.7 billion spread over the next four years. The net impact on the </w:t>
      </w:r>
      <w:r>
        <w:lastRenderedPageBreak/>
        <w:t xml:space="preserve">Budget will depend on, for instance, program commencement and the extent to which some measures replace previous programmes. The </w:t>
      </w:r>
      <w:r w:rsidRPr="00624214">
        <w:rPr>
          <w:i/>
        </w:rPr>
        <w:t>net</w:t>
      </w:r>
      <w:r>
        <w:t xml:space="preserve"> impact will also depend on whether announced funding is incorporated in previously announced outlays or is offset by reductions in spending on other similar programs. For example, ceasing other industry programs including those in the former Governments 2013 </w:t>
      </w:r>
      <w:r w:rsidRPr="00044B1E">
        <w:rPr>
          <w:i/>
        </w:rPr>
        <w:t>Industry and Innovation Statement</w:t>
      </w:r>
      <w:r>
        <w:rPr>
          <w:i/>
        </w:rPr>
        <w:t xml:space="preserve">, </w:t>
      </w:r>
      <w:r w:rsidRPr="001B1760">
        <w:t xml:space="preserve">afforded a reduction of </w:t>
      </w:r>
      <w:r>
        <w:t xml:space="preserve">$845.6 million </w:t>
      </w:r>
      <w:r w:rsidRPr="001B1760">
        <w:t>(</w:t>
      </w:r>
      <w:r>
        <w:t xml:space="preserve">Australian Government 2014b). </w:t>
      </w:r>
    </w:p>
    <w:p w:rsidR="00AC2131" w:rsidRDefault="00AC2131" w:rsidP="00AC2131">
      <w:pPr>
        <w:pStyle w:val="BodyText"/>
      </w:pPr>
      <w:r>
        <w:t xml:space="preserve">Chapter 2, of this </w:t>
      </w:r>
      <w:r w:rsidRPr="00ED27AB">
        <w:rPr>
          <w:i/>
        </w:rPr>
        <w:t>Review</w:t>
      </w:r>
      <w:r>
        <w:t>, raises some concerns about the export assistance measures in the Agenda and the selection of priority sectors for support under other industry measures. Chapter 3 discusses the importance of appropriate governance of industry support programmes, particularly due diligence in the selection of businesses for support, transparency, monitoring and evaluation of outcomes.</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6.</w:t>
            </w:r>
            <w:r>
              <w:rPr>
                <w:b w:val="0"/>
                <w:noProof/>
              </w:rPr>
              <w:t>2</w:t>
            </w:r>
            <w:r>
              <w:tab/>
              <w:t>Industry assistance related measures in the Industry Innovation and Competitiveness Agenda</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018"/>
              <w:gridCol w:w="2235"/>
              <w:gridCol w:w="2234"/>
            </w:tblGrid>
            <w:tr w:rsidR="00AC2131" w:rsidTr="00AC2131">
              <w:tc>
                <w:tcPr>
                  <w:tcW w:w="23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1317"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28"/>
                    <w:jc w:val="left"/>
                  </w:pPr>
                  <w:r>
                    <w:t>Announced cost</w:t>
                  </w:r>
                </w:p>
              </w:tc>
              <w:tc>
                <w:tcPr>
                  <w:tcW w:w="1316" w:type="pct"/>
                  <w:tcBorders>
                    <w:top w:val="single" w:sz="6" w:space="0" w:color="BFBFBF"/>
                    <w:bottom w:val="single" w:sz="6" w:space="0" w:color="BFBFBF"/>
                  </w:tcBorders>
                  <w:vAlign w:val="bottom"/>
                </w:tcPr>
                <w:p w:rsidR="00AC2131" w:rsidRDefault="00AC2131" w:rsidP="00AC2131">
                  <w:pPr>
                    <w:pStyle w:val="TableColumnHeading"/>
                    <w:ind w:right="28"/>
                    <w:jc w:val="left"/>
                  </w:pPr>
                  <w:r>
                    <w:t xml:space="preserve">Costing period </w:t>
                  </w:r>
                </w:p>
              </w:tc>
            </w:tr>
            <w:tr w:rsidR="00AC2131" w:rsidTr="00AC2131">
              <w:tc>
                <w:tcPr>
                  <w:tcW w:w="2367" w:type="pct"/>
                  <w:tcBorders>
                    <w:top w:val="single" w:sz="6" w:space="0" w:color="BFBFBF"/>
                  </w:tcBorders>
                </w:tcPr>
                <w:p w:rsidR="00AC2131" w:rsidRPr="00376ECA" w:rsidRDefault="00AC2131" w:rsidP="00AC2131">
                  <w:pPr>
                    <w:pStyle w:val="TableUnitsRow"/>
                    <w:ind w:left="0"/>
                    <w:jc w:val="left"/>
                    <w:rPr>
                      <w:b/>
                    </w:rPr>
                  </w:pPr>
                  <w:r w:rsidRPr="00376ECA">
                    <w:rPr>
                      <w:b/>
                    </w:rPr>
                    <w:t>Actions already taken</w:t>
                  </w:r>
                </w:p>
              </w:tc>
              <w:tc>
                <w:tcPr>
                  <w:tcW w:w="1317" w:type="pct"/>
                  <w:tcBorders>
                    <w:top w:val="single" w:sz="6" w:space="0" w:color="BFBFBF"/>
                  </w:tcBorders>
                </w:tcPr>
                <w:p w:rsidR="00AC2131" w:rsidRDefault="00AC2131" w:rsidP="00AC2131">
                  <w:pPr>
                    <w:pStyle w:val="TableUnitsRow"/>
                    <w:ind w:right="28"/>
                    <w:jc w:val="left"/>
                  </w:pPr>
                </w:p>
              </w:tc>
              <w:tc>
                <w:tcPr>
                  <w:tcW w:w="1316" w:type="pct"/>
                  <w:tcBorders>
                    <w:top w:val="single" w:sz="6" w:space="0" w:color="BFBFBF"/>
                  </w:tcBorders>
                </w:tcPr>
                <w:p w:rsidR="00AC2131" w:rsidRDefault="00AC2131" w:rsidP="00AC2131">
                  <w:pPr>
                    <w:pStyle w:val="TableUnitsRow"/>
                    <w:ind w:right="28"/>
                    <w:jc w:val="left"/>
                  </w:pPr>
                </w:p>
              </w:tc>
            </w:tr>
            <w:tr w:rsidR="00AC2131" w:rsidTr="00AC2131">
              <w:tc>
                <w:tcPr>
                  <w:tcW w:w="2367" w:type="pct"/>
                </w:tcPr>
                <w:p w:rsidR="00AC2131" w:rsidRDefault="00AC2131" w:rsidP="00AC2131">
                  <w:pPr>
                    <w:pStyle w:val="TableUnitsRow"/>
                    <w:ind w:left="0"/>
                    <w:jc w:val="left"/>
                  </w:pPr>
                  <w:r>
                    <w:t xml:space="preserve">Entrepreneur’s Infrastructure Program </w:t>
                  </w:r>
                </w:p>
              </w:tc>
              <w:tc>
                <w:tcPr>
                  <w:tcW w:w="1317" w:type="pct"/>
                </w:tcPr>
                <w:p w:rsidR="00AC2131" w:rsidRDefault="00AC2131" w:rsidP="00AC2131">
                  <w:pPr>
                    <w:pStyle w:val="TableUnitsRow"/>
                    <w:ind w:right="28"/>
                    <w:jc w:val="left"/>
                  </w:pPr>
                  <w:r>
                    <w:t>$484 million</w:t>
                  </w:r>
                </w:p>
              </w:tc>
              <w:tc>
                <w:tcPr>
                  <w:tcW w:w="1316" w:type="pct"/>
                </w:tcPr>
                <w:p w:rsidR="00AC2131" w:rsidRDefault="00AC2131" w:rsidP="00AC2131">
                  <w:pPr>
                    <w:pStyle w:val="TableUnitsRow"/>
                    <w:ind w:right="28"/>
                    <w:jc w:val="left"/>
                  </w:pPr>
                  <w:r>
                    <w:t>Four years</w:t>
                  </w:r>
                </w:p>
              </w:tc>
            </w:tr>
            <w:tr w:rsidR="00AC2131" w:rsidTr="00AC2131">
              <w:tc>
                <w:tcPr>
                  <w:tcW w:w="2367" w:type="pct"/>
                </w:tcPr>
                <w:p w:rsidR="00AC2131" w:rsidRDefault="00AC2131" w:rsidP="00AC2131">
                  <w:pPr>
                    <w:pStyle w:val="TableBodyText"/>
                    <w:ind w:left="0"/>
                    <w:jc w:val="left"/>
                  </w:pPr>
                  <w:r>
                    <w:t xml:space="preserve">Industry Skills Fund </w:t>
                  </w:r>
                </w:p>
              </w:tc>
              <w:tc>
                <w:tcPr>
                  <w:tcW w:w="1317" w:type="pct"/>
                </w:tcPr>
                <w:p w:rsidR="00AC2131" w:rsidRDefault="00AC2131" w:rsidP="00AC2131">
                  <w:pPr>
                    <w:pStyle w:val="TableBodyText"/>
                    <w:ind w:right="28"/>
                    <w:jc w:val="left"/>
                  </w:pPr>
                  <w:r>
                    <w:t>$476 million</w:t>
                  </w:r>
                </w:p>
              </w:tc>
              <w:tc>
                <w:tcPr>
                  <w:tcW w:w="1316" w:type="pct"/>
                </w:tcPr>
                <w:p w:rsidR="00AC2131" w:rsidRDefault="00AC2131" w:rsidP="00AC2131">
                  <w:pPr>
                    <w:pStyle w:val="TableBodyText"/>
                    <w:ind w:right="28"/>
                    <w:jc w:val="left"/>
                  </w:pPr>
                  <w:r>
                    <w:t>Four years</w:t>
                  </w:r>
                </w:p>
              </w:tc>
            </w:tr>
            <w:tr w:rsidR="00AC2131" w:rsidTr="00AC2131">
              <w:tc>
                <w:tcPr>
                  <w:tcW w:w="2367" w:type="pct"/>
                </w:tcPr>
                <w:p w:rsidR="00AC2131" w:rsidRDefault="00AC2131" w:rsidP="00AC2131">
                  <w:pPr>
                    <w:pStyle w:val="TableBodyText"/>
                    <w:ind w:left="0"/>
                    <w:jc w:val="left"/>
                  </w:pPr>
                  <w:r>
                    <w:t xml:space="preserve">Increased EFIC funding </w:t>
                  </w:r>
                </w:p>
              </w:tc>
              <w:tc>
                <w:tcPr>
                  <w:tcW w:w="1317" w:type="pct"/>
                </w:tcPr>
                <w:p w:rsidR="00AC2131" w:rsidRDefault="00AC2131" w:rsidP="00AC2131">
                  <w:pPr>
                    <w:pStyle w:val="TableBodyText"/>
                    <w:ind w:right="28"/>
                    <w:jc w:val="left"/>
                  </w:pPr>
                  <w:r>
                    <w:t>$200 million</w:t>
                  </w:r>
                </w:p>
              </w:tc>
              <w:tc>
                <w:tcPr>
                  <w:tcW w:w="1316" w:type="pct"/>
                </w:tcPr>
                <w:p w:rsidR="00AC2131" w:rsidRDefault="00AC2131" w:rsidP="00AC2131">
                  <w:pPr>
                    <w:pStyle w:val="TableBodyText"/>
                    <w:ind w:right="28"/>
                    <w:jc w:val="left"/>
                  </w:pPr>
                  <w:r>
                    <w:t>2014</w:t>
                  </w:r>
                  <w:r>
                    <w:noBreakHyphen/>
                    <w:t>15</w:t>
                  </w:r>
                </w:p>
              </w:tc>
            </w:tr>
            <w:tr w:rsidR="00AC2131" w:rsidTr="00AC2131">
              <w:tc>
                <w:tcPr>
                  <w:tcW w:w="2367" w:type="pct"/>
                </w:tcPr>
                <w:p w:rsidR="00AC2131" w:rsidRDefault="00AC2131" w:rsidP="00AC2131">
                  <w:pPr>
                    <w:pStyle w:val="TableBodyText"/>
                    <w:ind w:left="0"/>
                    <w:jc w:val="left"/>
                  </w:pPr>
                  <w:r>
                    <w:t xml:space="preserve">Increased EMDG funding </w:t>
                  </w:r>
                </w:p>
              </w:tc>
              <w:tc>
                <w:tcPr>
                  <w:tcW w:w="1317" w:type="pct"/>
                </w:tcPr>
                <w:p w:rsidR="00AC2131" w:rsidRDefault="00AC2131" w:rsidP="00AC2131">
                  <w:pPr>
                    <w:pStyle w:val="TableBodyText"/>
                    <w:ind w:right="28"/>
                    <w:jc w:val="left"/>
                  </w:pPr>
                  <w:r>
                    <w:t>$50 million</w:t>
                  </w:r>
                </w:p>
              </w:tc>
              <w:tc>
                <w:tcPr>
                  <w:tcW w:w="1316" w:type="pct"/>
                </w:tcPr>
                <w:p w:rsidR="00AC2131" w:rsidRDefault="00AC2131" w:rsidP="00AC2131">
                  <w:pPr>
                    <w:pStyle w:val="TableBodyText"/>
                    <w:ind w:right="28"/>
                    <w:jc w:val="left"/>
                  </w:pPr>
                  <w:r>
                    <w:t>Four years</w:t>
                  </w:r>
                </w:p>
              </w:tc>
            </w:tr>
            <w:tr w:rsidR="00AC2131" w:rsidTr="00AC2131">
              <w:tc>
                <w:tcPr>
                  <w:tcW w:w="2367" w:type="pct"/>
                </w:tcPr>
                <w:p w:rsidR="00AC2131" w:rsidRDefault="00AC2131" w:rsidP="00AC2131">
                  <w:pPr>
                    <w:pStyle w:val="TableBodyText"/>
                    <w:ind w:left="0"/>
                    <w:jc w:val="left"/>
                  </w:pPr>
                  <w:r>
                    <w:t>A ‘Team Australia’ approach to trade missions led by the Prime Minister and senior Cabinet Ministers</w:t>
                  </w:r>
                </w:p>
              </w:tc>
              <w:tc>
                <w:tcPr>
                  <w:tcW w:w="1317" w:type="pct"/>
                </w:tcPr>
                <w:p w:rsidR="00AC2131" w:rsidRDefault="00AC2131" w:rsidP="00AC2131">
                  <w:pPr>
                    <w:pStyle w:val="TableBodyText"/>
                    <w:ind w:right="28"/>
                    <w:jc w:val="left"/>
                  </w:pPr>
                  <w:r>
                    <w:t>No allocated funding</w:t>
                  </w:r>
                </w:p>
              </w:tc>
              <w:tc>
                <w:tcPr>
                  <w:tcW w:w="1316" w:type="pct"/>
                </w:tcPr>
                <w:p w:rsidR="00AC2131" w:rsidRDefault="00AC2131" w:rsidP="00AC2131">
                  <w:pPr>
                    <w:pStyle w:val="TableBodyText"/>
                    <w:ind w:right="28"/>
                    <w:jc w:val="left"/>
                  </w:pPr>
                </w:p>
              </w:tc>
            </w:tr>
            <w:tr w:rsidR="00AC2131" w:rsidRPr="00102E6F" w:rsidTr="00AC2131">
              <w:tc>
                <w:tcPr>
                  <w:tcW w:w="2367" w:type="pct"/>
                </w:tcPr>
                <w:p w:rsidR="00AC2131" w:rsidRPr="00102E6F" w:rsidRDefault="00AC2131" w:rsidP="00633384">
                  <w:pPr>
                    <w:pStyle w:val="TableBodyText"/>
                    <w:jc w:val="left"/>
                  </w:pPr>
                  <w:r w:rsidRPr="00102E6F">
                    <w:t xml:space="preserve">Manufacturing Transition Programme </w:t>
                  </w:r>
                </w:p>
              </w:tc>
              <w:tc>
                <w:tcPr>
                  <w:tcW w:w="1317" w:type="pct"/>
                </w:tcPr>
                <w:p w:rsidR="00AC2131" w:rsidRPr="00102E6F" w:rsidRDefault="00AC2131" w:rsidP="00633384">
                  <w:pPr>
                    <w:pStyle w:val="TableBodyText"/>
                    <w:jc w:val="left"/>
                  </w:pPr>
                  <w:r w:rsidRPr="00102E6F">
                    <w:t>$50 million</w:t>
                  </w:r>
                </w:p>
              </w:tc>
              <w:tc>
                <w:tcPr>
                  <w:tcW w:w="1316" w:type="pct"/>
                </w:tcPr>
                <w:p w:rsidR="00AC2131" w:rsidRPr="00102E6F" w:rsidRDefault="00AC2131" w:rsidP="00633384">
                  <w:pPr>
                    <w:pStyle w:val="TableBodyText"/>
                    <w:jc w:val="left"/>
                    <w:rPr>
                      <w:rStyle w:val="DraftingNote"/>
                      <w:b w:val="0"/>
                      <w:color w:val="auto"/>
                      <w:sz w:val="18"/>
                      <w:u w:val="none"/>
                    </w:rPr>
                  </w:pPr>
                  <w:r w:rsidRPr="00102E6F">
                    <w:rPr>
                      <w:rStyle w:val="DraftingNote"/>
                      <w:b w:val="0"/>
                      <w:color w:val="auto"/>
                      <w:sz w:val="18"/>
                      <w:u w:val="none"/>
                    </w:rPr>
                    <w:t>Three years</w:t>
                  </w:r>
                </w:p>
              </w:tc>
            </w:tr>
            <w:tr w:rsidR="00AC2131" w:rsidRPr="00102E6F" w:rsidTr="00AC2131">
              <w:tc>
                <w:tcPr>
                  <w:tcW w:w="2367" w:type="pct"/>
                </w:tcPr>
                <w:p w:rsidR="00AC2131" w:rsidRPr="00102E6F" w:rsidRDefault="00AC2131" w:rsidP="00633384">
                  <w:pPr>
                    <w:pStyle w:val="TableBodyText"/>
                    <w:jc w:val="left"/>
                  </w:pPr>
                  <w:r w:rsidRPr="00102E6F">
                    <w:t xml:space="preserve">Growth Fund </w:t>
                  </w:r>
                </w:p>
              </w:tc>
              <w:tc>
                <w:tcPr>
                  <w:tcW w:w="1317" w:type="pct"/>
                </w:tcPr>
                <w:p w:rsidR="00AC2131" w:rsidRPr="00102E6F" w:rsidRDefault="00AC2131" w:rsidP="00633384">
                  <w:pPr>
                    <w:pStyle w:val="TableBodyText"/>
                    <w:jc w:val="left"/>
                  </w:pPr>
                  <w:r w:rsidRPr="00102E6F">
                    <w:t>$155 million (Australian Government $100 million; Victorian and South Australian State Governments and companies $50 million)</w:t>
                  </w:r>
                </w:p>
              </w:tc>
              <w:tc>
                <w:tcPr>
                  <w:tcW w:w="1316" w:type="pct"/>
                </w:tcPr>
                <w:p w:rsidR="00AC2131" w:rsidRPr="00102E6F" w:rsidRDefault="00AC2131" w:rsidP="00633384">
                  <w:pPr>
                    <w:pStyle w:val="TableBodyText"/>
                    <w:jc w:val="left"/>
                    <w:rPr>
                      <w:rStyle w:val="DraftingNote"/>
                      <w:b w:val="0"/>
                      <w:color w:val="auto"/>
                      <w:sz w:val="18"/>
                      <w:u w:val="none"/>
                    </w:rPr>
                  </w:pPr>
                  <w:r w:rsidRPr="00102E6F">
                    <w:rPr>
                      <w:rStyle w:val="DraftingNote"/>
                      <w:b w:val="0"/>
                      <w:color w:val="auto"/>
                      <w:sz w:val="18"/>
                      <w:u w:val="none"/>
                    </w:rPr>
                    <w:t>Approximately $67 million provision in 2014</w:t>
                  </w:r>
                  <w:r w:rsidRPr="00102E6F">
                    <w:rPr>
                      <w:rStyle w:val="DraftingNote"/>
                      <w:b w:val="0"/>
                      <w:color w:val="auto"/>
                      <w:sz w:val="18"/>
                      <w:u w:val="none"/>
                    </w:rPr>
                    <w:noBreakHyphen/>
                    <w:t>15 Budget (covering 2014</w:t>
                  </w:r>
                  <w:r w:rsidRPr="00102E6F">
                    <w:rPr>
                      <w:rStyle w:val="DraftingNote"/>
                      <w:b w:val="0"/>
                      <w:color w:val="auto"/>
                      <w:sz w:val="18"/>
                      <w:u w:val="none"/>
                    </w:rPr>
                    <w:noBreakHyphen/>
                    <w:t>15 to 2017</w:t>
                  </w:r>
                  <w:r w:rsidRPr="00102E6F">
                    <w:rPr>
                      <w:rStyle w:val="DraftingNote"/>
                      <w:b w:val="0"/>
                      <w:color w:val="auto"/>
                      <w:sz w:val="18"/>
                      <w:u w:val="none"/>
                    </w:rPr>
                    <w:noBreakHyphen/>
                    <w:t>18)</w:t>
                  </w:r>
                </w:p>
              </w:tc>
            </w:tr>
            <w:tr w:rsidR="00AC2131" w:rsidTr="00AC2131">
              <w:tc>
                <w:tcPr>
                  <w:tcW w:w="2367" w:type="pct"/>
                </w:tcPr>
                <w:p w:rsidR="00AC2131" w:rsidRPr="00376ECA" w:rsidRDefault="00AC2131" w:rsidP="00AC2131">
                  <w:pPr>
                    <w:pStyle w:val="TableBodyText"/>
                    <w:spacing w:before="80"/>
                    <w:ind w:left="0"/>
                    <w:jc w:val="left"/>
                    <w:rPr>
                      <w:b/>
                    </w:rPr>
                  </w:pPr>
                  <w:r w:rsidRPr="00376ECA">
                    <w:rPr>
                      <w:b/>
                    </w:rPr>
                    <w:t>Actions to come</w:t>
                  </w:r>
                </w:p>
              </w:tc>
              <w:tc>
                <w:tcPr>
                  <w:tcW w:w="1317" w:type="pct"/>
                </w:tcPr>
                <w:p w:rsidR="00AC2131" w:rsidRDefault="00AC2131" w:rsidP="00AC2131">
                  <w:pPr>
                    <w:pStyle w:val="TableBodyText"/>
                    <w:spacing w:before="80"/>
                    <w:ind w:right="28"/>
                    <w:jc w:val="left"/>
                  </w:pPr>
                </w:p>
              </w:tc>
              <w:tc>
                <w:tcPr>
                  <w:tcW w:w="1316" w:type="pct"/>
                </w:tcPr>
                <w:p w:rsidR="00AC2131" w:rsidRDefault="00AC2131" w:rsidP="00AC2131">
                  <w:pPr>
                    <w:pStyle w:val="TableBodyText"/>
                    <w:spacing w:before="80"/>
                    <w:ind w:right="28"/>
                    <w:jc w:val="left"/>
                  </w:pPr>
                </w:p>
              </w:tc>
            </w:tr>
            <w:tr w:rsidR="00AC2131" w:rsidTr="00AC2131">
              <w:tc>
                <w:tcPr>
                  <w:tcW w:w="2367" w:type="pct"/>
                </w:tcPr>
                <w:p w:rsidR="00AC2131" w:rsidRDefault="00AC2131" w:rsidP="00AC2131">
                  <w:pPr>
                    <w:pStyle w:val="TableBodyText"/>
                    <w:ind w:left="0"/>
                    <w:jc w:val="left"/>
                  </w:pPr>
                  <w:r>
                    <w:t xml:space="preserve">Industry Growth Centres </w:t>
                  </w:r>
                </w:p>
              </w:tc>
              <w:tc>
                <w:tcPr>
                  <w:tcW w:w="1317" w:type="pct"/>
                </w:tcPr>
                <w:p w:rsidR="00AC2131" w:rsidRDefault="00AC2131" w:rsidP="00AC2131">
                  <w:pPr>
                    <w:pStyle w:val="TableBodyText"/>
                    <w:ind w:right="28"/>
                    <w:jc w:val="left"/>
                  </w:pPr>
                  <w:r>
                    <w:t>$188.5 million</w:t>
                  </w:r>
                </w:p>
              </w:tc>
              <w:tc>
                <w:tcPr>
                  <w:tcW w:w="1316" w:type="pct"/>
                </w:tcPr>
                <w:p w:rsidR="00AC2131" w:rsidRDefault="00AC2131" w:rsidP="00AC2131">
                  <w:pPr>
                    <w:pStyle w:val="TableBodyText"/>
                    <w:ind w:right="28"/>
                    <w:jc w:val="left"/>
                  </w:pPr>
                  <w:r>
                    <w:t>Four years</w:t>
                  </w:r>
                </w:p>
              </w:tc>
            </w:tr>
            <w:tr w:rsidR="00AC2131" w:rsidTr="00AC2131">
              <w:tc>
                <w:tcPr>
                  <w:tcW w:w="2367" w:type="pct"/>
                </w:tcPr>
                <w:p w:rsidR="00AC2131" w:rsidRDefault="00AC2131" w:rsidP="00AC2131">
                  <w:pPr>
                    <w:pStyle w:val="TableBodyText"/>
                    <w:jc w:val="left"/>
                  </w:pPr>
                  <w:r>
                    <w:t>Refocus existing $9.2 billion support of research to get better commercial return</w:t>
                  </w:r>
                </w:p>
              </w:tc>
              <w:tc>
                <w:tcPr>
                  <w:tcW w:w="1317" w:type="pct"/>
                </w:tcPr>
                <w:p w:rsidR="00AC2131" w:rsidRDefault="00AC2131" w:rsidP="00AC2131">
                  <w:pPr>
                    <w:pStyle w:val="TableBodyText"/>
                    <w:ind w:right="28"/>
                    <w:jc w:val="left"/>
                  </w:pPr>
                  <w:r>
                    <w:t>na</w:t>
                  </w:r>
                </w:p>
              </w:tc>
              <w:tc>
                <w:tcPr>
                  <w:tcW w:w="1316" w:type="pct"/>
                </w:tcPr>
                <w:p w:rsidR="00AC2131" w:rsidRDefault="00AC2131" w:rsidP="00AC2131">
                  <w:pPr>
                    <w:pStyle w:val="TableBodyText"/>
                    <w:ind w:right="28"/>
                    <w:jc w:val="left"/>
                  </w:pPr>
                  <w:r>
                    <w:t>na</w:t>
                  </w:r>
                </w:p>
              </w:tc>
            </w:tr>
            <w:tr w:rsidR="00AC2131" w:rsidTr="00AC2131">
              <w:tc>
                <w:tcPr>
                  <w:tcW w:w="2367" w:type="pct"/>
                </w:tcPr>
                <w:p w:rsidR="00AC2131" w:rsidRDefault="00AC2131" w:rsidP="00AC2131">
                  <w:pPr>
                    <w:pStyle w:val="TableBodyText"/>
                    <w:ind w:left="0"/>
                    <w:jc w:val="left"/>
                  </w:pPr>
                  <w:r>
                    <w:t>Establish a Medical Research Future Fund, funded from health reforms</w:t>
                  </w:r>
                </w:p>
              </w:tc>
              <w:tc>
                <w:tcPr>
                  <w:tcW w:w="1317" w:type="pct"/>
                </w:tcPr>
                <w:p w:rsidR="00AC2131" w:rsidRDefault="00AC2131" w:rsidP="00AC2131">
                  <w:pPr>
                    <w:pStyle w:val="TableBodyText"/>
                    <w:ind w:right="28"/>
                    <w:jc w:val="left"/>
                  </w:pPr>
                  <w:r>
                    <w:t>Up to $20 billion</w:t>
                  </w:r>
                </w:p>
              </w:tc>
              <w:tc>
                <w:tcPr>
                  <w:tcW w:w="1316" w:type="pct"/>
                </w:tcPr>
                <w:p w:rsidR="00AC2131" w:rsidRDefault="00AC2131" w:rsidP="00AC2131">
                  <w:pPr>
                    <w:pStyle w:val="TableBodyText"/>
                    <w:ind w:right="28"/>
                    <w:jc w:val="left"/>
                  </w:pPr>
                  <w:r>
                    <w:t>(subject to health reforms)</w:t>
                  </w:r>
                </w:p>
              </w:tc>
            </w:tr>
            <w:tr w:rsidR="00AC2131" w:rsidTr="00AC2131">
              <w:tc>
                <w:tcPr>
                  <w:tcW w:w="2367" w:type="pct"/>
                </w:tcPr>
                <w:p w:rsidR="00AC2131" w:rsidRDefault="00AC2131" w:rsidP="00AC2131">
                  <w:pPr>
                    <w:pStyle w:val="TableBodyText"/>
                    <w:ind w:left="0"/>
                    <w:jc w:val="left"/>
                  </w:pPr>
                  <w:r>
                    <w:t xml:space="preserve">Improved tax treatment of Employee Share Schemes </w:t>
                  </w:r>
                </w:p>
              </w:tc>
              <w:tc>
                <w:tcPr>
                  <w:tcW w:w="1317" w:type="pct"/>
                </w:tcPr>
                <w:p w:rsidR="00AC2131" w:rsidRDefault="00AC2131" w:rsidP="00AC2131">
                  <w:pPr>
                    <w:pStyle w:val="TableBodyText"/>
                    <w:ind w:right="28"/>
                    <w:jc w:val="left"/>
                  </w:pPr>
                  <w:r>
                    <w:t>$200 million</w:t>
                  </w:r>
                </w:p>
              </w:tc>
              <w:tc>
                <w:tcPr>
                  <w:tcW w:w="1316" w:type="pct"/>
                </w:tcPr>
                <w:p w:rsidR="00AC2131" w:rsidRDefault="00AC2131" w:rsidP="00AC2131">
                  <w:pPr>
                    <w:pStyle w:val="TableBodyText"/>
                    <w:ind w:right="28"/>
                    <w:jc w:val="left"/>
                  </w:pPr>
                  <w:r>
                    <w:t>Four years</w:t>
                  </w:r>
                </w:p>
              </w:tc>
            </w:tr>
            <w:tr w:rsidR="00AC2131" w:rsidTr="00AC2131">
              <w:tc>
                <w:tcPr>
                  <w:tcW w:w="2367" w:type="pct"/>
                </w:tcPr>
                <w:p w:rsidR="00AC2131" w:rsidRDefault="00AC2131" w:rsidP="00AC2131">
                  <w:pPr>
                    <w:pStyle w:val="TableBodyText"/>
                    <w:ind w:left="0"/>
                    <w:jc w:val="left"/>
                  </w:pPr>
                  <w:r>
                    <w:t>Consultations with industry on appropriate regulatory approach for ‘start-ups’ that seek access to crowd-sourced equity funding</w:t>
                  </w:r>
                </w:p>
              </w:tc>
              <w:tc>
                <w:tcPr>
                  <w:tcW w:w="1317" w:type="pct"/>
                </w:tcPr>
                <w:p w:rsidR="00AC2131" w:rsidRDefault="00AC2131" w:rsidP="00AC2131">
                  <w:pPr>
                    <w:pStyle w:val="TableBodyText"/>
                    <w:ind w:right="28"/>
                    <w:jc w:val="left"/>
                  </w:pPr>
                  <w:r>
                    <w:t>No allocated funding</w:t>
                  </w:r>
                </w:p>
              </w:tc>
              <w:tc>
                <w:tcPr>
                  <w:tcW w:w="1316" w:type="pct"/>
                </w:tcPr>
                <w:p w:rsidR="00AC2131" w:rsidRDefault="00AC2131" w:rsidP="00AC2131">
                  <w:pPr>
                    <w:pStyle w:val="TableBodyText"/>
                    <w:ind w:right="28"/>
                    <w:jc w:val="left"/>
                  </w:pPr>
                  <w:r>
                    <w:t>na</w:t>
                  </w:r>
                </w:p>
              </w:tc>
            </w:tr>
            <w:tr w:rsidR="00AC2131" w:rsidTr="00AC2131">
              <w:tc>
                <w:tcPr>
                  <w:tcW w:w="2367" w:type="pct"/>
                  <w:tcBorders>
                    <w:bottom w:val="single" w:sz="6" w:space="0" w:color="BFBFBF"/>
                  </w:tcBorders>
                </w:tcPr>
                <w:p w:rsidR="00AC2131" w:rsidRDefault="00AC2131" w:rsidP="00AC2131">
                  <w:pPr>
                    <w:pStyle w:val="TableBodyText"/>
                    <w:ind w:left="0"/>
                    <w:jc w:val="left"/>
                  </w:pPr>
                  <w:r>
                    <w:t xml:space="preserve">The government will adopt Small Business engagement principles </w:t>
                  </w:r>
                </w:p>
              </w:tc>
              <w:tc>
                <w:tcPr>
                  <w:tcW w:w="1317" w:type="pct"/>
                  <w:tcBorders>
                    <w:bottom w:val="single" w:sz="6" w:space="0" w:color="BFBFBF"/>
                  </w:tcBorders>
                </w:tcPr>
                <w:p w:rsidR="00AC2131" w:rsidRDefault="00AC2131" w:rsidP="00AC2131">
                  <w:pPr>
                    <w:pStyle w:val="TableBodyText"/>
                    <w:ind w:right="28"/>
                    <w:jc w:val="left"/>
                  </w:pPr>
                  <w:r>
                    <w:t>No allocated funding</w:t>
                  </w:r>
                </w:p>
              </w:tc>
              <w:tc>
                <w:tcPr>
                  <w:tcW w:w="1316" w:type="pct"/>
                  <w:tcBorders>
                    <w:bottom w:val="single" w:sz="6" w:space="0" w:color="BFBFBF"/>
                  </w:tcBorders>
                </w:tcPr>
                <w:p w:rsidR="00AC2131" w:rsidRDefault="00AC2131" w:rsidP="00AC2131">
                  <w:pPr>
                    <w:pStyle w:val="TableBodyText"/>
                    <w:ind w:right="28"/>
                    <w:jc w:val="left"/>
                  </w:pPr>
                  <w:r>
                    <w:t>na</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Australian Government (2014b).</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2"/>
      </w:pPr>
      <w:r>
        <w:lastRenderedPageBreak/>
        <w:t>6.</w:t>
      </w:r>
      <w:r>
        <w:rPr>
          <w:noProof/>
        </w:rPr>
        <w:t>5</w:t>
      </w:r>
      <w:r>
        <w:tab/>
      </w:r>
      <w:r w:rsidRPr="00ED78EF">
        <w:t>Regional assistance programs</w:t>
      </w:r>
    </w:p>
    <w:p w:rsidR="00AC2131" w:rsidRDefault="00AC2131" w:rsidP="00AC2131">
      <w:pPr>
        <w:pStyle w:val="BodyText"/>
      </w:pPr>
      <w:r w:rsidRPr="00830731">
        <w:t xml:space="preserve">This section reports on assistance announcements </w:t>
      </w:r>
      <w:r>
        <w:t>which have a significant regional focus, such as those relating Tasmanian shipping and freight and Natural Disaster Relief Arrangements. These arrangements affect multiple industries. The business assistance conferred by these arrangements is classified as ‘regional &amp; structural adjustment’ category in the estimates of chapter 5. There are several other major industry assistance programs that have a significant regional dimension, included in the agriculture section of this chapter on the basis that farming enterprises are the ‘initial benefiting industry’, for example, drought and farming assistance, and aspects of the Murray Darling Basin Plan and Landcare program.</w:t>
      </w:r>
    </w:p>
    <w:p w:rsidR="00AC2131" w:rsidRDefault="00AC2131" w:rsidP="00AC2131">
      <w:pPr>
        <w:pStyle w:val="Heading3"/>
      </w:pPr>
      <w:r>
        <w:t>Inquiry into Tasmanian shipping and freight</w:t>
      </w:r>
    </w:p>
    <w:p w:rsidR="00AC2131" w:rsidRPr="00000131" w:rsidRDefault="00AC2131" w:rsidP="00AC2131">
      <w:pPr>
        <w:pStyle w:val="BodyText"/>
      </w:pPr>
      <w:r w:rsidRPr="00000131">
        <w:t>In November 2013, the Australian Government asked the Commission to undertake an inquiry into Tasmanian shipping and freight. The Commission’s final report was released by the Australian Government on 24 June 2014 (PC 2014</w:t>
      </w:r>
      <w:r>
        <w:t>f</w:t>
      </w:r>
      <w:r w:rsidRPr="00000131">
        <w:t>). The Australian Government has outlaid more than $2</w:t>
      </w:r>
      <w:r>
        <w:t> </w:t>
      </w:r>
      <w:r w:rsidRPr="00000131">
        <w:t xml:space="preserve">billion since the inception of the </w:t>
      </w:r>
      <w:r>
        <w:t xml:space="preserve">Tasmanian Freight Equalisation Scheme (TFES) and the </w:t>
      </w:r>
      <w:r w:rsidRPr="00000131">
        <w:t>Bass Strait Passenger Vehicle Equalisation Scheme (BSPVES)</w:t>
      </w:r>
      <w:r>
        <w:t>. W</w:t>
      </w:r>
      <w:r w:rsidRPr="00000131">
        <w:t>ithout change a further $2 billion can be expected over the next 15 years. In 2011</w:t>
      </w:r>
      <w:r>
        <w:noBreakHyphen/>
      </w:r>
      <w:r w:rsidRPr="00000131">
        <w:t xml:space="preserve">12 total outlays for the schemes </w:t>
      </w:r>
      <w:r>
        <w:t>amounted</w:t>
      </w:r>
      <w:r w:rsidRPr="00000131">
        <w:t xml:space="preserve"> $128</w:t>
      </w:r>
      <w:r>
        <w:t> </w:t>
      </w:r>
      <w:r w:rsidRPr="00000131">
        <w:t>million.</w:t>
      </w:r>
    </w:p>
    <w:p w:rsidR="00AC2131" w:rsidRDefault="00AC2131" w:rsidP="00AC2131">
      <w:pPr>
        <w:pStyle w:val="BodyText"/>
      </w:pPr>
      <w:r w:rsidRPr="00000131">
        <w:t xml:space="preserve">The inquiry concluded that the Tasmanian Freight Equalisation Scheme (TFES) </w:t>
      </w:r>
      <w:r w:rsidRPr="0056740D">
        <w:t>is costly, complex and has unintended consequences. It mostly benefits a handful of large recipients. It also, perversely, increases prices for Tasmanian consumers</w:t>
      </w:r>
      <w:r>
        <w:t xml:space="preserve">. </w:t>
      </w:r>
      <w:r>
        <w:rPr>
          <w:lang w:val="en"/>
        </w:rPr>
        <w:t>T</w:t>
      </w:r>
      <w:r w:rsidRPr="0056740D">
        <w:rPr>
          <w:lang w:val="en"/>
        </w:rPr>
        <w:t>he Commission made a number of recommendations focused on addressing some of the perverse incentives created by the TFES and reducing complexity to lower the compliance burden on business and administrative costs to government. On the TFES the Commission found that there was potentially an economic case to extend eligibility to exports (trans</w:t>
      </w:r>
      <w:r>
        <w:rPr>
          <w:lang w:val="en"/>
        </w:rPr>
        <w:t>-</w:t>
      </w:r>
      <w:r w:rsidRPr="0056740D">
        <w:rPr>
          <w:lang w:val="en"/>
        </w:rPr>
        <w:t>shipped through Port of Melbourne) whilst lowering the overall rate of assistance — 'broaden the base and lower the rate' — contingent on a direct international containeri</w:t>
      </w:r>
      <w:r>
        <w:rPr>
          <w:lang w:val="en"/>
        </w:rPr>
        <w:t>s</w:t>
      </w:r>
      <w:r w:rsidRPr="0056740D">
        <w:rPr>
          <w:lang w:val="en"/>
        </w:rPr>
        <w:t>ed shipping service not being commercially available to Tasmanian shippers. As such, a decision on extending the eligibility of the TFES would be premature prior to the Tasmanian Government resolving the possible resumption of a direct international service, for which the economics is impacted by potential coastal shipping reform.</w:t>
      </w:r>
    </w:p>
    <w:p w:rsidR="00AC2131" w:rsidRPr="00000131" w:rsidRDefault="00AC2131" w:rsidP="00AC2131">
      <w:pPr>
        <w:pStyle w:val="BodyText"/>
      </w:pPr>
      <w:r w:rsidRPr="00000131">
        <w:t xml:space="preserve">In regard to the Bass Strait Passenger Vehicle Equalisation Scheme (BSPVES) </w:t>
      </w:r>
      <w:r>
        <w:t>it was</w:t>
      </w:r>
      <w:r w:rsidRPr="00000131">
        <w:t xml:space="preserve"> found there is no clearly articulated objective and that at least part of the </w:t>
      </w:r>
      <w:r>
        <w:t xml:space="preserve">subsidy is captured by TT-Line, the Tasmanian Government-owned and sole provider of </w:t>
      </w:r>
      <w:r w:rsidRPr="00000131">
        <w:t xml:space="preserve">passenger vehicle shipping services across the Bass Strait. </w:t>
      </w:r>
      <w:r>
        <w:rPr>
          <w:lang w:val="en"/>
        </w:rPr>
        <w:t>T</w:t>
      </w:r>
      <w:r w:rsidRPr="0056740D">
        <w:rPr>
          <w:lang w:val="en"/>
        </w:rPr>
        <w:t>he Commission recommended greater scrutiny of TT-Line's competitive neutrality obligations, and greater transparency and clarity around the scheme itself.</w:t>
      </w:r>
    </w:p>
    <w:p w:rsidR="00AC2131" w:rsidRPr="00580381" w:rsidRDefault="00AC2131" w:rsidP="00AC2131">
      <w:pPr>
        <w:pStyle w:val="BodyText"/>
      </w:pPr>
      <w:r>
        <w:lastRenderedPageBreak/>
        <w:t>Overall, t</w:t>
      </w:r>
      <w:r w:rsidRPr="00000131">
        <w:t>he Commission recommended that to address the broader economic and social challenges confronting Tasmania, the Australian Government should put less emphasis on freight subsidy schemes in favour of reforms that have national and Tasmanian benefits, such as coastal shipping reform and those that directly enhance the competitiveness and productivity of the Tasmanian economy.</w:t>
      </w:r>
      <w:r>
        <w:t xml:space="preserve"> The Commission also recommended that the </w:t>
      </w:r>
      <w:r w:rsidRPr="00580381">
        <w:t>Joint Commonwealth and Tasmanian Economic Council should initiate a stocktake of existing programs specific to Tasmania</w:t>
      </w:r>
      <w:r>
        <w:t xml:space="preserve">, including </w:t>
      </w:r>
      <w:r w:rsidRPr="00580381">
        <w:t>assess</w:t>
      </w:r>
      <w:r>
        <w:t>ing</w:t>
      </w:r>
      <w:r w:rsidRPr="00580381">
        <w:t xml:space="preserve"> whether the suite of initiatives represents a coordinated, consistent, targeted, and efficient approach to Tasmania’s economic development </w:t>
      </w:r>
    </w:p>
    <w:p w:rsidR="00AC2131" w:rsidRPr="00223C1D" w:rsidRDefault="00AC2131" w:rsidP="00AC2131">
      <w:pPr>
        <w:pStyle w:val="BodyText"/>
      </w:pPr>
      <w:r>
        <w:t>The Australian Government, in its response in March 2015, announced a $203 million expansion of the TFES over four years, an increase of over 40 per cent in the annual cost (Truss and Abbott 2015).</w:t>
      </w:r>
    </w:p>
    <w:p w:rsidR="00AC2131" w:rsidRDefault="00AC2131" w:rsidP="00AC2131">
      <w:pPr>
        <w:pStyle w:val="Heading3"/>
      </w:pPr>
      <w:r>
        <w:t>Review of Natural Disaster Funding</w:t>
      </w:r>
    </w:p>
    <w:p w:rsidR="00AC2131" w:rsidRPr="008F6DA8" w:rsidRDefault="00AC2131" w:rsidP="00AC2131">
      <w:pPr>
        <w:pStyle w:val="BodyText"/>
      </w:pPr>
      <w:r w:rsidRPr="008F6DA8">
        <w:t xml:space="preserve">In </w:t>
      </w:r>
      <w:r>
        <w:t>April </w:t>
      </w:r>
      <w:r w:rsidRPr="008F6DA8">
        <w:t>2014</w:t>
      </w:r>
      <w:r>
        <w:t>,</w:t>
      </w:r>
      <w:r w:rsidRPr="008F6DA8">
        <w:t xml:space="preserve"> the Australian Government asked the Productivity Commission to undertake a public inquiry into the efficacy of current national natural disaster funding arrangements, taking into account the priority of effective natural disaster mitigation and the reduction in the impact of disasters on communities.</w:t>
      </w:r>
    </w:p>
    <w:p w:rsidR="00AC2131" w:rsidRDefault="00AC2131" w:rsidP="00AC2131">
      <w:pPr>
        <w:pStyle w:val="BodyText"/>
      </w:pPr>
      <w:r>
        <w:t>The Commission’s final report was provided to Government in December 2014 and publicly released on 1 May 2015 (Keenan 2015). The Report noted that over the past decade, the Australian Government has spent around $8 billion on post-disaster relief and recovery, with another $5.7 billion to be spent over the forward estimates. State and territory governments have spent a further $5.6 billion over the past decade. The amounts are substantially higher than a decade before.</w:t>
      </w:r>
    </w:p>
    <w:p w:rsidR="00AC2131" w:rsidRDefault="00AC2131" w:rsidP="00AC2131">
      <w:pPr>
        <w:pStyle w:val="BodyText"/>
      </w:pPr>
      <w:r>
        <w:t xml:space="preserve">The majority of disaster expenditure is for restoring infrastructure assets. Other components include assistance to individuals and businesses. </w:t>
      </w:r>
      <w:r w:rsidRPr="001D6BF6">
        <w:t xml:space="preserve">Small businesses and farmers who can demonstrate loss of income as a direct result of a disaster can be eligible for the </w:t>
      </w:r>
      <w:r>
        <w:t xml:space="preserve">National </w:t>
      </w:r>
      <w:r w:rsidRPr="001D6BF6">
        <w:t xml:space="preserve">Disaster </w:t>
      </w:r>
      <w:r>
        <w:t xml:space="preserve">Relieve and </w:t>
      </w:r>
      <w:r w:rsidRPr="001D6BF6">
        <w:t>Recovery Allowance</w:t>
      </w:r>
      <w:r>
        <w:t xml:space="preserve"> (NDRRA)</w:t>
      </w:r>
      <w:r w:rsidRPr="001D6BF6">
        <w:t>, which provides payments equivalent to the maximum rate of Newstart Allowance or Youth Allowance for up to 13 weeks. In addition, state governments provide assistance to businesses, and can be reimbursed for some types of assistance through categories B and C of the NDRRA.</w:t>
      </w:r>
    </w:p>
    <w:p w:rsidR="00AC2131" w:rsidRDefault="00AC2131" w:rsidP="00AC2131">
      <w:pPr>
        <w:pStyle w:val="BodyText"/>
      </w:pPr>
      <w:r>
        <w:t xml:space="preserve">The report recommended </w:t>
      </w:r>
      <w:r w:rsidRPr="008F6DA8">
        <w:t>a major restructure of Australian Government funding for natural disasters</w:t>
      </w:r>
      <w:r>
        <w:t xml:space="preserve"> — </w:t>
      </w:r>
      <w:r w:rsidRPr="008F6DA8">
        <w:t xml:space="preserve">financial support to the states and territories for natural disaster relief and recovery </w:t>
      </w:r>
      <w:r>
        <w:t xml:space="preserve">should </w:t>
      </w:r>
      <w:r w:rsidRPr="008F6DA8">
        <w:t>be reduced while mitigation funding be increased</w:t>
      </w:r>
      <w:r>
        <w:t>. Some key points underpinning the case for such a restructure included the following.</w:t>
      </w:r>
    </w:p>
    <w:p w:rsidR="00AC2131" w:rsidRDefault="00AC2131" w:rsidP="00AC2131">
      <w:pPr>
        <w:pStyle w:val="ListBullet"/>
      </w:pPr>
      <w:r w:rsidRPr="006B0CB5">
        <w:t>Current government natural disaster funding arrangements are not efficient, equitable or sustainable. They are prone to cost shifting, ad hoc responses and short-term political opportunism.</w:t>
      </w:r>
    </w:p>
    <w:p w:rsidR="00AC2131" w:rsidRPr="008D1170" w:rsidRDefault="00AC2131" w:rsidP="00AC2131">
      <w:pPr>
        <w:pStyle w:val="ListBullet"/>
      </w:pPr>
      <w:r w:rsidRPr="006B0CB5">
        <w:lastRenderedPageBreak/>
        <w:t>The evolution of the funding arrangements can be characterised by growing generosity by the Australian Government during the previous decade, followed by a s</w:t>
      </w:r>
      <w:r w:rsidRPr="008D1170">
        <w:t>wing to constrain costs and increase oversight after the recent concentrated spate of costly disasters.</w:t>
      </w:r>
    </w:p>
    <w:p w:rsidR="00AC2131" w:rsidRDefault="00AC2131" w:rsidP="00AC2131">
      <w:pPr>
        <w:pStyle w:val="ListBullet"/>
      </w:pPr>
      <w:r w:rsidRPr="008928E4">
        <w:t>Governments generally overinvest in post-disaster reconstruction, and underinvest in mitigation that would limit the impact of natural disasters in the first place. As such, natural disaster costs have become a growing, unfunded liability for governments, especially the Australian Government.</w:t>
      </w:r>
    </w:p>
    <w:p w:rsidR="00AC2131" w:rsidRPr="006B0CB5" w:rsidRDefault="00AC2131" w:rsidP="00AC2131">
      <w:pPr>
        <w:pStyle w:val="BodyText"/>
      </w:pPr>
      <w:r>
        <w:t>Against the background that governments make no explicit budgetary provision for the costs of recovery from future natural disasters, the report suggested that there is a systematic bias against mitigation and insurance. It recommended t</w:t>
      </w:r>
      <w:r w:rsidRPr="006B0CB5">
        <w:t xml:space="preserve">he Australian </w:t>
      </w:r>
      <w:r w:rsidRPr="0029719D">
        <w:t>Government should treat natural disaster contingent liabilities more transparently in its budget by quantifying the size of these liabilities in the Statement of Risks. It should also provision costs in recognition of the fact that some level of Australian Government expenditure on natural disasters can be reasonably anticipated each year.</w:t>
      </w:r>
    </w:p>
    <w:p w:rsidR="00AC2131" w:rsidRDefault="00AC2131" w:rsidP="00AC2131">
      <w:pPr>
        <w:pStyle w:val="BodyText"/>
      </w:pPr>
      <w:r>
        <w:t>The report observed that g</w:t>
      </w:r>
      <w:r w:rsidRPr="008F6DA8">
        <w:t xml:space="preserve">overnments have a role in providing emergency relief payments to individuals </w:t>
      </w:r>
      <w:r>
        <w:t xml:space="preserve">(and businesses) </w:t>
      </w:r>
      <w:r w:rsidRPr="008F6DA8">
        <w:t>who have been seriously affected by natural disasters, to avoid immediate economic and social hardship.</w:t>
      </w:r>
      <w:r>
        <w:t xml:space="preserve"> Assistance to businesses include interest rate subsidies and grants, freight subsidies for primary producers. The report found that the case for government assistance to businesses and primary producers after a natural disaster is weak. If governments do provide assistance to businesses and primary producers, a finding was that that untied grants are a more efficient, effective and equitable instrument than loans and subsidies.</w:t>
      </w:r>
    </w:p>
    <w:p w:rsidR="00AC2131" w:rsidRDefault="00AC2131" w:rsidP="00AC2131">
      <w:pPr>
        <w:pStyle w:val="Heading2"/>
      </w:pPr>
      <w:r>
        <w:t>6.</w:t>
      </w:r>
      <w:r>
        <w:rPr>
          <w:noProof/>
        </w:rPr>
        <w:t>6</w:t>
      </w:r>
      <w:r>
        <w:tab/>
      </w:r>
      <w:r w:rsidRPr="00ED78EF">
        <w:t>Broadcasting and communications</w:t>
      </w:r>
    </w:p>
    <w:p w:rsidR="00AC2131" w:rsidRDefault="00AC2131" w:rsidP="00AC2131">
      <w:pPr>
        <w:pStyle w:val="BodyText"/>
      </w:pPr>
      <w:r>
        <w:t>Since May 2014,</w:t>
      </w:r>
      <w:r w:rsidRPr="00ED78EF">
        <w:t xml:space="preserve"> the</w:t>
      </w:r>
      <w:r>
        <w:t xml:space="preserve"> Australian Government has made several announcements </w:t>
      </w:r>
      <w:r w:rsidRPr="00ED78EF">
        <w:t>regarding broadcasting and communications policies and related activities</w:t>
      </w:r>
      <w:r>
        <w:t xml:space="preserve"> with assistance implications</w:t>
      </w:r>
      <w:r w:rsidRPr="00ED78EF">
        <w:t>.</w:t>
      </w:r>
    </w:p>
    <w:p w:rsidR="00AC2131" w:rsidRDefault="00AC2131" w:rsidP="00AC2131">
      <w:pPr>
        <w:pStyle w:val="Heading3"/>
      </w:pPr>
      <w:r>
        <w:t>New measures to tackle online copyright infringement</w:t>
      </w:r>
    </w:p>
    <w:p w:rsidR="00AC2131" w:rsidRPr="00697BB3" w:rsidRDefault="00AC2131" w:rsidP="00AC2131">
      <w:pPr>
        <w:pStyle w:val="BodyText"/>
      </w:pPr>
      <w:r>
        <w:t xml:space="preserve">Copyright law affords legal protection to owners of copyright with the intention of encouraging and supporting creative activities, but it can restrict the availability or raise the cost of copyright protected materials to consumers. In July 2014, the Australian Government released a Discussion Paper on Online Copyright Infringement (Australian Government 2014h). </w:t>
      </w:r>
    </w:p>
    <w:p w:rsidR="00AC2131" w:rsidRDefault="00AC2131" w:rsidP="00AC2131">
      <w:pPr>
        <w:pStyle w:val="BodyText"/>
      </w:pPr>
      <w:r w:rsidRPr="00697BB3">
        <w:t xml:space="preserve">In December 2014, the Minister for Communications </w:t>
      </w:r>
      <w:r>
        <w:t xml:space="preserve">and </w:t>
      </w:r>
      <w:r w:rsidRPr="00697BB3">
        <w:t xml:space="preserve">the Attorney-General wrote to industry leaders requiring them to immediately develop an industry code that will be registered with the Australian Communications and Media Authority (ACMA) under </w:t>
      </w:r>
      <w:r w:rsidRPr="00697BB3">
        <w:lastRenderedPageBreak/>
        <w:t>Part</w:t>
      </w:r>
      <w:r>
        <w:t> </w:t>
      </w:r>
      <w:r w:rsidRPr="00697BB3">
        <w:t xml:space="preserve">6 of the </w:t>
      </w:r>
      <w:r w:rsidRPr="00697BB3">
        <w:rPr>
          <w:rStyle w:val="Emphasis"/>
          <w:iCs w:val="0"/>
        </w:rPr>
        <w:t>Telecommunications Act 1997</w:t>
      </w:r>
      <w:r>
        <w:rPr>
          <w:rStyle w:val="Emphasis"/>
          <w:i w:val="0"/>
          <w:iCs w:val="0"/>
        </w:rPr>
        <w:t xml:space="preserve"> (Brandis and Turnbull 2014 and Turnbull 2014a).</w:t>
      </w:r>
      <w:r w:rsidRPr="00697BB3">
        <w:rPr>
          <w:rStyle w:val="Emphasis"/>
          <w:i w:val="0"/>
          <w:iCs w:val="0"/>
        </w:rPr>
        <w:t xml:space="preserve"> </w:t>
      </w:r>
      <w:r w:rsidRPr="00697BB3">
        <w:t xml:space="preserve">The </w:t>
      </w:r>
      <w:r>
        <w:t>ministers expect the code to</w:t>
      </w:r>
      <w:r w:rsidRPr="00697BB3">
        <w:t xml:space="preserve"> include a process to notify consumers when a copyright breach has occurred and provide information on how they can gain access to legitimate content.</w:t>
      </w:r>
    </w:p>
    <w:p w:rsidR="00AC2131" w:rsidRPr="00697BB3" w:rsidRDefault="00AC2131" w:rsidP="00AC2131">
      <w:pPr>
        <w:pStyle w:val="BodyText"/>
      </w:pPr>
      <w:r>
        <w:t>The correspondence to industry leaders also noted that f</w:t>
      </w:r>
      <w:r w:rsidRPr="00697BB3">
        <w:t xml:space="preserve">ailing agreement within 120 days, the Government </w:t>
      </w:r>
      <w:r>
        <w:t>would</w:t>
      </w:r>
      <w:r w:rsidRPr="00697BB3">
        <w:t xml:space="preserve"> impose binding arrangements either by an industry code prescribed by the Attorney-General under the </w:t>
      </w:r>
      <w:r w:rsidRPr="00697BB3">
        <w:rPr>
          <w:i/>
          <w:iCs/>
        </w:rPr>
        <w:t xml:space="preserve">Copyright Act 1968 </w:t>
      </w:r>
      <w:r w:rsidRPr="00697BB3">
        <w:t xml:space="preserve">or an industry standard prescribed by the ACMA, at the direction of the Minister for Communications under the </w:t>
      </w:r>
      <w:r w:rsidRPr="00697BB3">
        <w:rPr>
          <w:i/>
          <w:iCs/>
        </w:rPr>
        <w:t>Telecommunications Act</w:t>
      </w:r>
      <w:r w:rsidRPr="00697BB3">
        <w:t>.</w:t>
      </w:r>
    </w:p>
    <w:p w:rsidR="00AC2131" w:rsidRDefault="00AC2131" w:rsidP="00AC2131">
      <w:pPr>
        <w:pStyle w:val="BodyText"/>
      </w:pPr>
      <w:r>
        <w:t xml:space="preserve">Existing arrangements in the United States of America, the United Kingdom, and New Zealand were outlined in the Discussion Paper and discussed at a subsequent Online Copyright Infringement Forum. Key issues in designing a regulatory response include potential compliance costs, and changes in consumer behaviour and industry product offerings. Communications Alliance (a peak telecommunications industry body) coordinated the work of telecommunications providers and rights holder organisations, in consultation with representatives of consumer organisations, to develop an agreed Code, which was lodged with the ACMA on 8 April 2015. Prior to lodging this Code, a draft version was released for public comment from 20 February to 23 March 2015. The ACMA is currently considering whether to register the Code. </w:t>
      </w:r>
    </w:p>
    <w:p w:rsidR="00AC2131" w:rsidRPr="001F753C" w:rsidRDefault="00AC2131" w:rsidP="00AC2131">
      <w:pPr>
        <w:pStyle w:val="BodyText"/>
      </w:pPr>
      <w:r w:rsidRPr="001F753C">
        <w:t xml:space="preserve">In addition to </w:t>
      </w:r>
      <w:r>
        <w:t xml:space="preserve">the </w:t>
      </w:r>
      <w:r w:rsidRPr="001F753C">
        <w:t>development of a Code</w:t>
      </w:r>
      <w:r>
        <w:t>,</w:t>
      </w:r>
      <w:r w:rsidRPr="001F753C">
        <w:t xml:space="preserve"> the </w:t>
      </w:r>
      <w:r>
        <w:t xml:space="preserve">Australian </w:t>
      </w:r>
      <w:r w:rsidRPr="001F753C">
        <w:t xml:space="preserve">Government </w:t>
      </w:r>
      <w:r>
        <w:t xml:space="preserve">introduced a Bill in Parliament on 26 March 2015 (Copyright Amendment (Online Infringement) Bill 2015) to amend </w:t>
      </w:r>
      <w:r w:rsidRPr="001F753C">
        <w:t xml:space="preserve">the Copyright Act, to enable rights holders to apply for a court order requiring </w:t>
      </w:r>
      <w:r>
        <w:t xml:space="preserve">Australian </w:t>
      </w:r>
      <w:r w:rsidRPr="001F753C">
        <w:t xml:space="preserve">ISPs to block access to a website, operated </w:t>
      </w:r>
      <w:r w:rsidRPr="002261B1">
        <w:rPr>
          <w:i/>
        </w:rPr>
        <w:t>outside</w:t>
      </w:r>
      <w:r w:rsidRPr="001F753C">
        <w:t xml:space="preserve"> of Australia, which </w:t>
      </w:r>
      <w:r>
        <w:t xml:space="preserve">has the primary purpose of </w:t>
      </w:r>
      <w:r w:rsidRPr="001F753C">
        <w:t xml:space="preserve">infringing </w:t>
      </w:r>
      <w:r>
        <w:t>copyright, or facilitating the infringement of copyright</w:t>
      </w:r>
      <w:r w:rsidRPr="001F753C">
        <w:t xml:space="preserve">. The power will only apply to websites outside Australia as rights holders are not prevented from taking direct action against websites operated </w:t>
      </w:r>
      <w:r w:rsidRPr="001F753C">
        <w:rPr>
          <w:i/>
        </w:rPr>
        <w:t>within</w:t>
      </w:r>
      <w:r w:rsidRPr="001F753C">
        <w:t xml:space="preserve"> Australia.</w:t>
      </w:r>
      <w:r>
        <w:t xml:space="preserve"> The Bill has been referred to the Senate Legal and Constitutional Affairs Legislation Committee for consideration. </w:t>
      </w:r>
    </w:p>
    <w:p w:rsidR="00AC2131" w:rsidRDefault="00AC2131" w:rsidP="00AC2131">
      <w:pPr>
        <w:pStyle w:val="BodyText"/>
      </w:pPr>
      <w:r>
        <w:t>In light of these regulatory changes, an issue that has arisen is whether it is illegal for Australian consumers to access overseas based subscription services, such as Netflix, by bypassing geo-blocking restrictions, either by using a Virtual Private Network (VPN) or by re-routing their internet connection through an overseas-based Domain Name Server (DNS) (box 6.1). The legality issue has several dimensions: the position of the Australian consumer; the overseas content provider and internet service providers; and Australian or overseas law. In response, the Minister for Communications has stated:</w:t>
      </w:r>
    </w:p>
    <w:p w:rsidR="00AC2131" w:rsidRDefault="00AC2131" w:rsidP="00AC2131">
      <w:pPr>
        <w:pStyle w:val="Quote"/>
      </w:pPr>
      <w:r w:rsidRPr="00697BB3">
        <w:t>The Copyright Act does not make it illegal to use a</w:t>
      </w:r>
      <w:r>
        <w:t xml:space="preserve"> VPN to access overseas content. </w:t>
      </w:r>
      <w:r w:rsidRPr="00697BB3">
        <w:t xml:space="preserve">While content providers often have in place international commercial arrangements to protect copyright in different countries or regions, which can result in ‘geoblocking’, circumventing this is not </w:t>
      </w:r>
      <w:r>
        <w:t>illegal under the Copyright Act (Turnbull 2015).</w:t>
      </w:r>
    </w:p>
    <w:p w:rsidR="00AC2131" w:rsidRDefault="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6.</w:t>
            </w:r>
            <w:r>
              <w:rPr>
                <w:b w:val="0"/>
                <w:noProof/>
              </w:rPr>
              <w:t>1</w:t>
            </w:r>
            <w:r>
              <w:tab/>
              <w:t>Overseas-based online content services: legality and local competitors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rsidRPr="00697BB3">
              <w:t>Many Australians use a V</w:t>
            </w:r>
            <w:r>
              <w:t xml:space="preserve">irtual Private Network (VPN) </w:t>
            </w:r>
            <w:r w:rsidRPr="00697BB3">
              <w:t xml:space="preserve">to </w:t>
            </w:r>
            <w:r>
              <w:t>subscribe to overseas based online content services</w:t>
            </w:r>
            <w:r w:rsidRPr="00697BB3">
              <w:t>.</w:t>
            </w:r>
            <w:r>
              <w:t xml:space="preserve"> For instance, Netflix, Hulu and Amazon all offer online content services to US residents. </w:t>
            </w:r>
            <w:r w:rsidRPr="00577AA5">
              <w:t>While these services are not marketed directly to Australians, consumers bypass geo</w:t>
            </w:r>
            <w:r>
              <w:t>-</w:t>
            </w:r>
            <w:r w:rsidRPr="00577AA5">
              <w:t xml:space="preserve">blocking restrictions by using a Virtual Private Network </w:t>
            </w:r>
            <w:r>
              <w:t xml:space="preserve">(VPN) </w:t>
            </w:r>
            <w:r w:rsidRPr="00577AA5">
              <w:t>or by rerouting their internet connection through an overseas-based Domain Name Server.</w:t>
            </w:r>
            <w:r>
              <w:t xml:space="preserve"> (DNS).</w:t>
            </w:r>
            <w:r w:rsidRPr="00577AA5">
              <w:t xml:space="preserve"> </w:t>
            </w:r>
          </w:p>
          <w:p w:rsidR="00AC2131" w:rsidRDefault="00AC2131" w:rsidP="00AC2131">
            <w:pPr>
              <w:pStyle w:val="BoxHeading1"/>
            </w:pPr>
            <w:r>
              <w:t>Legality of transactions with overseas based content providers</w:t>
            </w:r>
          </w:p>
          <w:p w:rsidR="00AC2131" w:rsidRDefault="00AC2131" w:rsidP="00AC2131">
            <w:pPr>
              <w:pStyle w:val="Box"/>
            </w:pPr>
            <w:r>
              <w:t xml:space="preserve">The legality of these transactions has been a contentious issue. However, when posing the question of legality it is often not made clear whether it is a question of the legal position of the Australian consumer or the overseas provider (or even domestic internet service providers). Nor is it made clear whether the legality is questioned in the context of whether there is an Australian-use copyright license, held by the overseas content provider, or by a competing Australian content provider, or no Australian geographic license at all. Finally, when questioning legality it needs to be clarified whether it is legal under Australian or overseas law. </w:t>
            </w:r>
          </w:p>
          <w:p w:rsidR="00AC2131" w:rsidRPr="0018679A" w:rsidRDefault="00AC2131" w:rsidP="00AC2131">
            <w:pPr>
              <w:pStyle w:val="Box"/>
            </w:pPr>
            <w:r>
              <w:t xml:space="preserve">The Minister for Communications indicated that this practice is not illegal under existing Australian copyright law (Turnbull 2014a). </w:t>
            </w:r>
            <w:r w:rsidRPr="0018679A">
              <w:t xml:space="preserve">The Terms and Conditions of one overseas service provider (Hulu) in 2012 warns that consumers of Hulu’s product are prohibited to use technologies to access material from territories for which the provider (Hulu) does not have rights or does not offer services’ </w:t>
            </w:r>
            <w:r>
              <w:t>(ACMA </w:t>
            </w:r>
            <w:r w:rsidRPr="0018679A">
              <w:t>2012).</w:t>
            </w:r>
            <w:r>
              <w:t xml:space="preserve"> The Australian Copyright Council, amongst other things, has pointed out that the use of virtual private networks to circumvent local copyright licensing arrangements may infringe copyright (Australian Copyright Council 2015).</w:t>
            </w:r>
          </w:p>
          <w:p w:rsidR="00AC2131" w:rsidRPr="0018679A" w:rsidRDefault="00AC2131" w:rsidP="00AC2131">
            <w:pPr>
              <w:pStyle w:val="BoxHeading1"/>
            </w:pPr>
            <w:r w:rsidRPr="0018679A">
              <w:t>Competition in the Australian market for online video content</w:t>
            </w:r>
          </w:p>
          <w:p w:rsidR="00AC2131" w:rsidRPr="00FC7A5F" w:rsidRDefault="00AC2131" w:rsidP="00AC2131">
            <w:pPr>
              <w:pStyle w:val="Box"/>
              <w:spacing w:line="240" w:lineRule="atLeast"/>
              <w:rPr>
                <w:i/>
              </w:rPr>
            </w:pPr>
            <w:r w:rsidRPr="0018679A">
              <w:t>Research conducted by the Australian Communications and Media Authority (ACMA) indicates that take-up of these services is already</w:t>
            </w:r>
            <w:r>
              <w:t xml:space="preserve"> substantial</w:t>
            </w:r>
            <w:r w:rsidRPr="0018679A">
              <w:t xml:space="preserve">. </w:t>
            </w:r>
            <w:r>
              <w:t>A</w:t>
            </w:r>
            <w:r w:rsidRPr="0018679A">
              <w:t>ccording to recent reports, the US-based Netflix service alone has somewhere between 200 000 and 340 000 Australian subscribers, and as many as 680 000 Australian households may be accessing overseas-based video content services at November</w:t>
            </w:r>
            <w:r>
              <w:t> </w:t>
            </w:r>
            <w:r w:rsidRPr="0018679A">
              <w:t>2014</w:t>
            </w:r>
            <w:r>
              <w:t xml:space="preserve"> (ACMA 2015)</w:t>
            </w:r>
            <w:r w:rsidRPr="0018679A">
              <w:t>.</w:t>
            </w:r>
            <w:r>
              <w:t xml:space="preserve"> The active subscriber rates are, however, considered uncertain (Department of Communications, pers. comm., 18 May 2015). </w:t>
            </w:r>
          </w:p>
          <w:p w:rsidR="00AC2131" w:rsidRPr="0018679A" w:rsidRDefault="00AC2131" w:rsidP="00AC2131">
            <w:pPr>
              <w:pStyle w:val="Box"/>
              <w:spacing w:line="240" w:lineRule="atLeast"/>
            </w:pPr>
            <w:r w:rsidRPr="0018679A">
              <w:t>The product available from overseas based online content services competes with similar Australian based services, such as Qui</w:t>
            </w:r>
            <w:r w:rsidR="00934C1B">
              <w:t>c</w:t>
            </w:r>
            <w:r w:rsidRPr="0018679A">
              <w:t>kflix and EzyFliz. Paying customers of Quickflix reached 122</w:t>
            </w:r>
            <w:r>
              <w:t xml:space="preserve"> </w:t>
            </w:r>
            <w:r w:rsidRPr="0018679A">
              <w:t>862 in June 2014 — an increase of 7221 (six per cent) since June 2012. (</w:t>
            </w:r>
            <w:r>
              <w:t>ACMA </w:t>
            </w:r>
            <w:r w:rsidRPr="0018679A">
              <w:t xml:space="preserve">2015). </w:t>
            </w:r>
          </w:p>
          <w:p w:rsidR="00AC2131" w:rsidRPr="0018679A" w:rsidRDefault="00AC2131" w:rsidP="00AC2131">
            <w:pPr>
              <w:pStyle w:val="Box"/>
              <w:spacing w:line="240" w:lineRule="atLeast"/>
            </w:pPr>
            <w:r w:rsidRPr="0018679A">
              <w:t>Overseas content suppliers also compete with other locally accessed substitutable product providers, such as free-to-air broadcasters, subscription broadcasters (for example, Foxtel, Stan and Presto), internet service</w:t>
            </w:r>
            <w:r>
              <w:t>-</w:t>
            </w:r>
            <w:r w:rsidRPr="0018679A">
              <w:t xml:space="preserve">provider services (for example, BigPond Movies and Fetch TV), and consumer electronic device companies services (for example, </w:t>
            </w:r>
            <w:r>
              <w:t>i</w:t>
            </w:r>
            <w:r w:rsidRPr="0018679A">
              <w:t>Tu</w:t>
            </w:r>
            <w:r>
              <w:t>n</w:t>
            </w:r>
            <w:r w:rsidRPr="0018679A">
              <w:t>es, Google Play, and PlayStation).</w:t>
            </w:r>
          </w:p>
          <w:p w:rsidR="00AC2131" w:rsidRPr="00577AA5" w:rsidRDefault="00AC2131" w:rsidP="00AC2131">
            <w:pPr>
              <w:pStyle w:val="Box"/>
              <w:spacing w:line="240" w:lineRule="atLeast"/>
            </w:pPr>
            <w:r w:rsidRPr="0018679A">
              <w:t>Netflix launch</w:t>
            </w:r>
            <w:r>
              <w:t>ed its</w:t>
            </w:r>
            <w:r w:rsidRPr="0018679A">
              <w:t xml:space="preserve"> Australian service in March 2015. An issue is whether existing Australian subscribers to the United States based service will switch to the Australian version. This will depend upon the price and quality of the Australian library. International price differences (discrimination) for the ‘same’ product have been addressed in the Harper </w:t>
            </w:r>
            <w:r>
              <w:t>r</w:t>
            </w:r>
            <w:r w:rsidRPr="0018679A">
              <w:t xml:space="preserve">eview of Competition Policy and the House of Representatives Standing Committee on Infrastructure and Communications Inquiry into IT Pricing. Generally, these reviews made recommendations intended to reduce geographic price discrimination. </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lastRenderedPageBreak/>
        <w:t xml:space="preserve">The legality position has implications for local competition and protection. Overseas content suppliers compete in Australia with similar local online content providers and substitutable products such as free-to-air and subscription broadcasting content. Subscriptions to overseas based content providers may reduce domestic demand for local content providers. </w:t>
      </w:r>
    </w:p>
    <w:p w:rsidR="00AC2131" w:rsidRDefault="00AC2131" w:rsidP="00AC2131">
      <w:pPr>
        <w:pStyle w:val="BodyText"/>
      </w:pPr>
      <w:r>
        <w:t xml:space="preserve">Another competition issue that has arisen is that some recently established local content providers have acquired Australian-use licenses for content for which overseas based providers only have a US licence. Australian consumers may be able to pay less for the content (and even access it earlier) by continuing to subscribe to overseas based content providers. This scenario is broadly analogous (from an economic perspective) to the case of ‘parallel importation of goods’. </w:t>
      </w:r>
      <w:r w:rsidRPr="00677824">
        <w:t xml:space="preserve">Parallel importing refers to the importation into Australia of genuine goods </w:t>
      </w:r>
      <w:r>
        <w:t xml:space="preserve">(as opposed to digital material) </w:t>
      </w:r>
      <w:r w:rsidRPr="00677824">
        <w:t>by someone other than the licensed or authorised distributor or manufacturer in Australia.</w:t>
      </w:r>
      <w:r>
        <w:t xml:space="preserve"> The Harper review of Competition Policy (below) recommended that remaining restrictions on parallel imports be reviewed, with the intention of removing them unless shown to be in the national interest.</w:t>
      </w:r>
      <w:r>
        <w:rPr>
          <w:rStyle w:val="FootnoteReference"/>
        </w:rPr>
        <w:footnoteReference w:id="52"/>
      </w:r>
      <w:r>
        <w:t xml:space="preserve"> The Review Panel noted that the July 2013 report of the House of Representatives Standing Committee on Infrastructure and Communications into IT pricing in Australia had also recommended the removal of restrictions on parallel imports. </w:t>
      </w:r>
    </w:p>
    <w:p w:rsidR="00AC2131" w:rsidRDefault="00AC2131" w:rsidP="00AC2131">
      <w:pPr>
        <w:pStyle w:val="Heading2"/>
      </w:pPr>
      <w:r>
        <w:t>6.</w:t>
      </w:r>
      <w:r>
        <w:rPr>
          <w:noProof/>
        </w:rPr>
        <w:t>7</w:t>
      </w:r>
      <w:r>
        <w:tab/>
      </w:r>
      <w:r w:rsidRPr="00ED78EF">
        <w:t>Other industry assistance developments</w:t>
      </w:r>
    </w:p>
    <w:p w:rsidR="00AC2131" w:rsidRDefault="00AC2131" w:rsidP="00AC2131">
      <w:pPr>
        <w:pStyle w:val="Heading3"/>
      </w:pPr>
      <w:r>
        <w:t>Export Market Development Grants</w:t>
      </w:r>
    </w:p>
    <w:p w:rsidR="00AC2131" w:rsidRPr="00B57F9F" w:rsidRDefault="00AC2131" w:rsidP="00AC2131">
      <w:pPr>
        <w:pStyle w:val="BodyText"/>
      </w:pPr>
      <w:r w:rsidRPr="00B57F9F">
        <w:t>The EMDG scheme, established in 1974, is intended to encourage small and medium sized Australian businesses to develop export markets, by reimbursing up to 50 per cent of eligible export promotion expenses. The maximum grant value is $150 000. The total value of grants paid in the 2013</w:t>
      </w:r>
      <w:r w:rsidRPr="00B57F9F">
        <w:noBreakHyphen/>
        <w:t>14 financial year was $113.6 million.</w:t>
      </w:r>
    </w:p>
    <w:p w:rsidR="00AC2131" w:rsidRPr="000301FB" w:rsidRDefault="00AC2131" w:rsidP="00AC2131">
      <w:pPr>
        <w:pStyle w:val="BodyText"/>
        <w:rPr>
          <w:spacing w:val="-4"/>
        </w:rPr>
      </w:pPr>
      <w:r w:rsidRPr="000301FB">
        <w:rPr>
          <w:spacing w:val="-4"/>
        </w:rPr>
        <w:t>In March 2014, the Australian Government announced that an increase in funding for the EMDG scheme of $50 million over four years. (Robb and Billson 2014). At the same time, the Government increased the maximum number of grants any one applicant may receive from seven to eight and reduced the minimum expenditure threshold from $20 000 to $15 000.</w:t>
      </w:r>
    </w:p>
    <w:p w:rsidR="00AC2131" w:rsidRPr="00B57F9F" w:rsidRDefault="00AC2131" w:rsidP="00AC2131">
      <w:pPr>
        <w:pStyle w:val="BodyText"/>
      </w:pPr>
      <w:r w:rsidRPr="00B57F9F">
        <w:t>In December 2014, the Australian Government announced the mandatory review of the EMDG scheme was to commence and would be completed by 30 June 2015 (Robb 2014</w:t>
      </w:r>
      <w:r>
        <w:t>d</w:t>
      </w:r>
      <w:r w:rsidRPr="00B57F9F">
        <w:t xml:space="preserve">). </w:t>
      </w:r>
      <w:r w:rsidRPr="00B57F9F">
        <w:lastRenderedPageBreak/>
        <w:t xml:space="preserve">The Report is to be tabled within 15 parliamentary sitting days of the Minister receiving it. Mr Michael Lee, the former CEO of Zip Industries, was announced as the Reviewer. The Terms of Reference, amongst other things, requires the reviewer to ascertain whether the EMDG scheme, as currently structured, is effective. The Review will take into consideration existing Austrade and Australian Bureau of Statistics research information, including, Austrade’s annual client satisfaction survey and client feedback data, previous EMDG reviews and a literature review of firms’ export promotional activities and their effects. Related research, including a survey of EMDG recipients and a control group of non-EMDG recipients will inform an economic impact (econometric) study which builds on similar work carried out in 2008 and 2009 (Austrade 2015). </w:t>
      </w:r>
    </w:p>
    <w:p w:rsidR="00AC2131" w:rsidRDefault="00AC2131" w:rsidP="00AC2131">
      <w:pPr>
        <w:pStyle w:val="Heading3"/>
      </w:pPr>
      <w:r>
        <w:t>Government procurement of Antarctic icebreaker vessel</w:t>
      </w:r>
    </w:p>
    <w:p w:rsidR="00AC2131" w:rsidRDefault="00AC2131" w:rsidP="00AC2131">
      <w:pPr>
        <w:pStyle w:val="BodyText"/>
        <w:rPr>
          <w:szCs w:val="24"/>
        </w:rPr>
      </w:pPr>
      <w:r>
        <w:t xml:space="preserve">In May 2014, the Australian Government announced two companies had been shortlisted to build a new Antarctic icebreaker </w:t>
      </w:r>
      <w:r w:rsidRPr="00A01A7A">
        <w:rPr>
          <w:szCs w:val="24"/>
        </w:rPr>
        <w:t>(Hunt 2014)</w:t>
      </w:r>
      <w:r>
        <w:t xml:space="preserve">. </w:t>
      </w:r>
      <w:r w:rsidRPr="00456657">
        <w:rPr>
          <w:szCs w:val="24"/>
        </w:rPr>
        <w:t xml:space="preserve">In the next stage of procurement, </w:t>
      </w:r>
      <w:r>
        <w:rPr>
          <w:szCs w:val="24"/>
        </w:rPr>
        <w:t xml:space="preserve">a Request for Tender (RFT) was issued in July 2014 and the two companies were invited to submit Tenders that must include </w:t>
      </w:r>
      <w:r w:rsidRPr="00947EDE">
        <w:rPr>
          <w:szCs w:val="24"/>
        </w:rPr>
        <w:t xml:space="preserve">an </w:t>
      </w:r>
      <w:r>
        <w:rPr>
          <w:szCs w:val="24"/>
        </w:rPr>
        <w:t xml:space="preserve">approved </w:t>
      </w:r>
      <w:r w:rsidRPr="00947EDE">
        <w:rPr>
          <w:szCs w:val="24"/>
        </w:rPr>
        <w:t xml:space="preserve">Australian Industry Participation plan to ensure the highest possible input from Australian businesses. </w:t>
      </w:r>
    </w:p>
    <w:p w:rsidR="00AC2131" w:rsidRDefault="00AC2131" w:rsidP="00AC2131">
      <w:pPr>
        <w:pStyle w:val="BodyText"/>
      </w:pPr>
      <w:r>
        <w:rPr>
          <w:szCs w:val="24"/>
        </w:rPr>
        <w:t>The</w:t>
      </w:r>
      <w:r w:rsidRPr="00456657">
        <w:rPr>
          <w:szCs w:val="24"/>
        </w:rPr>
        <w:t xml:space="preserve"> RFT closed </w:t>
      </w:r>
      <w:r>
        <w:rPr>
          <w:szCs w:val="24"/>
        </w:rPr>
        <w:t>in</w:t>
      </w:r>
      <w:r w:rsidRPr="00456657">
        <w:rPr>
          <w:szCs w:val="24"/>
        </w:rPr>
        <w:t xml:space="preserve"> March</w:t>
      </w:r>
      <w:r>
        <w:rPr>
          <w:szCs w:val="24"/>
        </w:rPr>
        <w:t> </w:t>
      </w:r>
      <w:r w:rsidRPr="00456657">
        <w:rPr>
          <w:szCs w:val="24"/>
        </w:rPr>
        <w:t>2015</w:t>
      </w:r>
      <w:r>
        <w:rPr>
          <w:szCs w:val="24"/>
        </w:rPr>
        <w:t xml:space="preserve"> and an</w:t>
      </w:r>
      <w:r w:rsidRPr="00456657">
        <w:rPr>
          <w:szCs w:val="24"/>
        </w:rPr>
        <w:t xml:space="preserve"> evaluation process is being conducted to </w:t>
      </w:r>
      <w:r w:rsidRPr="007C780E">
        <w:rPr>
          <w:color w:val="333333"/>
          <w:szCs w:val="24"/>
        </w:rPr>
        <w:t xml:space="preserve">determine whether the </w:t>
      </w:r>
      <w:r>
        <w:rPr>
          <w:color w:val="333333"/>
          <w:szCs w:val="24"/>
        </w:rPr>
        <w:t xml:space="preserve">single </w:t>
      </w:r>
      <w:r w:rsidRPr="007C780E">
        <w:rPr>
          <w:color w:val="333333"/>
          <w:szCs w:val="24"/>
        </w:rPr>
        <w:t xml:space="preserve">Tender </w:t>
      </w:r>
      <w:r w:rsidRPr="00456657">
        <w:rPr>
          <w:szCs w:val="24"/>
        </w:rPr>
        <w:t>submitted by DMS Maritime Pty Ltd</w:t>
      </w:r>
      <w:r w:rsidRPr="007C780E">
        <w:rPr>
          <w:color w:val="333333"/>
          <w:szCs w:val="24"/>
        </w:rPr>
        <w:t xml:space="preserve"> represents appropriate value for money. The Australian Government expects to make a final decision on the new icebreaker in late 2015</w:t>
      </w:r>
      <w:r w:rsidRPr="007C780E">
        <w:rPr>
          <w:rFonts w:ascii="Verdana" w:hAnsi="Verdana"/>
          <w:color w:val="333333"/>
          <w:szCs w:val="24"/>
        </w:rPr>
        <w:t>.</w:t>
      </w:r>
      <w:r w:rsidRPr="00456657">
        <w:rPr>
          <w:szCs w:val="24"/>
        </w:rPr>
        <w:t xml:space="preserve"> </w:t>
      </w:r>
    </w:p>
    <w:p w:rsidR="00AC2131" w:rsidRDefault="00AC2131" w:rsidP="00AC2131">
      <w:pPr>
        <w:pStyle w:val="BodyText"/>
      </w:pPr>
      <w:r>
        <w:t>While the 2014</w:t>
      </w:r>
      <w:r>
        <w:noBreakHyphen/>
        <w:t xml:space="preserve">15 Portfolio Budget Statement for the Department of the Environment does not separately identify an estimated cost for the new ice-breaker, the project has been described as the largest investment in Antarctica in Australian history. </w:t>
      </w:r>
    </w:p>
    <w:p w:rsidR="00AC2131" w:rsidRDefault="00AC2131" w:rsidP="00AC2131">
      <w:pPr>
        <w:pStyle w:val="Heading3"/>
      </w:pPr>
      <w:r>
        <w:t>Tax treatment of employee share schemes</w:t>
      </w:r>
    </w:p>
    <w:p w:rsidR="00AC2131" w:rsidRDefault="00AC2131" w:rsidP="00AC2131">
      <w:pPr>
        <w:pStyle w:val="BodyText"/>
      </w:pPr>
      <w:r>
        <w:t>Employee Share Schemes (ESSs) refer to arrangements where an employer provides a financial interest in their company (usually through shares or options) to their employee(s) as a form of ‘aligned income’ for their employment. Under general income tax law, any discount that the employee is provided in acquiring the shares or options, relative to the assessed market price, would usually be considered income of the employee. The ability to confer higher remuneration on staff through discounted shares would constitute a pecuniary benefit (assistance) to business afforded the scheme.</w:t>
      </w:r>
    </w:p>
    <w:p w:rsidR="00AC2131" w:rsidRDefault="00AC2131" w:rsidP="00AC2131">
      <w:pPr>
        <w:pStyle w:val="BodyText"/>
      </w:pPr>
      <w:r>
        <w:t>Before 2009 there were tax rules that acted to reduce the taxation of ESSs. In 2009, the rules were changed which had the effect of employees paying tax on share options conferred without charge, before the options were converted to shares and before the receipt of a return from selling the shares. This was considered to be an impediment to business, particularly for start-up businesses, as it reduced the effectiveness of ESSs as a remuneration tool to attract talented staff (Australian Government 2014b).</w:t>
      </w:r>
    </w:p>
    <w:p w:rsidR="00AC2131" w:rsidRDefault="00AC2131" w:rsidP="00AC2131">
      <w:pPr>
        <w:pStyle w:val="BodyText"/>
      </w:pPr>
      <w:r>
        <w:lastRenderedPageBreak/>
        <w:t>In</w:t>
      </w:r>
      <w:r w:rsidRPr="009D0EE5">
        <w:t xml:space="preserve"> October</w:t>
      </w:r>
      <w:r>
        <w:t> </w:t>
      </w:r>
      <w:r w:rsidRPr="009D0EE5">
        <w:t>2014</w:t>
      </w:r>
      <w:r>
        <w:t xml:space="preserve">, the Australian Government announced the following changes to the </w:t>
      </w:r>
      <w:r w:rsidRPr="009D0EE5">
        <w:t>tax trea</w:t>
      </w:r>
      <w:r>
        <w:t xml:space="preserve">tment of employee share schemes </w:t>
      </w:r>
      <w:r w:rsidRPr="00791161">
        <w:rPr>
          <w:szCs w:val="24"/>
        </w:rPr>
        <w:t>(Abbott, Hockey and Billson 2014)</w:t>
      </w:r>
      <w:r>
        <w:t>:</w:t>
      </w:r>
    </w:p>
    <w:p w:rsidR="00AC2131" w:rsidRDefault="00AC2131" w:rsidP="00AC2131">
      <w:pPr>
        <w:pStyle w:val="ListBullet"/>
      </w:pPr>
      <w:r>
        <w:t>options will be taxed when they are converted to shares rather than at the time that they are allocated to employees;</w:t>
      </w:r>
    </w:p>
    <w:p w:rsidR="00AC2131" w:rsidRDefault="00AC2131" w:rsidP="00AC2131">
      <w:pPr>
        <w:pStyle w:val="ListBullet"/>
      </w:pPr>
      <w:r>
        <w:t>shares provided to employees by small start-up companies will not be subject to up front taxation as long as they are held for at least three years; and</w:t>
      </w:r>
    </w:p>
    <w:p w:rsidR="00AC2131" w:rsidRDefault="00AC2131" w:rsidP="00AC2131">
      <w:pPr>
        <w:pStyle w:val="ListBullet"/>
      </w:pPr>
      <w:r>
        <w:t>the maximum time for tax deferral will be extended from seven years to fifteen years.</w:t>
      </w:r>
    </w:p>
    <w:p w:rsidR="00AC2131" w:rsidRDefault="00AC2131" w:rsidP="00AC2131">
      <w:pPr>
        <w:pStyle w:val="BodyText"/>
      </w:pPr>
      <w:r w:rsidRPr="009D0EE5">
        <w:t xml:space="preserve">Legislation </w:t>
      </w:r>
      <w:r>
        <w:t xml:space="preserve">is </w:t>
      </w:r>
      <w:r w:rsidRPr="009D0EE5">
        <w:t xml:space="preserve">proposed to come into effect </w:t>
      </w:r>
      <w:r>
        <w:t>on 1 July 2015</w:t>
      </w:r>
      <w:r w:rsidRPr="009D0EE5">
        <w:t>.</w:t>
      </w:r>
      <w:r>
        <w:t xml:space="preserve"> The government estimates</w:t>
      </w:r>
      <w:r w:rsidRPr="009D0EE5">
        <w:t xml:space="preserve"> </w:t>
      </w:r>
      <w:r>
        <w:t>these changes will</w:t>
      </w:r>
      <w:r w:rsidRPr="009D0EE5">
        <w:t xml:space="preserve"> </w:t>
      </w:r>
      <w:r>
        <w:t xml:space="preserve">reduce taxation revenues by </w:t>
      </w:r>
      <w:r w:rsidRPr="009D0EE5">
        <w:t>around $200</w:t>
      </w:r>
      <w:r>
        <w:t> </w:t>
      </w:r>
      <w:r w:rsidRPr="009D0EE5">
        <w:t>million over four years</w:t>
      </w:r>
      <w:r>
        <w:t>. The value of the total tax concession under the current ESS arrangements is not quantified by Treasury in the annual Tax Expenditures Statement, however, it provides an indicative estimate of between $100 million and $1 000 million.</w:t>
      </w:r>
      <w:r w:rsidRPr="009D0EE5">
        <w:t xml:space="preserve"> </w:t>
      </w:r>
    </w:p>
    <w:p w:rsidR="00AC2131" w:rsidRDefault="00AC2131" w:rsidP="00AC2131">
      <w:pPr>
        <w:pStyle w:val="Heading3"/>
      </w:pPr>
      <w:r>
        <w:t>ANAO audit of the Biodiversity Fund program</w:t>
      </w:r>
    </w:p>
    <w:p w:rsidR="00AC2131" w:rsidRDefault="00AC2131" w:rsidP="00AC2131">
      <w:pPr>
        <w:pStyle w:val="BodyText"/>
        <w:rPr>
          <w:lang w:val="en"/>
        </w:rPr>
      </w:pPr>
      <w:r>
        <w:t xml:space="preserve">In December 2014, Australian National Audit Office’s report of the administration of the Biodiversity Fund Program was tabled </w:t>
      </w:r>
      <w:r w:rsidRPr="00EE57A6">
        <w:rPr>
          <w:szCs w:val="24"/>
        </w:rPr>
        <w:t>(ANAO 2014)</w:t>
      </w:r>
      <w:r>
        <w:t xml:space="preserve">. </w:t>
      </w:r>
    </w:p>
    <w:p w:rsidR="00AC2131" w:rsidRDefault="00AC2131" w:rsidP="00AC2131">
      <w:pPr>
        <w:pStyle w:val="BodyText"/>
        <w:rPr>
          <w:lang w:val="en"/>
        </w:rPr>
      </w:pPr>
      <w:r>
        <w:rPr>
          <w:lang w:val="en"/>
        </w:rPr>
        <w:t>The Biodiversity Fund Program was announced in July 2011 as part of the ‘Clean Energy Future’ package. It was established as a competitive, merit-based grants scheme, intended to assist land managers to store carbon, enhance biodiversity and build greater environmental resilience across the Australian landscape. It provides support for the establishment of native vegetation or better management of existing native vegetation.</w:t>
      </w:r>
    </w:p>
    <w:p w:rsidR="00AC2131" w:rsidRDefault="00AC2131" w:rsidP="00AC2131">
      <w:pPr>
        <w:pStyle w:val="BodyText"/>
        <w:rPr>
          <w:lang w:val="en"/>
        </w:rPr>
      </w:pPr>
      <w:r>
        <w:rPr>
          <w:lang w:val="en"/>
        </w:rPr>
        <w:t>The initial budget allocation was $946.2 million over six years from 2011</w:t>
      </w:r>
      <w:r>
        <w:rPr>
          <w:lang w:val="en"/>
        </w:rPr>
        <w:noBreakHyphen/>
        <w:t>12 to 2016</w:t>
      </w:r>
      <w:r>
        <w:rPr>
          <w:lang w:val="en"/>
        </w:rPr>
        <w:noBreakHyphen/>
        <w:t>17. In the 2013</w:t>
      </w:r>
      <w:r>
        <w:rPr>
          <w:lang w:val="en"/>
        </w:rPr>
        <w:noBreakHyphen/>
        <w:t>14 Federal Budget, overall funding was reduced by $32.3 million and re-phased $225.4 million to 2017</w:t>
      </w:r>
      <w:r>
        <w:rPr>
          <w:lang w:val="en"/>
        </w:rPr>
        <w:noBreakHyphen/>
        <w:t>18 and 2018</w:t>
      </w:r>
      <w:r>
        <w:rPr>
          <w:lang w:val="en"/>
        </w:rPr>
        <w:noBreakHyphen/>
      </w:r>
      <w:r w:rsidRPr="002177CF">
        <w:rPr>
          <w:lang w:val="en"/>
        </w:rPr>
        <w:t>19</w:t>
      </w:r>
      <w:r>
        <w:rPr>
          <w:lang w:val="en"/>
        </w:rPr>
        <w:t>.</w:t>
      </w:r>
    </w:p>
    <w:p w:rsidR="00AC2131" w:rsidRDefault="00AC2131" w:rsidP="00AC2131">
      <w:pPr>
        <w:pStyle w:val="BodyText"/>
        <w:rPr>
          <w:lang w:val="en"/>
        </w:rPr>
      </w:pPr>
      <w:r>
        <w:rPr>
          <w:lang w:val="en"/>
        </w:rPr>
        <w:t>In December 2013 the Government decided there would be no more funding rounds and the fund would be closed, returning all uncommitted funds to budget. This also resulted in the programme termination date of 30 June 2018. At closure, 361 projects worth $350.5 million will have been funded between 2011</w:t>
      </w:r>
      <w:r>
        <w:rPr>
          <w:lang w:val="en"/>
        </w:rPr>
        <w:noBreakHyphen/>
        <w:t>12 to 2017</w:t>
      </w:r>
      <w:r>
        <w:rPr>
          <w:lang w:val="en"/>
        </w:rPr>
        <w:noBreakHyphen/>
        <w:t>18.</w:t>
      </w:r>
    </w:p>
    <w:p w:rsidR="00AC2131" w:rsidRPr="00C90389" w:rsidRDefault="00AC2131" w:rsidP="00AC2131">
      <w:pPr>
        <w:pStyle w:val="BodyText"/>
      </w:pPr>
      <w:r w:rsidRPr="00C90389">
        <w:t>In addition to the grants selected through the competitive merit</w:t>
      </w:r>
      <w:r w:rsidRPr="00C90389">
        <w:rPr>
          <w:rFonts w:ascii="Cambria Math" w:hAnsi="Cambria Math" w:cs="Cambria Math"/>
        </w:rPr>
        <w:t>‐</w:t>
      </w:r>
      <w:r w:rsidRPr="00C90389">
        <w:t>based</w:t>
      </w:r>
      <w:r>
        <w:t xml:space="preserve"> </w:t>
      </w:r>
      <w:r w:rsidRPr="00C90389">
        <w:t>assessment process, there were an additional four discretionary grants awarded</w:t>
      </w:r>
      <w:r>
        <w:t xml:space="preserve"> </w:t>
      </w:r>
      <w:r w:rsidRPr="00C90389">
        <w:t>under the Biodiversity Fund program, with a total value of $7.6</w:t>
      </w:r>
      <w:r>
        <w:t> </w:t>
      </w:r>
      <w:r w:rsidRPr="00C90389">
        <w:t>million</w:t>
      </w:r>
      <w:r>
        <w:t xml:space="preserve"> </w:t>
      </w:r>
      <w:r w:rsidRPr="00C90389">
        <w:t>(ranging from $176 000 to $6</w:t>
      </w:r>
      <w:r>
        <w:t> </w:t>
      </w:r>
      <w:r w:rsidRPr="00C90389">
        <w:t>million)</w:t>
      </w:r>
      <w:r>
        <w:t>.</w:t>
      </w:r>
    </w:p>
    <w:p w:rsidR="00AC2131" w:rsidRDefault="00AC2131" w:rsidP="00AC2131">
      <w:pPr>
        <w:pStyle w:val="BodyText"/>
      </w:pPr>
      <w:r>
        <w:t xml:space="preserve">The ANAO audit found that, in the main, the Department of the Environment established suitable arrangements for the administration of the Biodiversity Fund program, including: a governance framework that provided appropriate visibility of program delivery to departmental management; generally sound processes and procedures to underpin the complex grant assessment process; and funding agreements and management arrangements </w:t>
      </w:r>
      <w:r>
        <w:lastRenderedPageBreak/>
        <w:t>with grant recipients that, in general, supported the delivery of funded projects while protecting the Commonwealth’s interested.</w:t>
      </w:r>
    </w:p>
    <w:p w:rsidR="00AC2131" w:rsidRDefault="00AC2131" w:rsidP="00AC2131">
      <w:pPr>
        <w:pStyle w:val="BodyText"/>
        <w:rPr>
          <w:rFonts w:ascii="Trebuchet MS" w:hAnsi="Trebuchet MS"/>
          <w:color w:val="333333"/>
          <w:sz w:val="20"/>
        </w:rPr>
      </w:pPr>
      <w:r>
        <w:t>There were, however, some shortcomings in aspects of the Department of the Environment’s administration of the program, relating to assessment of eligibility criteria and the compliance strategy. In addition, the audit found tha</w:t>
      </w:r>
      <w:r w:rsidRPr="00AB6071">
        <w:t xml:space="preserve">t the availability of discretionary grant funding as an element of the program alongside the delivery of competitive, merit-based funding rounds increased the risks </w:t>
      </w:r>
      <w:r>
        <w:t>of the in</w:t>
      </w:r>
      <w:r w:rsidRPr="00AB6071">
        <w:t>equitable treatment of applicants, as not all applicants for program funding were assessed using common criteria.</w:t>
      </w:r>
      <w:r>
        <w:rPr>
          <w:rFonts w:ascii="Trebuchet MS" w:hAnsi="Trebuchet MS"/>
          <w:color w:val="333333"/>
          <w:sz w:val="20"/>
        </w:rPr>
        <w:t xml:space="preserve"> </w:t>
      </w:r>
    </w:p>
    <w:p w:rsidR="00AC2131" w:rsidRDefault="00AC2131" w:rsidP="00AC2131">
      <w:pPr>
        <w:pStyle w:val="Heading3"/>
      </w:pPr>
      <w:r>
        <w:t>Exploration Development Incentive</w:t>
      </w:r>
    </w:p>
    <w:p w:rsidR="00AC2131" w:rsidRDefault="00AC2131" w:rsidP="00AC2131">
      <w:pPr>
        <w:pStyle w:val="BodyText"/>
      </w:pPr>
      <w:r>
        <w:t>In March 2015, legislation was passed, giving effect to the announcement in the May 2014 Budget, of a tax incentive to encourage investment in small exploration companies undertaking greenfields minerals exploration in Australia. The total value of the tax incentive is restricted to $25 million for 2014</w:t>
      </w:r>
      <w:r>
        <w:noBreakHyphen/>
        <w:t>15, $35 million for 2015</w:t>
      </w:r>
      <w:r>
        <w:noBreakHyphen/>
        <w:t>16 and $40 million for 2016</w:t>
      </w:r>
      <w:r>
        <w:noBreakHyphen/>
        <w:t xml:space="preserve">17. </w:t>
      </w:r>
    </w:p>
    <w:p w:rsidR="00AC2131" w:rsidRDefault="00AC2131" w:rsidP="00AC2131">
      <w:pPr>
        <w:pStyle w:val="BodyText"/>
      </w:pPr>
      <w:r>
        <w:t>Unlike grant-based programs, tax concessions are generally not taxed. However, this scheme does employ concession limits and therefore an ‘ex-post modulation’ approach has been designed (Australian Government 2014e and 2014g).</w:t>
      </w:r>
    </w:p>
    <w:p w:rsidR="00AC2131" w:rsidRDefault="00AC2131" w:rsidP="00AC2131">
      <w:pPr>
        <w:pStyle w:val="BodyText"/>
      </w:pPr>
      <w:r>
        <w:t xml:space="preserve">The Department of Industry and Science will monitor greenfields exploration throughout the program’s operation, with a review of the scheme in 2016. </w:t>
      </w:r>
    </w:p>
    <w:p w:rsidR="00AC2131" w:rsidRDefault="00AC2131" w:rsidP="00AC2131">
      <w:pPr>
        <w:pStyle w:val="Heading2"/>
      </w:pPr>
      <w:r>
        <w:t>6.</w:t>
      </w:r>
      <w:r>
        <w:rPr>
          <w:noProof/>
        </w:rPr>
        <w:t>8</w:t>
      </w:r>
      <w:r>
        <w:tab/>
        <w:t>Policy framework reviews</w:t>
      </w:r>
    </w:p>
    <w:p w:rsidR="00AC2131" w:rsidRDefault="00AC2131" w:rsidP="00AC2131">
      <w:pPr>
        <w:pStyle w:val="Heading3"/>
        <w:spacing w:before="360"/>
      </w:pPr>
      <w:r>
        <w:t>Competition Policy Review (Harper review)</w:t>
      </w:r>
    </w:p>
    <w:p w:rsidR="00AC2131" w:rsidRDefault="00AC2131" w:rsidP="00AC2131">
      <w:pPr>
        <w:pStyle w:val="BodyText"/>
        <w:spacing w:before="200"/>
      </w:pPr>
      <w:r>
        <w:t>In</w:t>
      </w:r>
      <w:r w:rsidRPr="007011B0">
        <w:t xml:space="preserve"> </w:t>
      </w:r>
      <w:r>
        <w:t>March 2015</w:t>
      </w:r>
      <w:r w:rsidRPr="007011B0">
        <w:t>, the</w:t>
      </w:r>
      <w:r>
        <w:t xml:space="preserve"> Final Report of the Australian Government’s</w:t>
      </w:r>
      <w:r w:rsidRPr="007011B0">
        <w:t xml:space="preserve"> </w:t>
      </w:r>
      <w:r>
        <w:t>Competition Policy Review (Competition Policy Review 2015) was released. The recommendations relating to industry assistance largely revolved around existing restrictions on competition. Among other matters, the Harper review recommended removal of restrictions on competition, for liner and coastal shipping, and that there be reviews of other regulations to ensure that unnecessary restriction on competition be removed. It identified three areas as priorities for immediate review — planning and zoning rules, the regulation of taxis and mandatory product standards (in particular greater acceptance on international product standards). Other areas of restrictions on competition identified for review include professional occupational licensing, broadcast media rules, liquor and gambling regulation, private health insurance regulation, agricultural marketing rules and air services restrictions. It also identified three areas for consideration of immediate reform — restrictions on retail trading hours, parallel import restrictions on books and second-hand cars and pharmacy ownership and location.</w:t>
      </w:r>
    </w:p>
    <w:p w:rsidR="00AC2131" w:rsidRDefault="00AC2131" w:rsidP="00AC2131">
      <w:pPr>
        <w:pStyle w:val="BodyText"/>
        <w:spacing w:before="200"/>
      </w:pPr>
      <w:r>
        <w:lastRenderedPageBreak/>
        <w:t>The Report also recommended an overarching review of intellectual property by an independent body such as the Productivity Commission. It recommended that the review focus on competition policy issues in intellectual property, including the incorporation of intellectual property provisions in international trade agreements.</w:t>
      </w:r>
      <w:r w:rsidRPr="0070505A">
        <w:t xml:space="preserve"> </w:t>
      </w:r>
    </w:p>
    <w:p w:rsidR="00AC2131" w:rsidRDefault="00AC2131" w:rsidP="00AC2131">
      <w:pPr>
        <w:pStyle w:val="BodyText"/>
        <w:spacing w:before="200"/>
      </w:pPr>
      <w:r>
        <w:t>The Review Panel argued that the focus of competition policy should be widened beyond infrastructure, public monopolies and government businesses, to encompass the provision of government services. It noted that even small productivity improvements (driven by competition) in these large and growing sectors, especially human services, have the potential to deliver worthwhile gains across the community. The Report recommended that each Australian government should adopt choice and competition principles in the domain of human services. Guiding principles should include: a diversity of providers should be encouraged, while taking care not to crowd out community and volunteer services; and innovation in service provision should be stimulated, while ensuring minimum standards of quality and access in human services.</w:t>
      </w:r>
    </w:p>
    <w:p w:rsidR="00AC2131" w:rsidRDefault="00AC2131" w:rsidP="00AC2131">
      <w:pPr>
        <w:pStyle w:val="Heading3"/>
      </w:pPr>
      <w:r>
        <w:t>Financial System Inquiry (Murray inquiry)</w:t>
      </w:r>
    </w:p>
    <w:p w:rsidR="00AC2131" w:rsidRPr="0069394B" w:rsidRDefault="00AC2131" w:rsidP="00AC2131">
      <w:pPr>
        <w:pStyle w:val="BodyText"/>
      </w:pPr>
      <w:r w:rsidRPr="0069394B">
        <w:t>In December</w:t>
      </w:r>
      <w:r>
        <w:t> </w:t>
      </w:r>
      <w:r w:rsidRPr="0069394B">
        <w:t xml:space="preserve">2014, the final report of the Financial System Inquiry </w:t>
      </w:r>
      <w:r>
        <w:t xml:space="preserve">(Financial System Inquiry 2014) </w:t>
      </w:r>
      <w:r w:rsidRPr="0069394B">
        <w:t>was released.</w:t>
      </w:r>
      <w:r>
        <w:t xml:space="preserve"> The report stated that c</w:t>
      </w:r>
      <w:r w:rsidRPr="0069394B">
        <w:t xml:space="preserve">ompetition and competitive markets are at the heart of the Inquiry’s philosophy for the financial system. </w:t>
      </w:r>
      <w:r>
        <w:t>The Inquiry considered that al</w:t>
      </w:r>
      <w:r w:rsidRPr="0069394B">
        <w:t>though competition is generally adequate, the high concentration and increasing vertical integration in some parts of the Australian financial system has the potential to limit the benefits of competition in the future and should be proactively monitored over time.</w:t>
      </w:r>
    </w:p>
    <w:p w:rsidR="00AC2131" w:rsidRDefault="00AC2131" w:rsidP="00AC2131">
      <w:pPr>
        <w:pStyle w:val="BodyText"/>
      </w:pPr>
      <w:r w:rsidRPr="0069394B">
        <w:t xml:space="preserve">The Inquiry’s approach to encouraging competition </w:t>
      </w:r>
      <w:r>
        <w:t>was</w:t>
      </w:r>
      <w:r w:rsidRPr="0069394B">
        <w:t xml:space="preserve"> to seek to remove impediments to its development</w:t>
      </w:r>
      <w:r>
        <w:t>,</w:t>
      </w:r>
      <w:r w:rsidRPr="0069394B">
        <w:t xml:space="preserve"> </w:t>
      </w:r>
      <w:r>
        <w:t xml:space="preserve">including barriers to international competition and finance innovators. The report included 12 recommendations pertaining to competition. </w:t>
      </w:r>
    </w:p>
    <w:p w:rsidR="00AC2131" w:rsidRDefault="00AC2131" w:rsidP="00AC2131">
      <w:pPr>
        <w:pStyle w:val="BodyText"/>
      </w:pPr>
      <w:r>
        <w:t>It also made recommendations relating to stronger capital requirements, primarily for resilience purposes, but which were also seen as reducing assistance to the industry through the implicit Government guarantee of authorised deposit taking institutions, and thereby introducing an element of competitor neutrality (box 6.2).</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6.</w:t>
            </w:r>
            <w:r>
              <w:rPr>
                <w:b w:val="0"/>
                <w:noProof/>
              </w:rPr>
              <w:t>2</w:t>
            </w:r>
            <w:r>
              <w:tab/>
              <w:t>Implicit guarantee of banks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The Financial System Inquiry report explained the implicit guarantee of Authorised Deposit Taking Institutions and the competition (efficiency) consequences.</w:t>
            </w:r>
          </w:p>
          <w:p w:rsidR="00AC2131" w:rsidRPr="006B01D2" w:rsidRDefault="00AC2131" w:rsidP="00AC2131">
            <w:pPr>
              <w:pStyle w:val="BoxQuote"/>
            </w:pPr>
            <w:r w:rsidRPr="006B01D2">
              <w:t>Actions taken by governments both in Australia and overseas to support their financial sectors during the GFC have reinforced perceptions of an implicit guarantee. Implicit guarantees arise when creditors believe that, if a bank were to fail, the government would step in to rescue the institution.</w:t>
            </w:r>
          </w:p>
          <w:p w:rsidR="00AC2131" w:rsidRPr="006B01D2" w:rsidRDefault="00AC2131" w:rsidP="00AC2131">
            <w:pPr>
              <w:pStyle w:val="BoxQuote"/>
            </w:pPr>
            <w:r w:rsidRPr="006B01D2">
              <w:t>Implicit guarantees reduce banks’ funding costs by moving risk from private investors onto the Government balance sheet — a contingent liability for Government. As a result, the creditor takes no (or a reduced) loss, making it less risky to invest in the institution. Creditors will therefore accept a lower interest rate, which lowers funding costs for the bank and provides a competitive advantage to those institutions most affected.</w:t>
            </w:r>
          </w:p>
          <w:p w:rsidR="00AC2131" w:rsidRPr="006B01D2" w:rsidRDefault="00AC2131" w:rsidP="00AC2131">
            <w:pPr>
              <w:pStyle w:val="BoxQuote"/>
            </w:pPr>
            <w:r w:rsidRPr="006B01D2">
              <w:t>Empirical studies have found that Australian ADIs, especially the largest ADIs, benefit from an implicit guarantee. This is also evident in the credit ratings of the major Australian banks, which all receive a two-notch credit rating uplift from credit rating agencies Standard &amp; Poor’s and Moody’s due to expectations of Government support. Implicit guarantees create inefficiencies by:</w:t>
            </w:r>
          </w:p>
          <w:p w:rsidR="00AC2131" w:rsidRPr="006B01D2" w:rsidRDefault="00AC2131" w:rsidP="00AC2131">
            <w:pPr>
              <w:pStyle w:val="BoxQuoteBullet"/>
              <w:rPr>
                <w:szCs w:val="24"/>
              </w:rPr>
            </w:pPr>
            <w:r w:rsidRPr="006B01D2">
              <w:t>Providing a funding cost advantage for banks over other corporations.</w:t>
            </w:r>
          </w:p>
          <w:p w:rsidR="00AC2131" w:rsidRPr="006B01D2" w:rsidRDefault="00AC2131" w:rsidP="00AC2131">
            <w:pPr>
              <w:pStyle w:val="BoxQuoteBullet"/>
              <w:rPr>
                <w:szCs w:val="24"/>
              </w:rPr>
            </w:pPr>
            <w:r w:rsidRPr="006B01D2">
              <w:t>Giving large banks an advantage over smaller banks.</w:t>
            </w:r>
          </w:p>
          <w:p w:rsidR="00AC2131" w:rsidRPr="006B01D2" w:rsidRDefault="00AC2131" w:rsidP="00AC2131">
            <w:pPr>
              <w:pStyle w:val="BoxQuoteBullet"/>
              <w:rPr>
                <w:szCs w:val="24"/>
              </w:rPr>
            </w:pPr>
            <w:r w:rsidRPr="006B01D2">
              <w:t>Weakening the market discipline provided by creditors.</w:t>
            </w:r>
          </w:p>
          <w:p w:rsidR="00AC2131" w:rsidRDefault="00AC2131" w:rsidP="00AC2131">
            <w:pPr>
              <w:pStyle w:val="BoxQuoteBullet"/>
              <w:rPr>
                <w:szCs w:val="24"/>
              </w:rPr>
            </w:pPr>
            <w:r w:rsidRPr="006B01D2">
              <w:t>Potentially creating moral hazard that encourages inefficiently high risk taking.</w:t>
            </w:r>
          </w:p>
          <w:p w:rsidR="00AC2131" w:rsidRDefault="00AC2131" w:rsidP="00AC2131">
            <w:pPr>
              <w:pStyle w:val="Box"/>
              <w:rPr>
                <w:lang w:val="en"/>
              </w:rPr>
            </w:pPr>
            <w:r>
              <w:rPr>
                <w:lang w:val="en"/>
              </w:rPr>
              <w:t>The report explained the rationale for reducing the implicit guarantee and how raising capital requirements would bring this about.</w:t>
            </w:r>
          </w:p>
          <w:p w:rsidR="00AC2131" w:rsidRPr="006B01D2" w:rsidRDefault="00AC2131" w:rsidP="00AC2131">
            <w:pPr>
              <w:pStyle w:val="BoxQuote"/>
              <w:rPr>
                <w:lang w:val="en"/>
              </w:rPr>
            </w:pPr>
            <w:r w:rsidRPr="006B01D2">
              <w:rPr>
                <w:lang w:val="en"/>
              </w:rPr>
              <w:t>Perceptions of an implicit guarantee introduce a range of damaging distortions into the financial sector that reduce efficiency. They also transfer risk from the banking sector to taxpayers. In the Inquiry’s view, such factors make it appropriate to take steps to minimise implicit guarantees.</w:t>
            </w:r>
          </w:p>
          <w:p w:rsidR="00AC2131" w:rsidRPr="0069394B" w:rsidRDefault="00AC2131" w:rsidP="00AC2131">
            <w:pPr>
              <w:pStyle w:val="BoxQuote"/>
              <w:rPr>
                <w:szCs w:val="24"/>
              </w:rPr>
            </w:pPr>
            <w:r w:rsidRPr="006B01D2">
              <w:rPr>
                <w:lang w:val="en"/>
              </w:rPr>
              <w:t>Raising capital requirements means that a larger share of bank funding would be in the form of equity — which is not perceived to have a guarantee — rather than debt. In addition, the perceived value of the guarantee for remaining debt would be lessened, as the ADI is safer and there is less chance the guarantee will be called upon. This reduces the implicit guarantee</w:t>
            </w:r>
            <w:r>
              <w:rPr>
                <w:lang w:val="en"/>
              </w:rPr>
              <w:t>.</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pPr>
            <w:r>
              <w:rPr>
                <w:i/>
              </w:rPr>
              <w:t>Source</w:t>
            </w:r>
            <w:r w:rsidRPr="00167F06">
              <w:t xml:space="preserve">: </w:t>
            </w:r>
            <w:r>
              <w:t xml:space="preserve">Financial System Inquiry (2014). </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18679A" w:rsidRDefault="00AC2131" w:rsidP="00AC2131">
      <w:pPr>
        <w:pStyle w:val="BodyText"/>
      </w:pPr>
    </w:p>
    <w:p w:rsidR="00AC2131" w:rsidRDefault="00AC2131" w:rsidP="00AC2131">
      <w:pPr>
        <w:sectPr w:rsidR="00AC2131" w:rsidSect="00AC2131">
          <w:headerReference w:type="even" r:id="rId66"/>
          <w:headerReference w:type="default" r:id="rId67"/>
          <w:footerReference w:type="even" r:id="rId68"/>
          <w:footerReference w:type="default" r:id="rId69"/>
          <w:type w:val="oddPage"/>
          <w:pgSz w:w="11907" w:h="16840" w:code="9"/>
          <w:pgMar w:top="1985" w:right="1304" w:bottom="1247" w:left="1814" w:header="1701" w:footer="397" w:gutter="0"/>
          <w:pgNumType w:chapSep="period"/>
          <w:cols w:space="720"/>
          <w:docGrid w:linePitch="326"/>
        </w:sectPr>
      </w:pPr>
    </w:p>
    <w:p w:rsidR="00AC2131" w:rsidRDefault="00AC2131" w:rsidP="00AC2131">
      <w:pPr>
        <w:pStyle w:val="Heading1"/>
        <w:spacing w:before="0"/>
      </w:pPr>
      <w:r>
        <w:lastRenderedPageBreak/>
        <w:t>7</w:t>
      </w:r>
      <w:r>
        <w:tab/>
        <w:t>Recent developments in trade policy</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t>Key points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ListBullet"/>
            </w:pPr>
            <w:r>
              <w:t>Over the past year, Australia’s trade policy environment was influenced by several developments at the multilateral, plurilateral, regional and bilateral level.</w:t>
            </w:r>
          </w:p>
          <w:p w:rsidR="00AC2131" w:rsidRDefault="00AC2131" w:rsidP="00AC2131">
            <w:pPr>
              <w:pStyle w:val="BoxListBullet"/>
            </w:pPr>
            <w:r>
              <w:t>Where agreement can be reached, m</w:t>
            </w:r>
            <w:r w:rsidRPr="00236BF1">
              <w:t>ultilateral trade reform is the most effective way to improve national and global welfare</w:t>
            </w:r>
            <w:r>
              <w:t>,</w:t>
            </w:r>
            <w:r w:rsidRPr="00236BF1">
              <w:t xml:space="preserve"> but </w:t>
            </w:r>
            <w:r>
              <w:t xml:space="preserve">it </w:t>
            </w:r>
            <w:r w:rsidRPr="00236BF1">
              <w:t xml:space="preserve">continues to be hampered by </w:t>
            </w:r>
            <w:r>
              <w:t>a lack of</w:t>
            </w:r>
            <w:r w:rsidRPr="00236BF1">
              <w:t xml:space="preserve"> consensus among the 16</w:t>
            </w:r>
            <w:r>
              <w:t>1</w:t>
            </w:r>
            <w:r w:rsidRPr="00236BF1">
              <w:t xml:space="preserve"> </w:t>
            </w:r>
            <w:r>
              <w:t xml:space="preserve">WTO </w:t>
            </w:r>
            <w:r w:rsidRPr="00236BF1">
              <w:t>member</w:t>
            </w:r>
            <w:r>
              <w:t xml:space="preserve">s. </w:t>
            </w:r>
          </w:p>
          <w:p w:rsidR="00AC2131" w:rsidRDefault="00AC2131" w:rsidP="00AC2131">
            <w:pPr>
              <w:pStyle w:val="BoxListBullet2"/>
              <w:rPr>
                <w:szCs w:val="24"/>
              </w:rPr>
            </w:pPr>
            <w:r>
              <w:t>During the last year, progress towards agreement on a Trade Facilitation Protocol was held over pending the reaching of a permanent solution on public stockholding of food.</w:t>
            </w:r>
          </w:p>
          <w:p w:rsidR="00AC2131" w:rsidRDefault="00AC2131" w:rsidP="00AC2131">
            <w:pPr>
              <w:pStyle w:val="BoxListBullet"/>
              <w:rPr>
                <w:szCs w:val="24"/>
              </w:rPr>
            </w:pPr>
            <w:r>
              <w:t xml:space="preserve">As part of their trade and growth strategies, G20 members made undertakings to reduce trade barriers and the cost of trade. They also variously indicated an intention to pursue bilateral and regional trade agreements. </w:t>
            </w:r>
          </w:p>
          <w:p w:rsidR="00AC2131" w:rsidRDefault="00AC2131" w:rsidP="00AC2131">
            <w:pPr>
              <w:pStyle w:val="BoxListBullet"/>
              <w:rPr>
                <w:szCs w:val="24"/>
              </w:rPr>
            </w:pPr>
            <w:r>
              <w:t xml:space="preserve">Negotiations continued on the Environmental Goods Agreement between WTO members, a WTO Information Technology Agreement and the Trade in Services Agreement. </w:t>
            </w:r>
          </w:p>
          <w:p w:rsidR="00AC2131" w:rsidRDefault="00AC2131" w:rsidP="00AC2131">
            <w:pPr>
              <w:pStyle w:val="BoxListBullet2"/>
              <w:rPr>
                <w:szCs w:val="24"/>
              </w:rPr>
            </w:pPr>
            <w:r>
              <w:t xml:space="preserve">Australia announced its intention to join the WTO Government Procurement Agreement. </w:t>
            </w:r>
          </w:p>
          <w:p w:rsidR="00AC2131" w:rsidRDefault="00AC2131" w:rsidP="00AC2131">
            <w:pPr>
              <w:pStyle w:val="BoxListBullet"/>
              <w:rPr>
                <w:szCs w:val="24"/>
              </w:rPr>
            </w:pPr>
            <w:r>
              <w:t xml:space="preserve">A number of countries, including Australia, have sought to negotiate preferential trading agreements. </w:t>
            </w:r>
          </w:p>
          <w:p w:rsidR="00AC2131" w:rsidRDefault="00AC2131" w:rsidP="00AC2131">
            <w:pPr>
              <w:pStyle w:val="BoxListBullet2"/>
              <w:rPr>
                <w:szCs w:val="24"/>
              </w:rPr>
            </w:pPr>
            <w:r>
              <w:t>During the last year, Australia concluded a bilateral agreement with China and bilateral agreements with Korea and Japan entered into force. Australia also continued negotiations on bilateral agreements with India and Indonesia, and participated in negotiations for two significant regional agreements — RCEP and TPP.</w:t>
            </w:r>
          </w:p>
          <w:p w:rsidR="00AC2131" w:rsidRPr="007B1756" w:rsidRDefault="00AC2131" w:rsidP="00AC2131">
            <w:pPr>
              <w:pStyle w:val="BoxListBullet"/>
              <w:rPr>
                <w:rStyle w:val="DraftingNote"/>
                <w:b w:val="0"/>
                <w:color w:val="auto"/>
                <w:sz w:val="20"/>
                <w:u w:val="none"/>
              </w:rPr>
            </w:pPr>
            <w:r w:rsidRPr="007B1756">
              <w:rPr>
                <w:rStyle w:val="DraftingNote"/>
                <w:b w:val="0"/>
                <w:color w:val="auto"/>
                <w:sz w:val="20"/>
                <w:u w:val="none"/>
              </w:rPr>
              <w:t xml:space="preserve">The ongoing costs to Australian taxpayers of funding the preparation and defence of the tobacco plain packaging legislation are likely to be substantial. </w:t>
            </w:r>
          </w:p>
          <w:p w:rsidR="00AC2131" w:rsidRDefault="00AC2131" w:rsidP="00AC2131">
            <w:pPr>
              <w:pStyle w:val="BoxListBullet2"/>
            </w:pPr>
            <w:r w:rsidRPr="007B1756">
              <w:rPr>
                <w:rStyle w:val="DraftingNote"/>
                <w:b w:val="0"/>
                <w:color w:val="auto"/>
                <w:sz w:val="20"/>
                <w:u w:val="none"/>
              </w:rPr>
              <w:t>This highlights the need for advance liability provisioning and transparency about the true cost of including ISDS provisions in Australia’s trade agreements and investment treaties.</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ED5A67" w:rsidRDefault="00AC2131" w:rsidP="00AC2131">
      <w:pPr>
        <w:pStyle w:val="BodyText"/>
      </w:pPr>
      <w:r w:rsidRPr="00ED5A67">
        <w:t>Australia’s trade policy environment was influenced by several developments at the multilateral, regional and bilateral level during the course of the last year. While some progress was made in advancing the long running Doha round of trade negotiations under the World Trade Organization (WTO), these negotiations continue to be hampered by the inherent difficulties in reaching consensus among the 16</w:t>
      </w:r>
      <w:r>
        <w:t>1</w:t>
      </w:r>
      <w:r w:rsidRPr="00ED5A67">
        <w:t xml:space="preserve"> member countries under the single undertaking approach to the package of associated measures. Nevertheless, multilateral trade reform remains the most effective way to improve national and global welfare compared with preferential agreements which discriminate against non-parties to those agreements (PC 2010</w:t>
      </w:r>
      <w:r>
        <w:t>a</w:t>
      </w:r>
      <w:r w:rsidRPr="00ED5A67">
        <w:t>). This point is reinforced by the evolution and recent measurement of global value chains and value-added trade flows (chapter 2).</w:t>
      </w:r>
    </w:p>
    <w:p w:rsidR="00AC2131" w:rsidRPr="00ED5A67" w:rsidRDefault="00AC2131" w:rsidP="00AC2131">
      <w:pPr>
        <w:pStyle w:val="BodyText"/>
      </w:pPr>
      <w:r w:rsidRPr="00ED5A67">
        <w:lastRenderedPageBreak/>
        <w:t xml:space="preserve">The slow progress in multilateral forums has prompted the acceleration of agreement-making at the bilateral and regional or plurilateral level. During the year, Australia’s bilateral agreements with Korea and Japan entered into force, negotiations of a trade agreement with China concluded and negotiations for bilateral agreements with several countries including India and Indonesia continued. Australia also participated in negotiations for two significant regional agreements which are nearing finalisation </w:t>
      </w:r>
      <w:r>
        <w:t xml:space="preserve">— </w:t>
      </w:r>
      <w:r w:rsidRPr="00ED5A67">
        <w:t xml:space="preserve">the Trans Pacific Partnership </w:t>
      </w:r>
      <w:r>
        <w:t xml:space="preserve">(TPP) </w:t>
      </w:r>
      <w:r w:rsidRPr="00ED5A67">
        <w:t xml:space="preserve">Agreement and Regional Comprehensive Economic Partnership </w:t>
      </w:r>
      <w:r>
        <w:t xml:space="preserve">(RCEP) </w:t>
      </w:r>
      <w:r w:rsidRPr="00ED5A67">
        <w:t>Agreement (figure 7.1).</w:t>
      </w:r>
    </w:p>
    <w:p w:rsidR="00AC2131" w:rsidRPr="00ED5A67" w:rsidRDefault="00AC2131" w:rsidP="00AC2131">
      <w:pPr>
        <w:pStyle w:val="BodyText"/>
      </w:pPr>
      <w:r w:rsidRPr="00ED5A67">
        <w:t xml:space="preserve">In addition to reporting on these developments in trade policy negotiations and agreement formation, this chapter also reports on legal actions against the Australian Government (and potential liabilities under those actions) by </w:t>
      </w:r>
      <w:r>
        <w:t xml:space="preserve">other country governments </w:t>
      </w:r>
      <w:r w:rsidRPr="00ED5A67">
        <w:t>under WTO processes and private investors from other countries under Investor State Dispute Settlement (ISDS) provisions contained in certain trade and investment treaties Australia is a signatory to. Anti-dumping actions over the last year are also covered.</w:t>
      </w:r>
    </w:p>
    <w:p w:rsidR="00AC2131" w:rsidRDefault="00AC2131" w:rsidP="00AC2131">
      <w:pPr>
        <w:pStyle w:val="Heading2"/>
      </w:pPr>
      <w:r>
        <w:t>7.</w:t>
      </w:r>
      <w:r>
        <w:rPr>
          <w:noProof/>
        </w:rPr>
        <w:t>1</w:t>
      </w:r>
      <w:r>
        <w:tab/>
        <w:t>Multilateral, plurilateral and regional developments</w:t>
      </w:r>
    </w:p>
    <w:p w:rsidR="00AC2131" w:rsidRDefault="00AC2131" w:rsidP="00AC2131">
      <w:pPr>
        <w:pStyle w:val="Heading3"/>
        <w:spacing w:before="360"/>
      </w:pPr>
      <w:r>
        <w:t>Multilateral agreements</w:t>
      </w:r>
    </w:p>
    <w:p w:rsidR="00AC2131" w:rsidRDefault="00AC2131" w:rsidP="00AC2131">
      <w:pPr>
        <w:pStyle w:val="BodyText"/>
      </w:pPr>
      <w:r w:rsidRPr="00D60436">
        <w:t xml:space="preserve">WTO members </w:t>
      </w:r>
      <w:r>
        <w:t xml:space="preserve">agreed to a package of matters </w:t>
      </w:r>
      <w:r w:rsidRPr="00D60436">
        <w:t xml:space="preserve">at the </w:t>
      </w:r>
      <w:r>
        <w:t>9th</w:t>
      </w:r>
      <w:r w:rsidRPr="00D60436">
        <w:t xml:space="preserve"> Ministerial Conference in </w:t>
      </w:r>
      <w:r>
        <w:t xml:space="preserve">Bali in </w:t>
      </w:r>
      <w:r w:rsidRPr="00D60436">
        <w:t>December 2013</w:t>
      </w:r>
      <w:r>
        <w:t xml:space="preserve"> that would contribute to a conclusion of the Doha Round of multilateral trade negotiations which began in 2001. Those matters included the Agreement on </w:t>
      </w:r>
      <w:r w:rsidRPr="00D60436">
        <w:t>Trade F</w:t>
      </w:r>
      <w:r>
        <w:t xml:space="preserve">acilitation (heralded as a reinvigoration of the WTO process), some decisions on agriculture and some developing country initiatives </w:t>
      </w:r>
      <w:r w:rsidRPr="00D60436">
        <w:t>(PC</w:t>
      </w:r>
      <w:r>
        <w:t> </w:t>
      </w:r>
      <w:r w:rsidRPr="00D60436">
        <w:t>2014</w:t>
      </w:r>
      <w:r>
        <w:t>g</w:t>
      </w:r>
      <w:r w:rsidRPr="00D60436">
        <w:t>).</w:t>
      </w:r>
    </w:p>
    <w:p w:rsidR="00AC2131" w:rsidRPr="00ED5A67" w:rsidRDefault="00AC2131" w:rsidP="00AC2131">
      <w:pPr>
        <w:pStyle w:val="BodyText"/>
      </w:pPr>
      <w:r w:rsidRPr="00ED5A67">
        <w:t xml:space="preserve">In July, however, the WTO Director-General reported that members had been unable to reach consensus on the adoption of the Protocol for </w:t>
      </w:r>
      <w:r>
        <w:t>the Agreement on Trade Facilitation (WTO 2014b)</w:t>
      </w:r>
      <w:r w:rsidRPr="00ED5A67">
        <w:t xml:space="preserve">. At issue was a small group of countries (led by India) insisting that a permanent solution on public stockholding for food security in developing countries should be finalised before members </w:t>
      </w:r>
      <w:r>
        <w:t xml:space="preserve">finalised the Agreement on </w:t>
      </w:r>
      <w:r w:rsidRPr="00ED5A67">
        <w:t>Trade Facilitation. India also insisted that the permanent solution on public stockholding be finalised by the end of 2014 instead of the previously agreed timeline of 2017 reached in Bali. The impasse was met with widespread concern and brought into question the credibility of the WTO negotiating function and on how to proceed with other decisions reached at the Bali Ministerial Conference (APEC 2014a, WTO 2014</w:t>
      </w:r>
      <w:r>
        <w:t>d</w:t>
      </w:r>
      <w:r w:rsidRPr="00ED5A67">
        <w:t>).</w:t>
      </w:r>
    </w:p>
    <w:p w:rsidR="00AC2131" w:rsidRDefault="00AC2131" w:rsidP="00AC2131">
      <w:pPr>
        <w:pStyle w:val="BodyText"/>
      </w:pPr>
      <w:r w:rsidRPr="00ED5A67">
        <w:t xml:space="preserve">Reflecting the importance of securing the Bali package, the President of the United States and the Indian Prime Minister met </w:t>
      </w:r>
      <w:r>
        <w:t>to discuss the impasse. Following negotiations between the United States and India, the WTO General Council agreed to fast-track the discussion on public stockholdings with a view to reaching agreement by the end of 2015. WTO members also adopted the Protocol of Amendment for the Agreement on Trade Facilitation and agreed to advance the development of the post-Bali work program.</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pPr>
            <w:r w:rsidRPr="00784A05">
              <w:rPr>
                <w:b w:val="0"/>
              </w:rPr>
              <w:t xml:space="preserve">Figure </w:t>
            </w:r>
            <w:r>
              <w:rPr>
                <w:b w:val="0"/>
              </w:rPr>
              <w:t>7.</w:t>
            </w:r>
            <w:r>
              <w:rPr>
                <w:b w:val="0"/>
                <w:noProof/>
              </w:rPr>
              <w:t>1</w:t>
            </w:r>
            <w:r>
              <w:tab/>
              <w:t>Australia’s recent trade policy developments</w:t>
            </w:r>
          </w:p>
        </w:tc>
      </w:tr>
      <w:tr w:rsidR="00AC2131" w:rsidTr="00AC2131">
        <w:tc>
          <w:tcPr>
            <w:tcW w:w="8771" w:type="dxa"/>
            <w:tcBorders>
              <w:top w:val="nil"/>
              <w:left w:val="nil"/>
              <w:bottom w:val="nil"/>
              <w:right w:val="nil"/>
            </w:tcBorders>
            <w:shd w:val="clear" w:color="auto" w:fill="auto"/>
            <w:tcMar>
              <w:top w:w="28" w:type="dxa"/>
              <w:bottom w:w="28" w:type="dxa"/>
            </w:tcMar>
          </w:tcPr>
          <w:p w:rsidR="00AC2131" w:rsidRDefault="00934C1B" w:rsidP="00AC2131">
            <w:pPr>
              <w:pStyle w:val="Figure"/>
            </w:pPr>
            <w:r>
              <w:rPr>
                <w:noProof/>
              </w:rPr>
              <w:drawing>
                <wp:inline distT="0" distB="0" distL="0" distR="0" wp14:anchorId="2CF5333F" wp14:editId="55BBC091">
                  <wp:extent cx="5389245" cy="7811135"/>
                  <wp:effectExtent l="0" t="0" r="1905" b="0"/>
                  <wp:docPr id="44" name="Picture 44" descr="Figure 7.1 outlines Australia's recent trade policy developments in text.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 - Ch7 - Fig 7 1 Australian trade policy developments in 2013-14.png"/>
                          <pic:cNvPicPr/>
                        </pic:nvPicPr>
                        <pic:blipFill>
                          <a:blip r:embed="rId70">
                            <a:extLst>
                              <a:ext uri="{28A0092B-C50C-407E-A947-70E740481C1C}">
                                <a14:useLocalDpi xmlns:a14="http://schemas.microsoft.com/office/drawing/2010/main" val="0"/>
                              </a:ext>
                            </a:extLst>
                          </a:blip>
                          <a:stretch>
                            <a:fillRect/>
                          </a:stretch>
                        </pic:blipFill>
                        <pic:spPr>
                          <a:xfrm>
                            <a:off x="0" y="0"/>
                            <a:ext cx="5389245" cy="7811135"/>
                          </a:xfrm>
                          <a:prstGeom prst="rect">
                            <a:avLst/>
                          </a:prstGeom>
                        </pic:spPr>
                      </pic:pic>
                    </a:graphicData>
                  </a:graphic>
                </wp:inline>
              </w:drawing>
            </w:r>
          </w:p>
        </w:tc>
      </w:tr>
      <w:tr w:rsidR="00AC2131" w:rsidRPr="00176D3F" w:rsidTr="00AC2131">
        <w:trPr>
          <w:trHeight w:val="175"/>
        </w:trPr>
        <w:tc>
          <w:tcPr>
            <w:tcW w:w="8771" w:type="dxa"/>
            <w:tcBorders>
              <w:top w:val="nil"/>
              <w:left w:val="nil"/>
              <w:bottom w:val="nil"/>
              <w:right w:val="nil"/>
            </w:tcBorders>
            <w:shd w:val="clear" w:color="auto" w:fill="auto"/>
          </w:tcPr>
          <w:p w:rsidR="00AC2131" w:rsidRPr="00176D3F" w:rsidRDefault="00AC2131" w:rsidP="00AC2131">
            <w:pPr>
              <w:pStyle w:val="Subtitle"/>
              <w:keepNext w:val="0"/>
              <w:spacing w:before="80" w:after="0" w:line="220" w:lineRule="exact"/>
              <w:ind w:left="0"/>
              <w:jc w:val="both"/>
              <w:rPr>
                <w:i/>
              </w:rPr>
            </w:pPr>
            <w:r>
              <w:rPr>
                <w:i/>
              </w:rPr>
              <w:t>S</w:t>
            </w:r>
            <w:r w:rsidRPr="00784A05">
              <w:rPr>
                <w:i/>
              </w:rPr>
              <w:t>ource</w:t>
            </w:r>
            <w:r w:rsidRPr="00176D3F">
              <w:t xml:space="preserve">: </w:t>
            </w:r>
            <w:r>
              <w:t>Derived from DFAT website and information provided by DFAT.</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3"/>
      </w:pPr>
      <w:r>
        <w:t>Plurilateral agreements and cooperation</w:t>
      </w:r>
    </w:p>
    <w:p w:rsidR="00AC2131" w:rsidRPr="00264E94" w:rsidRDefault="00AC2131" w:rsidP="00AC2131">
      <w:pPr>
        <w:pStyle w:val="BodyText"/>
      </w:pPr>
      <w:r>
        <w:t xml:space="preserve">A common theme among the plurilateral forums discussed in this section is their ongoing support for the multilateral trading system and non-discriminatory trade liberalisation under the auspices of the WTO. </w:t>
      </w:r>
    </w:p>
    <w:p w:rsidR="00AC2131" w:rsidRPr="00DF7DA4" w:rsidRDefault="00AC2131" w:rsidP="00AC2131">
      <w:pPr>
        <w:pStyle w:val="Heading4"/>
      </w:pPr>
      <w:r w:rsidRPr="00DF7DA4">
        <w:t xml:space="preserve">Group of 20 (G20) </w:t>
      </w:r>
    </w:p>
    <w:p w:rsidR="00AC2131" w:rsidRDefault="00AC2131" w:rsidP="00AC2131">
      <w:pPr>
        <w:pStyle w:val="BodyText"/>
      </w:pPr>
      <w:r>
        <w:t>T</w:t>
      </w:r>
      <w:r w:rsidRPr="00385BC9">
        <w:t>he first G20 Leaders Summit was held</w:t>
      </w:r>
      <w:r>
        <w:t xml:space="preserve"> in 2008 and since that time G20</w:t>
      </w:r>
      <w:r w:rsidRPr="00385BC9">
        <w:t xml:space="preserve"> leaders have met </w:t>
      </w:r>
      <w:r>
        <w:t>nine</w:t>
      </w:r>
      <w:r w:rsidRPr="00385BC9">
        <w:t xml:space="preserve"> times</w:t>
      </w:r>
      <w:r>
        <w:t xml:space="preserve">. The most recent meeting was held in </w:t>
      </w:r>
      <w:r w:rsidRPr="00385BC9">
        <w:t>Brisbane</w:t>
      </w:r>
      <w:r>
        <w:t>, Australia</w:t>
      </w:r>
      <w:r w:rsidRPr="00385BC9">
        <w:t xml:space="preserve"> on 15</w:t>
      </w:r>
      <w:r>
        <w:noBreakHyphen/>
      </w:r>
      <w:r w:rsidRPr="00385BC9">
        <w:t>16</w:t>
      </w:r>
      <w:r>
        <w:t> </w:t>
      </w:r>
      <w:r w:rsidRPr="00385BC9">
        <w:t>November</w:t>
      </w:r>
      <w:r>
        <w:t> </w:t>
      </w:r>
      <w:r w:rsidRPr="00385BC9">
        <w:t>2014.</w:t>
      </w:r>
      <w:r>
        <w:t xml:space="preserve"> </w:t>
      </w:r>
      <w:r w:rsidRPr="00385BC9">
        <w:t xml:space="preserve">The </w:t>
      </w:r>
      <w:r>
        <w:t>agenda for the 2014 G20 Brisbane Summit included anti-corruption, development, employment, energy, financial regulation, growth strategies, investment and infrastructure, reforming global institutions, tax and trade.</w:t>
      </w:r>
    </w:p>
    <w:p w:rsidR="00AC2131" w:rsidRDefault="00AC2131" w:rsidP="00AC2131">
      <w:pPr>
        <w:pStyle w:val="BodyText"/>
      </w:pPr>
      <w:r>
        <w:t>The communique issued by G20 Leaders focused on aspirational ways to raise global growth to deliver higher living standards and employment. It noted the importance of trade (and facilitating global value chains) to delivering these aims and the strategies to be pursued to boost world trade:</w:t>
      </w:r>
    </w:p>
    <w:p w:rsidR="00AC2131" w:rsidRDefault="00AC2131" w:rsidP="00AC2131">
      <w:pPr>
        <w:pStyle w:val="Quote"/>
      </w:pPr>
      <w:r>
        <w:t>Trade and competition are powerful drivers of growth, increased living standards and job creation. In today’s world we don’t just trade final products. We work together to make things by importing and exporting components and services. We need policies that take full advantage of global value chains and encourage greater participation and value addition by developing countries. Our growth strategies include reforms to facilitate trade by lowering costs, streamlining customs procedures, reducing regulatory burdens and strengthening trade-enabling services. (G20 2014a)</w:t>
      </w:r>
    </w:p>
    <w:p w:rsidR="00AC2131" w:rsidRDefault="00AC2131" w:rsidP="00AC2131">
      <w:pPr>
        <w:pStyle w:val="BodyText"/>
      </w:pPr>
      <w:r>
        <w:t xml:space="preserve">On trade-related reform matters, </w:t>
      </w:r>
      <w:r w:rsidRPr="002B30A6">
        <w:t xml:space="preserve">G20 members </w:t>
      </w:r>
      <w:r>
        <w:t>focused on</w:t>
      </w:r>
      <w:r w:rsidRPr="002B30A6">
        <w:t xml:space="preserve"> ways to remove obstacles to trade in their G20 growth strategies, including measures that will ease the cost of trading across borders and facilitate participation by businesses in regional and global value chains. The actions chosen var</w:t>
      </w:r>
      <w:r>
        <w:t>ied</w:t>
      </w:r>
      <w:r w:rsidRPr="002B30A6">
        <w:t xml:space="preserve"> </w:t>
      </w:r>
      <w:r>
        <w:t xml:space="preserve">across </w:t>
      </w:r>
      <w:r w:rsidRPr="002B30A6">
        <w:t>each member economy and include</w:t>
      </w:r>
      <w:r>
        <w:t>d</w:t>
      </w:r>
      <w:r w:rsidRPr="002B30A6">
        <w:t xml:space="preserve"> </w:t>
      </w:r>
      <w:r>
        <w:t xml:space="preserve">undertakings to </w:t>
      </w:r>
      <w:r w:rsidRPr="002B30A6">
        <w:t>reduce tariffs, deregulatory measures, enhanced logistics, faster customs procedures and upgrades to trade-related infrastructure.</w:t>
      </w:r>
      <w:r>
        <w:rPr>
          <w:rStyle w:val="FootnoteReference"/>
        </w:rPr>
        <w:footnoteReference w:id="53"/>
      </w:r>
    </w:p>
    <w:p w:rsidR="00AC2131" w:rsidRDefault="00AC2131" w:rsidP="00AC2131">
      <w:pPr>
        <w:pStyle w:val="BodyText"/>
      </w:pPr>
      <w:r>
        <w:t xml:space="preserve">Overall, </w:t>
      </w:r>
      <w:r w:rsidRPr="003766CA">
        <w:t>unilateral</w:t>
      </w:r>
      <w:r>
        <w:t xml:space="preserve"> implementation of trade facilitation measures related to the WTO Trade Facilitation Agreement discussed earlier (and which is yet to be concluded) dominated country commitments (table 7.1). This underlines the importance placed on improving the efficiency of goods trade across borders. Other common commitments related to measures </w:t>
      </w:r>
      <w:r>
        <w:lastRenderedPageBreak/>
        <w:t>to support exports through, for example, measures to assist small to medium sized enterprises, provide financial support via export guarantees, loans and the promotion of specific sectors. There were also trade-related commitments to boost infrastructure and competition and the pursuit of preferential trade agreements. Participants commonly included the negotiation of bilateral, regional and plurilateral trade agreements within action plans.</w:t>
      </w:r>
      <w:r w:rsidRPr="006B55A7">
        <w:t xml:space="preserve"> </w:t>
      </w:r>
      <w:r>
        <w:t>Despite leaders agreeing that in the current world of trade, imports were as important as exports, there were few commitments to lower tariffs unilaterally.</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AC2131" w:rsidTr="00AC2131">
        <w:tc>
          <w:tcPr>
            <w:tcW w:w="8771" w:type="dxa"/>
            <w:tcBorders>
              <w:top w:val="single" w:sz="4" w:space="0" w:color="78A22F"/>
              <w:left w:val="nil"/>
              <w:bottom w:val="nil"/>
              <w:right w:val="nil"/>
            </w:tcBorders>
            <w:shd w:val="clear" w:color="auto" w:fill="auto"/>
          </w:tcPr>
          <w:p w:rsidR="00AC2131" w:rsidRPr="00784A05" w:rsidRDefault="00AC2131" w:rsidP="00AC2131">
            <w:pPr>
              <w:pStyle w:val="TableTitle"/>
            </w:pPr>
            <w:r>
              <w:rPr>
                <w:b w:val="0"/>
              </w:rPr>
              <w:t>Table 7.</w:t>
            </w:r>
            <w:r>
              <w:rPr>
                <w:b w:val="0"/>
                <w:noProof/>
              </w:rPr>
              <w:t>1</w:t>
            </w:r>
            <w:r>
              <w:tab/>
              <w:t xml:space="preserve">Analysis of </w:t>
            </w:r>
            <w:r w:rsidRPr="00B558A9">
              <w:t xml:space="preserve">G20 </w:t>
            </w:r>
            <w:r>
              <w:t>c</w:t>
            </w:r>
            <w:r w:rsidRPr="00B558A9">
              <w:t>ountry members’ trade actions on the Brisbane Action Plan</w:t>
            </w:r>
          </w:p>
        </w:tc>
      </w:tr>
      <w:tr w:rsidR="00AC2131" w:rsidTr="00AC2131">
        <w:trPr>
          <w:cantSplit/>
        </w:trPr>
        <w:tc>
          <w:tcPr>
            <w:tcW w:w="8771"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6215"/>
              <w:gridCol w:w="2410"/>
            </w:tblGrid>
            <w:tr w:rsidR="00AC2131" w:rsidTr="00AC2131">
              <w:tc>
                <w:tcPr>
                  <w:tcW w:w="3603" w:type="pct"/>
                  <w:tcBorders>
                    <w:top w:val="single" w:sz="4" w:space="0" w:color="BFBFBF"/>
                    <w:bottom w:val="single" w:sz="4" w:space="0" w:color="BFBFBF"/>
                  </w:tcBorders>
                  <w:shd w:val="clear" w:color="auto" w:fill="auto"/>
                  <w:tcMar>
                    <w:top w:w="28" w:type="dxa"/>
                  </w:tcMar>
                </w:tcPr>
                <w:p w:rsidR="00AC2131" w:rsidRPr="00E5784F" w:rsidRDefault="00AC2131" w:rsidP="00AC2131">
                  <w:pPr>
                    <w:pStyle w:val="TableColumnHeading"/>
                    <w:jc w:val="left"/>
                  </w:pPr>
                  <w:r w:rsidRPr="00E5784F">
                    <w:t>Type of Trade Related Policy Commitment</w:t>
                  </w:r>
                </w:p>
              </w:tc>
              <w:tc>
                <w:tcPr>
                  <w:tcW w:w="1397" w:type="pct"/>
                  <w:tcBorders>
                    <w:top w:val="single" w:sz="4" w:space="0" w:color="BFBFBF"/>
                    <w:bottom w:val="single" w:sz="4" w:space="0" w:color="BFBFBF"/>
                  </w:tcBorders>
                  <w:shd w:val="clear" w:color="auto" w:fill="auto"/>
                  <w:tcMar>
                    <w:top w:w="28" w:type="dxa"/>
                  </w:tcMar>
                </w:tcPr>
                <w:p w:rsidR="00AC2131" w:rsidRPr="00E5784F" w:rsidRDefault="00AC2131" w:rsidP="00AC2131">
                  <w:pPr>
                    <w:pStyle w:val="TableColumnHeading"/>
                  </w:pPr>
                </w:p>
              </w:tc>
            </w:tr>
            <w:tr w:rsidR="00AC2131" w:rsidTr="00AC2131">
              <w:tc>
                <w:tcPr>
                  <w:tcW w:w="3603" w:type="pct"/>
                  <w:tcBorders>
                    <w:top w:val="single" w:sz="4" w:space="0" w:color="BFBFBF"/>
                  </w:tcBorders>
                  <w:vAlign w:val="center"/>
                </w:tcPr>
                <w:p w:rsidR="00AC2131" w:rsidRDefault="00AC2131" w:rsidP="00AC2131">
                  <w:pPr>
                    <w:pStyle w:val="TableUnitsRow"/>
                    <w:jc w:val="left"/>
                  </w:pPr>
                </w:p>
              </w:tc>
              <w:tc>
                <w:tcPr>
                  <w:tcW w:w="1397" w:type="pct"/>
                  <w:tcBorders>
                    <w:top w:val="single" w:sz="4" w:space="0" w:color="BFBFBF"/>
                  </w:tcBorders>
                  <w:vAlign w:val="center"/>
                </w:tcPr>
                <w:p w:rsidR="00AC2131" w:rsidRDefault="00AC2131" w:rsidP="00AC2131">
                  <w:pPr>
                    <w:pStyle w:val="TableUnitsRow"/>
                  </w:pPr>
                  <w:r>
                    <w:t>Number</w:t>
                  </w:r>
                </w:p>
              </w:tc>
            </w:tr>
            <w:tr w:rsidR="00AC2131" w:rsidTr="00AC2131">
              <w:tc>
                <w:tcPr>
                  <w:tcW w:w="3603" w:type="pct"/>
                  <w:vAlign w:val="center"/>
                </w:tcPr>
                <w:p w:rsidR="00AC2131" w:rsidRDefault="00AC2131" w:rsidP="00AC2131">
                  <w:pPr>
                    <w:pStyle w:val="TableUnitsRow"/>
                    <w:jc w:val="left"/>
                  </w:pPr>
                  <w:r>
                    <w:t>Trade Facilitation Measures</w:t>
                  </w:r>
                </w:p>
              </w:tc>
              <w:tc>
                <w:tcPr>
                  <w:tcW w:w="1397" w:type="pct"/>
                  <w:vAlign w:val="center"/>
                </w:tcPr>
                <w:p w:rsidR="00AC2131" w:rsidRDefault="00AC2131" w:rsidP="00AC2131">
                  <w:pPr>
                    <w:pStyle w:val="TableUnitsRow"/>
                  </w:pPr>
                  <w:r>
                    <w:t>39</w:t>
                  </w:r>
                </w:p>
              </w:tc>
            </w:tr>
            <w:tr w:rsidR="00AC2131" w:rsidTr="00AC2131">
              <w:tc>
                <w:tcPr>
                  <w:tcW w:w="3603" w:type="pct"/>
                  <w:vAlign w:val="center"/>
                </w:tcPr>
                <w:p w:rsidR="00AC2131" w:rsidRDefault="00AC2131" w:rsidP="00AC2131">
                  <w:pPr>
                    <w:pStyle w:val="TableBodyText"/>
                    <w:jc w:val="left"/>
                  </w:pPr>
                  <w:r>
                    <w:t>Trade agreements, including bilateral, regional and plurilateral</w:t>
                  </w:r>
                </w:p>
              </w:tc>
              <w:tc>
                <w:tcPr>
                  <w:tcW w:w="1397" w:type="pct"/>
                  <w:vAlign w:val="center"/>
                </w:tcPr>
                <w:p w:rsidR="00AC2131" w:rsidRDefault="00AC2131" w:rsidP="00AC2131">
                  <w:pPr>
                    <w:pStyle w:val="TableBodyText"/>
                  </w:pPr>
                  <w:r>
                    <w:t>18</w:t>
                  </w:r>
                </w:p>
              </w:tc>
            </w:tr>
            <w:tr w:rsidR="00AC2131" w:rsidTr="00AC2131">
              <w:tc>
                <w:tcPr>
                  <w:tcW w:w="3603" w:type="pct"/>
                  <w:shd w:val="clear" w:color="auto" w:fill="auto"/>
                  <w:vAlign w:val="center"/>
                </w:tcPr>
                <w:p w:rsidR="00AC2131" w:rsidRDefault="00AC2131" w:rsidP="00AC2131">
                  <w:pPr>
                    <w:pStyle w:val="TableBodyText"/>
                    <w:jc w:val="left"/>
                  </w:pPr>
                  <w:r>
                    <w:t>Support for exports</w:t>
                  </w:r>
                </w:p>
              </w:tc>
              <w:tc>
                <w:tcPr>
                  <w:tcW w:w="1397" w:type="pct"/>
                  <w:shd w:val="clear" w:color="auto" w:fill="auto"/>
                  <w:vAlign w:val="center"/>
                </w:tcPr>
                <w:p w:rsidR="00AC2131" w:rsidRDefault="00AC2131" w:rsidP="00AC2131">
                  <w:pPr>
                    <w:pStyle w:val="TableBodyText"/>
                  </w:pPr>
                  <w:r>
                    <w:t>33</w:t>
                  </w:r>
                </w:p>
              </w:tc>
            </w:tr>
            <w:tr w:rsidR="00AC2131" w:rsidTr="00AC2131">
              <w:tc>
                <w:tcPr>
                  <w:tcW w:w="3603" w:type="pct"/>
                  <w:shd w:val="clear" w:color="auto" w:fill="auto"/>
                  <w:vAlign w:val="center"/>
                </w:tcPr>
                <w:p w:rsidR="00AC2131" w:rsidRDefault="00AC2131" w:rsidP="00AC2131">
                  <w:pPr>
                    <w:pStyle w:val="TableBodyText"/>
                    <w:jc w:val="left"/>
                  </w:pPr>
                  <w:r>
                    <w:t>Support to the services sectors</w:t>
                  </w:r>
                </w:p>
              </w:tc>
              <w:tc>
                <w:tcPr>
                  <w:tcW w:w="1397" w:type="pct"/>
                  <w:shd w:val="clear" w:color="auto" w:fill="auto"/>
                  <w:vAlign w:val="center"/>
                </w:tcPr>
                <w:p w:rsidR="00AC2131" w:rsidRDefault="00AC2131" w:rsidP="00AC2131">
                  <w:pPr>
                    <w:pStyle w:val="TableBodyText"/>
                  </w:pPr>
                  <w:r>
                    <w:t>13</w:t>
                  </w:r>
                </w:p>
              </w:tc>
            </w:tr>
            <w:tr w:rsidR="00AC2131" w:rsidTr="00AC2131">
              <w:tc>
                <w:tcPr>
                  <w:tcW w:w="3603" w:type="pct"/>
                  <w:shd w:val="clear" w:color="auto" w:fill="auto"/>
                  <w:vAlign w:val="center"/>
                </w:tcPr>
                <w:p w:rsidR="00AC2131" w:rsidRDefault="00AC2131" w:rsidP="00AC2131">
                  <w:pPr>
                    <w:pStyle w:val="TableBodyText"/>
                    <w:jc w:val="left"/>
                  </w:pPr>
                  <w:r>
                    <w:t xml:space="preserve">Unilateral tariff measures on exports and imports </w:t>
                  </w:r>
                </w:p>
              </w:tc>
              <w:tc>
                <w:tcPr>
                  <w:tcW w:w="1397" w:type="pct"/>
                  <w:shd w:val="clear" w:color="auto" w:fill="auto"/>
                  <w:vAlign w:val="center"/>
                </w:tcPr>
                <w:p w:rsidR="00AC2131" w:rsidRDefault="00AC2131" w:rsidP="00AC2131">
                  <w:pPr>
                    <w:pStyle w:val="TableBodyText"/>
                  </w:pPr>
                  <w:r>
                    <w:t>4</w:t>
                  </w:r>
                </w:p>
              </w:tc>
            </w:tr>
            <w:tr w:rsidR="00AC2131" w:rsidTr="00AC2131">
              <w:tc>
                <w:tcPr>
                  <w:tcW w:w="3603" w:type="pct"/>
                  <w:shd w:val="clear" w:color="auto" w:fill="auto"/>
                  <w:vAlign w:val="center"/>
                </w:tcPr>
                <w:p w:rsidR="00AC2131" w:rsidRDefault="00AC2131" w:rsidP="00AC2131">
                  <w:pPr>
                    <w:pStyle w:val="TableBodyText"/>
                    <w:jc w:val="left"/>
                  </w:pPr>
                  <w:r>
                    <w:t>Other trade related measures, that is, those aimed to boost infrastructure, competition or other areas but also improve trade flows</w:t>
                  </w:r>
                  <w:r w:rsidRPr="00B558A9">
                    <w:rPr>
                      <w:rStyle w:val="NoteLabel"/>
                    </w:rPr>
                    <w:t>a</w:t>
                  </w:r>
                </w:p>
              </w:tc>
              <w:tc>
                <w:tcPr>
                  <w:tcW w:w="1397" w:type="pct"/>
                  <w:shd w:val="clear" w:color="auto" w:fill="auto"/>
                  <w:vAlign w:val="center"/>
                </w:tcPr>
                <w:p w:rsidR="00AC2131" w:rsidRDefault="00AC2131" w:rsidP="00AC2131">
                  <w:pPr>
                    <w:pStyle w:val="TableBodyText"/>
                  </w:pPr>
                  <w:r>
                    <w:t>31</w:t>
                  </w:r>
                </w:p>
              </w:tc>
            </w:tr>
            <w:tr w:rsidR="00AC2131" w:rsidTr="00AC2131">
              <w:tc>
                <w:tcPr>
                  <w:tcW w:w="3603" w:type="pct"/>
                  <w:tcBorders>
                    <w:bottom w:val="single" w:sz="4" w:space="0" w:color="BFBFBF"/>
                  </w:tcBorders>
                  <w:shd w:val="clear" w:color="auto" w:fill="auto"/>
                </w:tcPr>
                <w:p w:rsidR="00AC2131" w:rsidRDefault="00AC2131" w:rsidP="00AC2131">
                  <w:pPr>
                    <w:pStyle w:val="TableBodyText"/>
                    <w:jc w:val="left"/>
                  </w:pPr>
                  <w:r w:rsidRPr="00852814">
                    <w:rPr>
                      <w:b/>
                    </w:rPr>
                    <w:t xml:space="preserve">Total </w:t>
                  </w:r>
                </w:p>
              </w:tc>
              <w:tc>
                <w:tcPr>
                  <w:tcW w:w="1397" w:type="pct"/>
                  <w:tcBorders>
                    <w:bottom w:val="single" w:sz="4" w:space="0" w:color="BFBFBF"/>
                  </w:tcBorders>
                  <w:shd w:val="clear" w:color="auto" w:fill="auto"/>
                </w:tcPr>
                <w:p w:rsidR="00AC2131" w:rsidRDefault="00AC2131" w:rsidP="00AC2131">
                  <w:pPr>
                    <w:pStyle w:val="TableBodyText"/>
                  </w:pPr>
                  <w:r w:rsidRPr="00F92B4D">
                    <w:rPr>
                      <w:b/>
                    </w:rPr>
                    <w:t>138</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sidRPr="008E77FE">
              <w:rPr>
                <w:rStyle w:val="NoteLabel"/>
              </w:rPr>
              <w:t>a</w:t>
            </w:r>
            <w:r>
              <w:t xml:space="preserve"> Included in other topics of the growth strategies not trade. </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TableBodyText"/>
              <w:keepNext w:val="0"/>
              <w:spacing w:before="80" w:after="0" w:line="220" w:lineRule="exact"/>
              <w:ind w:left="0" w:right="0"/>
              <w:jc w:val="both"/>
            </w:pPr>
            <w:r>
              <w:rPr>
                <w:i/>
              </w:rPr>
              <w:t>Source</w:t>
            </w:r>
            <w:r w:rsidRPr="00167F06">
              <w:t>:</w:t>
            </w:r>
            <w:r>
              <w:t xml:space="preserve"> DFAT (pers. comm., 21 May 2015).</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B109EF" w:rsidRDefault="00AC2131" w:rsidP="00AC2131">
      <w:pPr>
        <w:pStyle w:val="BodyText"/>
      </w:pPr>
      <w:r>
        <w:t>In terms of individual country undertakings</w:t>
      </w:r>
      <w:r w:rsidRPr="00B109EF">
        <w:t>, Australia committed to lower trading costs and reducing the regulatory burden for business by expeditiously implementing and ratifying the WTO Agreement on Trade Facilitation (G20</w:t>
      </w:r>
      <w:r>
        <w:t> </w:t>
      </w:r>
      <w:r w:rsidRPr="00B109EF">
        <w:t>2014</w:t>
      </w:r>
      <w:r>
        <w:t>b</w:t>
      </w:r>
      <w:r w:rsidRPr="00B109EF">
        <w:t>). By comparison, the United States cited the creation of a single window documentation process to facilitate faster processing of cargo and also efforts to conclude regional trade agreements with Asia-Pacific (TPP) and European (TTIP) trading partners (G20</w:t>
      </w:r>
      <w:r>
        <w:t> </w:t>
      </w:r>
      <w:r w:rsidRPr="00B109EF">
        <w:t>2014</w:t>
      </w:r>
      <w:r>
        <w:t>c)</w:t>
      </w:r>
      <w:r w:rsidRPr="00B109EF">
        <w:t>. Japan similarly referred to promoting regional and bilateral economic partnership agreements and also streamlining trade-related administrative procedures and resisting protectionism (G20</w:t>
      </w:r>
      <w:r>
        <w:t> </w:t>
      </w:r>
      <w:r w:rsidRPr="00B109EF">
        <w:t>2014</w:t>
      </w:r>
      <w:r>
        <w:t>d</w:t>
      </w:r>
      <w:r w:rsidRPr="00B109EF">
        <w:t>). The European Union listed the full and timely implementation of the Agreement on Trade Facilitation and also a bilateral trade agenda as its key trade policy imperatives (G20</w:t>
      </w:r>
      <w:r>
        <w:t> </w:t>
      </w:r>
      <w:r w:rsidRPr="00B109EF">
        <w:t>2014</w:t>
      </w:r>
      <w:r>
        <w:t>e</w:t>
      </w:r>
      <w:r w:rsidRPr="00B109EF">
        <w:t>).</w:t>
      </w:r>
    </w:p>
    <w:p w:rsidR="00AC2131" w:rsidRPr="00B109EF" w:rsidRDefault="00AC2131" w:rsidP="00AC2131">
      <w:pPr>
        <w:pStyle w:val="BodyText"/>
      </w:pPr>
      <w:r w:rsidRPr="00B109EF">
        <w:t>As indicated above, a common feature of many G20 country commitments in the trade arena has been the negotiation of preferential trade agreements. As a group, the G20 alluded to the need for such agreements to be compatible with multilateral trade forums.</w:t>
      </w:r>
    </w:p>
    <w:p w:rsidR="00AC2131" w:rsidRPr="0098386C" w:rsidRDefault="00AC2131" w:rsidP="00AC2131">
      <w:pPr>
        <w:pStyle w:val="Quote"/>
      </w:pPr>
      <w:r>
        <w:t>… we will work together to ensure our bilateral, regional and plurilateral agreements complement one another, are transparent and contribute to a stronger multilateral trading system under World Trade Organization (WTO) rules. These rules remain the backbone of the global trading system that has delivered economic prosperity. (G20 2014a)</w:t>
      </w:r>
    </w:p>
    <w:p w:rsidR="00AC2131" w:rsidRDefault="00AC2131" w:rsidP="00AC2131">
      <w:pPr>
        <w:pStyle w:val="Heading4"/>
      </w:pPr>
      <w:r>
        <w:lastRenderedPageBreak/>
        <w:t xml:space="preserve">Asia-Pacific </w:t>
      </w:r>
      <w:r w:rsidRPr="007D5F0F">
        <w:t>Economic</w:t>
      </w:r>
      <w:r>
        <w:t xml:space="preserve"> Cooperation</w:t>
      </w:r>
    </w:p>
    <w:p w:rsidR="00AC2131" w:rsidRDefault="00AC2131" w:rsidP="00AC2131">
      <w:pPr>
        <w:pStyle w:val="BodyText"/>
      </w:pPr>
      <w:r>
        <w:t>APEC leaders, ministers and senior officials met in Beijing, China in November 2014 —</w:t>
      </w:r>
      <w:r>
        <w:rPr>
          <w:lang w:val="en"/>
        </w:rPr>
        <w:t xml:space="preserve"> the 25th anniversary of APEC’s founding</w:t>
      </w:r>
      <w:r>
        <w:t xml:space="preserve">. The meetings focused on </w:t>
      </w:r>
      <w:r>
        <w:rPr>
          <w:lang w:val="en"/>
        </w:rPr>
        <w:t>a series of new measures to deepen regional economic integration including through trade, productivity, sustainable development, economic reform and innovative development and building infrastructure investment and connectivity. The APEC Leaders meeting on 10</w:t>
      </w:r>
      <w:r>
        <w:rPr>
          <w:lang w:val="en"/>
        </w:rPr>
        <w:noBreakHyphen/>
        <w:t xml:space="preserve">11 November </w:t>
      </w:r>
      <w:r>
        <w:t>considered a roadmap for</w:t>
      </w:r>
      <w:r w:rsidRPr="0052329E">
        <w:t xml:space="preserve"> a Free Trade Area of the Asia-Pacific (FTAAP)</w:t>
      </w:r>
      <w:r w:rsidRPr="00BB2E86">
        <w:t xml:space="preserve"> </w:t>
      </w:r>
      <w:r>
        <w:t xml:space="preserve">— </w:t>
      </w:r>
      <w:r w:rsidRPr="0052329E">
        <w:t xml:space="preserve">a comprehensive </w:t>
      </w:r>
      <w:r>
        <w:t xml:space="preserve">preferential trade agreement building on emerging regional undertakings such as the Trans Pacific Partnership </w:t>
      </w:r>
      <w:r>
        <w:rPr>
          <w:lang w:val="en"/>
        </w:rPr>
        <w:t>and Regional Comprehensive Economic Partnership.</w:t>
      </w:r>
    </w:p>
    <w:p w:rsidR="00AC2131" w:rsidRPr="003139C5" w:rsidRDefault="00AC2131" w:rsidP="00AC2131">
      <w:pPr>
        <w:pStyle w:val="BodyText"/>
      </w:pPr>
      <w:r>
        <w:rPr>
          <w:lang w:val="en"/>
        </w:rPr>
        <w:t xml:space="preserve">The APEC Ministerial Meeting on 7-8 November </w:t>
      </w:r>
      <w:r>
        <w:t xml:space="preserve">agreed to launch a collective strategic study on issues related to the realisation of the FTAAP. The taskforce responsible for that study is due to report by the end of 2016. </w:t>
      </w:r>
      <w:r>
        <w:rPr>
          <w:lang w:val="en"/>
        </w:rPr>
        <w:t xml:space="preserve">Minister’s also discussed the next steps for reviving global trade given the unexpected challenge to </w:t>
      </w:r>
      <w:r w:rsidRPr="003702C5">
        <w:t xml:space="preserve">implementation of the </w:t>
      </w:r>
      <w:r>
        <w:t xml:space="preserve">WTO Agreement on </w:t>
      </w:r>
      <w:r w:rsidRPr="003702C5">
        <w:t>Trade Facilitation</w:t>
      </w:r>
      <w:r>
        <w:rPr>
          <w:szCs w:val="24"/>
        </w:rPr>
        <w:t xml:space="preserve"> </w:t>
      </w:r>
      <w:r>
        <w:rPr>
          <w:lang w:val="en"/>
        </w:rPr>
        <w:t>and the implications for the Bali Package and Doha Round of multilateral trade negotiations.</w:t>
      </w:r>
      <w:r w:rsidRPr="00E85377">
        <w:t xml:space="preserve"> </w:t>
      </w:r>
    </w:p>
    <w:p w:rsidR="00AC2131" w:rsidRPr="007201AF" w:rsidRDefault="00AC2131" w:rsidP="00AC2131">
      <w:pPr>
        <w:pStyle w:val="BodyText"/>
      </w:pPr>
      <w:r w:rsidRPr="007201AF">
        <w:t>Other matters considered related to: facilitating business travel including by extending the APEC Business Travel Card (box 7.1); actions to strengthen cooperation on global value chains; improving conditions for research and development and commercial innovation and sustainability; facilitating APEC economies’ commitment to</w:t>
      </w:r>
      <w:r>
        <w:t xml:space="preserve"> reduce tariffs on environmental goods, furthering measures </w:t>
      </w:r>
      <w:r w:rsidRPr="007201AF">
        <w:t>to help double the share of renewable energy in the region by 2030 and increase energy efficiency; undertaking actions to</w:t>
      </w:r>
      <w:r>
        <w:t xml:space="preserve"> fight corruption and open opportunities for small businesses </w:t>
      </w:r>
      <w:r w:rsidRPr="007201AF">
        <w:t xml:space="preserve">to play a larger role in global production chains; the APEC scholarships and internships initiative to promote cross-border education and people-to-people connectivity; and bridging infrastructure and broader connectivity gaps created by rapid development and the increasing volume of goods, services, people and capital flows between economies. </w:t>
      </w:r>
    </w:p>
    <w:p w:rsidR="00AC2131" w:rsidRDefault="00AC2131" w:rsidP="00AC2131">
      <w:pPr>
        <w:pStyle w:val="BodyText"/>
      </w:pPr>
      <w:r>
        <w:t>The APEC Joint Ministerial Statement reaffirmed support for the multilateral system and recommended to Leaders an extension of the standstill commitment until the end of 2018, rollback of existing trade-distorting and protectionist measures and the exercise of maximum restraint in implementing measures that may be WTO compliant but have a significant protectionist effect. APEC leaders agreed to the recommendations in the APEC Leaders’ Declaration of 11 November 2014</w:t>
      </w:r>
      <w:r w:rsidRPr="002247DC">
        <w:t xml:space="preserve"> </w:t>
      </w:r>
      <w:r>
        <w:t>(APEC 2014a).</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rsidP="00AC2131">
            <w:pPr>
              <w:pStyle w:val="BoxTitle"/>
            </w:pPr>
            <w:r>
              <w:rPr>
                <w:b w:val="0"/>
              </w:rPr>
              <w:t>Box 7.</w:t>
            </w:r>
            <w:r>
              <w:rPr>
                <w:b w:val="0"/>
                <w:noProof/>
              </w:rPr>
              <w:t>1</w:t>
            </w:r>
            <w:r>
              <w:tab/>
              <w:t>APEC Business Travel Card</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
            </w:pPr>
            <w:r>
              <w:t>The APEC Business Travel Card (ABTC) was introduced in 1997 to expedite travel and border entry between all 19 fully participating APEC member economies. The card currently offers business people short-stay, multiple entry to participating member economies and expedited access at airport immigration checkpoints for three years. In-principle agreement was reached in Beijing to extend the validity of the card to five years. According to the APEC Policy Support Unit, the ABTC reduces the cost of business travel between APEC economies by 38 per cent overall with application fees cut by 28 per cent, application times cuts cut by 43 per cent and immigration processing time costs cut by 52 per cent (APEC 2014b).</w:t>
            </w:r>
          </w:p>
          <w:p w:rsidR="00AC2131" w:rsidRPr="00B109EF" w:rsidRDefault="00AC2131" w:rsidP="00AC2131">
            <w:pPr>
              <w:pStyle w:val="Box"/>
            </w:pPr>
            <w:r w:rsidRPr="00B109EF">
              <w:t>In spite of these apparent benefits, there were only 185 000 active users of the ABTC as at March 2015 (corresponding to an increase of 17</w:t>
            </w:r>
            <w:r>
              <w:t> </w:t>
            </w:r>
            <w:r w:rsidRPr="00B109EF">
              <w:t>per</w:t>
            </w:r>
            <w:r>
              <w:t> </w:t>
            </w:r>
            <w:r w:rsidRPr="00B109EF">
              <w:t>cent over 2014)</w:t>
            </w:r>
            <w:r>
              <w:t>.</w:t>
            </w:r>
            <w:r w:rsidRPr="00B109EF">
              <w:t xml:space="preserve"> The low-take up rate is consistent with a number of operational weaknesses identified in a recent review of the scheme including widespread frustration among officials and ABTC cardholders with lengthy pre-clearance processing times</w:t>
            </w:r>
            <w:r>
              <w:t xml:space="preserve"> for some member economies</w:t>
            </w:r>
            <w:r w:rsidRPr="00B109EF">
              <w:t xml:space="preserve">, cumbersome card renewal requirements and </w:t>
            </w:r>
            <w:r>
              <w:t>poor</w:t>
            </w:r>
            <w:r w:rsidRPr="00B109EF">
              <w:t xml:space="preserve"> lines of communication in certain economies (APEC Business Mobility Group 2014c). In addition, the need for each APEC member economy to vet and pre-clear all ABTC applications is placing a disproportionate administrative burden on smaller APEC members which are hosts to fewer business travellers.</w:t>
            </w:r>
            <w:r>
              <w:t xml:space="preserve"> To address these issues, the APEC Business Mobility Group is investigating capacity-building initiatives including options for online application lodgement and sharing best practice processing experiences.</w:t>
            </w:r>
          </w:p>
          <w:p w:rsidR="00AC2131" w:rsidRDefault="00AC2131" w:rsidP="00AC2131">
            <w:pPr>
              <w:pStyle w:val="Box"/>
              <w:rPr>
                <w:szCs w:val="24"/>
              </w:rPr>
            </w:pPr>
            <w:r>
              <w:t>ASEAN member countries (most of which are also members of APEC) are themselves considering the introduction of a business travel card in 2015 that would allow extended business stays without the need for a visa. While reductions in red tape associated with business (and other) forms of travel are to be encouraged, the introduction of multiple travel cards may simply act to increase the administrative complexity of business travel and compliance costs for business travellers.</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rPr>
                <w:i/>
              </w:rPr>
            </w:pPr>
            <w:r>
              <w:rPr>
                <w:i/>
              </w:rPr>
              <w:t>Sources</w:t>
            </w:r>
            <w:r w:rsidRPr="00167F06">
              <w:t xml:space="preserve">: </w:t>
            </w:r>
            <w:r>
              <w:t>APEC (2014b, 2014c).</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400AD2" w:rsidRDefault="00AC2131" w:rsidP="00AC2131">
      <w:pPr>
        <w:pStyle w:val="Heading4"/>
      </w:pPr>
      <w:r>
        <w:t>East Asia Summit</w:t>
      </w:r>
    </w:p>
    <w:p w:rsidR="00AC2131" w:rsidRDefault="00AC2131" w:rsidP="00AC2131">
      <w:pPr>
        <w:pStyle w:val="BodyText"/>
      </w:pPr>
      <w:r w:rsidRPr="00400AD2">
        <w:t>The East Asia Summit (EAS) is a regional leader</w:t>
      </w:r>
      <w:r>
        <w:t>s</w:t>
      </w:r>
      <w:r w:rsidRPr="00400AD2">
        <w:t xml:space="preserve"> forum for strategic dialogue and cooperation on key challenges facing the East Asian region. Australia participated</w:t>
      </w:r>
      <w:r>
        <w:t xml:space="preserve"> </w:t>
      </w:r>
      <w:r w:rsidRPr="00400AD2">
        <w:t>as a founding member in the inaugural EAS held in Kuala Lumpur on 14</w:t>
      </w:r>
      <w:r>
        <w:t> </w:t>
      </w:r>
      <w:r w:rsidRPr="00400AD2">
        <w:t>December</w:t>
      </w:r>
      <w:r>
        <w:t> </w:t>
      </w:r>
      <w:r w:rsidRPr="00400AD2">
        <w:t xml:space="preserve">2005. Membership of the EAS comprises the ten ASEAN countries (Brunei, Cambodia, Indonesia, Laos, Malaysia, </w:t>
      </w:r>
      <w:r>
        <w:t>Myanmar</w:t>
      </w:r>
      <w:r w:rsidRPr="00400AD2">
        <w:t>, the Philippines, Singapore, Thailand, Vietnam), Australia, China, India, Japan, New Zealand, the Republic of Korea, the United States and Russia. The 18 EAS member countries represent collectively 55</w:t>
      </w:r>
      <w:r>
        <w:t> </w:t>
      </w:r>
      <w:r w:rsidRPr="00400AD2">
        <w:t>per</w:t>
      </w:r>
      <w:r>
        <w:t> </w:t>
      </w:r>
      <w:r w:rsidRPr="00400AD2">
        <w:t>cent of the world’s population and account for a</w:t>
      </w:r>
      <w:r>
        <w:t>round 56 per cent of global GDP (DFAT 2015a).</w:t>
      </w:r>
      <w:r w:rsidRPr="00400AD2">
        <w:t xml:space="preserve"> EAS countries received more than 75</w:t>
      </w:r>
      <w:r>
        <w:t> </w:t>
      </w:r>
      <w:r w:rsidRPr="00400AD2">
        <w:t>per</w:t>
      </w:r>
      <w:r>
        <w:t> </w:t>
      </w:r>
      <w:r w:rsidRPr="00400AD2">
        <w:t>cent of Australia's total exports and two-way trade with EAS countries was worth $4</w:t>
      </w:r>
      <w:r>
        <w:t>40 </w:t>
      </w:r>
      <w:r w:rsidRPr="00400AD2">
        <w:t>billion in 201</w:t>
      </w:r>
      <w:r>
        <w:t>3</w:t>
      </w:r>
      <w:r>
        <w:noBreakHyphen/>
      </w:r>
      <w:r w:rsidRPr="00400AD2">
        <w:t>1</w:t>
      </w:r>
      <w:r>
        <w:t>4</w:t>
      </w:r>
      <w:r w:rsidRPr="00400AD2">
        <w:t>.</w:t>
      </w:r>
    </w:p>
    <w:p w:rsidR="00AC2131" w:rsidRDefault="00AC2131" w:rsidP="00AC2131">
      <w:pPr>
        <w:pStyle w:val="BodyText"/>
      </w:pPr>
      <w:r>
        <w:t>At the 25</w:t>
      </w:r>
      <w:r w:rsidRPr="00907BD9">
        <w:rPr>
          <w:vertAlign w:val="superscript"/>
        </w:rPr>
        <w:t>th</w:t>
      </w:r>
      <w:r>
        <w:t xml:space="preserve"> EAS held in Nay Pyi Taw, Myanmar in November 2014 ministers underlined the importance of cooperation between ASEAN and EAS partners to facilitate the ASEAN Economic Community (AEC) and further integration of ASEAN and the wider region. </w:t>
      </w:r>
    </w:p>
    <w:p w:rsidR="00AC2131" w:rsidRDefault="00AC2131" w:rsidP="00AC2131">
      <w:pPr>
        <w:pStyle w:val="BodyText"/>
      </w:pPr>
      <w:r>
        <w:lastRenderedPageBreak/>
        <w:t>The AEC, to be declared effective at the end of 2015, is integral to the regional economic architecture. By providing a framework for governance reform and institutional coordination, the AEC is intended to increase the free movement of goods, services, investment, skilled labour and free flow of capital within ASEAN and thereby enhance the region’s competitiveness, narrow the wealth gap across ASEAN and optimise ASEAN’s integration into the global economy. It also seeks to use RCEP as a mechanism to achieve broader economic integration across East Asia. Ministers also discussed progress on connectivity, collaboration with APEC, and underscored the need for strong intellectual property rights policies, better understanding of industrial policies and access to regional and global value chains.</w:t>
      </w:r>
    </w:p>
    <w:p w:rsidR="00AC2131" w:rsidRDefault="00AC2131" w:rsidP="00AC2131">
      <w:pPr>
        <w:pStyle w:val="BodyText"/>
      </w:pPr>
      <w:r>
        <w:t>While the Summit reaffirmed the importance of trade liberalisation in East Asia, the chosen vehicle for that liberalisation appears to be via preferential rather than concerted unilateral action. For example, the Summit urged RCEP participating countries to reach a comprehensive and commercially meaningful agreement that would support the AEC and deepen regional economic integration by the end of 2015. Continued negotiations for the TPP (see below) were also supported as were developments regarding ASEANs existing preferential trading agreements with EAS participating countries (EAS 2014).</w:t>
      </w:r>
    </w:p>
    <w:p w:rsidR="00AC2131" w:rsidRPr="00C55085" w:rsidRDefault="00AC2131" w:rsidP="00AC2131">
      <w:pPr>
        <w:pStyle w:val="Heading4"/>
      </w:pPr>
      <w:r>
        <w:t>Other plurilateral negotiations</w:t>
      </w:r>
    </w:p>
    <w:p w:rsidR="00AC2131" w:rsidRDefault="00AC2131" w:rsidP="00AC2131">
      <w:pPr>
        <w:pStyle w:val="BodyText"/>
        <w:rPr>
          <w:lang w:val="en"/>
        </w:rPr>
      </w:pPr>
      <w:r>
        <w:rPr>
          <w:lang w:val="en"/>
        </w:rPr>
        <w:t xml:space="preserve">In addition to its involvement in these regional forums, Australia participated in WTO negotiations related to four plurilateral agreements over the past year. </w:t>
      </w:r>
    </w:p>
    <w:p w:rsidR="00AC2131" w:rsidRDefault="00AC2131" w:rsidP="00AC2131">
      <w:pPr>
        <w:pStyle w:val="Heading5"/>
        <w:rPr>
          <w:lang w:val="en"/>
        </w:rPr>
      </w:pPr>
      <w:r>
        <w:rPr>
          <w:lang w:val="en"/>
        </w:rPr>
        <w:t xml:space="preserve">Environmental goods </w:t>
      </w:r>
    </w:p>
    <w:p w:rsidR="00AC2131" w:rsidRPr="008F72B1" w:rsidRDefault="00AC2131" w:rsidP="00AC2131">
      <w:pPr>
        <w:pStyle w:val="BodyText"/>
      </w:pPr>
      <w:r>
        <w:rPr>
          <w:lang w:val="en"/>
        </w:rPr>
        <w:t xml:space="preserve">Negotiations towards an Environmental Goods Agreement were launched in January 2014 and are being undertaken by 17 </w:t>
      </w:r>
      <w:r w:rsidRPr="000761D3">
        <w:t xml:space="preserve">WTO members </w:t>
      </w:r>
      <w:r>
        <w:t>(including Australia) that</w:t>
      </w:r>
      <w:r w:rsidRPr="000761D3">
        <w:t xml:space="preserve"> comprise the 'Supporters of Environmental Goods Agreement Negotiations' group</w:t>
      </w:r>
      <w:r>
        <w:t xml:space="preserve">. The group commenced negotiations — </w:t>
      </w:r>
      <w:r w:rsidRPr="000761D3">
        <w:t xml:space="preserve">which will consider the substance of </w:t>
      </w:r>
      <w:r>
        <w:t>an</w:t>
      </w:r>
      <w:r w:rsidRPr="000761D3">
        <w:t xml:space="preserve"> </w:t>
      </w:r>
      <w:r>
        <w:t>A</w:t>
      </w:r>
      <w:r w:rsidRPr="000761D3">
        <w:t xml:space="preserve">greement, including the goods to be </w:t>
      </w:r>
      <w:r>
        <w:t>covered</w:t>
      </w:r>
      <w:r w:rsidRPr="000761D3">
        <w:t xml:space="preserve">, with the aim of </w:t>
      </w:r>
      <w:r>
        <w:t xml:space="preserve">eliminating all tariffs on an MFN basis on a negotiated list of </w:t>
      </w:r>
      <w:r w:rsidRPr="000761D3">
        <w:t>environmental goods</w:t>
      </w:r>
      <w:r>
        <w:t xml:space="preserve"> — with the</w:t>
      </w:r>
      <w:r w:rsidRPr="000761D3">
        <w:t xml:space="preserve"> release</w:t>
      </w:r>
      <w:r>
        <w:t xml:space="preserve"> of</w:t>
      </w:r>
      <w:r w:rsidRPr="000761D3">
        <w:t xml:space="preserve"> a 'Joint Statement Regarding the Launch of the Environmental Goods Agreement Negotiations.'</w:t>
      </w:r>
      <w:r>
        <w:t xml:space="preserve"> This release covered matters the group proposes to consider during framework negotiations which began in Geneva in July 2014. Participants agreed to build on the list of 54 environmental goods agreed by APEC in 2012 and consider technical issues relating to those product nominations, including HS nomenclature (DFAT 2015b). Four rounds of negotiations have since focused on product nominations by each party under an agreed list of categories with input from experts. From May 2015, the process will move into the negotiations phase.</w:t>
      </w:r>
    </w:p>
    <w:p w:rsidR="00AC2131" w:rsidRDefault="00AC2131" w:rsidP="00AC2131">
      <w:pPr>
        <w:pStyle w:val="Heading5"/>
        <w:rPr>
          <w:lang w:val="en"/>
        </w:rPr>
      </w:pPr>
      <w:r>
        <w:rPr>
          <w:lang w:val="en"/>
        </w:rPr>
        <w:lastRenderedPageBreak/>
        <w:t>WTO Information Technology Agreement</w:t>
      </w:r>
    </w:p>
    <w:p w:rsidR="00AC2131" w:rsidRDefault="00AC2131" w:rsidP="00AC2131">
      <w:pPr>
        <w:pStyle w:val="BodyText"/>
      </w:pPr>
      <w:r>
        <w:rPr>
          <w:lang w:val="en"/>
        </w:rPr>
        <w:t xml:space="preserve">Negotiations to review the WTO’s Information Technology Agreement (ITA) continued during the year. The Agreement entered into force in 1997 with Australia being one of 29 original signatories. </w:t>
      </w:r>
      <w:r w:rsidRPr="00A60CC1">
        <w:t xml:space="preserve">The Agreement now </w:t>
      </w:r>
      <w:r>
        <w:t>covers</w:t>
      </w:r>
      <w:r w:rsidRPr="00A60CC1">
        <w:t xml:space="preserve"> </w:t>
      </w:r>
      <w:r>
        <w:t>80</w:t>
      </w:r>
      <w:r w:rsidRPr="00A60CC1">
        <w:t xml:space="preserve"> </w:t>
      </w:r>
      <w:r>
        <w:t>countries</w:t>
      </w:r>
      <w:r w:rsidRPr="00A60CC1">
        <w:t xml:space="preserve"> which </w:t>
      </w:r>
      <w:r>
        <w:t>account for</w:t>
      </w:r>
      <w:r w:rsidRPr="00A60CC1">
        <w:t xml:space="preserve"> 97</w:t>
      </w:r>
      <w:r>
        <w:t> </w:t>
      </w:r>
      <w:r w:rsidRPr="00A60CC1">
        <w:t>per</w:t>
      </w:r>
      <w:r>
        <w:t xml:space="preserve"> </w:t>
      </w:r>
      <w:r w:rsidRPr="00A60CC1">
        <w:t>cent of global trade in IT products</w:t>
      </w:r>
      <w:r>
        <w:t xml:space="preserve"> (WTO 2014c)</w:t>
      </w:r>
      <w:r w:rsidRPr="00A60CC1">
        <w:t>. In joining the ITA, participants commit to eliminating tariffs on all products covered under the Agreement, including computers</w:t>
      </w:r>
      <w:r>
        <w:t>,</w:t>
      </w:r>
      <w:r w:rsidRPr="00A60CC1">
        <w:t xml:space="preserve"> </w:t>
      </w:r>
      <w:r>
        <w:t>telecommunications</w:t>
      </w:r>
      <w:r w:rsidRPr="00A60CC1">
        <w:t xml:space="preserve"> equipment</w:t>
      </w:r>
      <w:r>
        <w:t>,</w:t>
      </w:r>
      <w:r w:rsidRPr="00A60CC1">
        <w:t xml:space="preserve"> </w:t>
      </w:r>
      <w:r>
        <w:t xml:space="preserve">software, scientific equipment, and parts and accessories for these products. </w:t>
      </w:r>
      <w:r w:rsidRPr="00A60CC1">
        <w:t>The tariff commitments undertaken in the Agreement are made on a most-favoured nation basis</w:t>
      </w:r>
      <w:r>
        <w:t xml:space="preserve"> with the cumulative value of import duties eliminated since the inception of the ITA estimated at US$1.6 trillion in 2013 (WTO 2014c).</w:t>
      </w:r>
    </w:p>
    <w:p w:rsidR="00AC2131" w:rsidRDefault="00AC2131" w:rsidP="00AC2131">
      <w:pPr>
        <w:pStyle w:val="BodyText"/>
      </w:pPr>
      <w:r w:rsidRPr="00A60CC1">
        <w:t xml:space="preserve">The </w:t>
      </w:r>
      <w:r>
        <w:t>ITA</w:t>
      </w:r>
      <w:r w:rsidRPr="00A60CC1">
        <w:t xml:space="preserve"> also provides for a work </w:t>
      </w:r>
      <w:r>
        <w:t>program</w:t>
      </w:r>
      <w:r w:rsidRPr="00A60CC1">
        <w:t xml:space="preserve"> to </w:t>
      </w:r>
      <w:r>
        <w:rPr>
          <w:lang w:val="en"/>
        </w:rPr>
        <w:t>develop non-binding principles on Non-Tariff Barriers including</w:t>
      </w:r>
      <w:r w:rsidRPr="00C519FF">
        <w:rPr>
          <w:lang w:val="en"/>
        </w:rPr>
        <w:t>: the use of international standards</w:t>
      </w:r>
      <w:r>
        <w:rPr>
          <w:lang w:val="en"/>
        </w:rPr>
        <w:t>;</w:t>
      </w:r>
      <w:r w:rsidRPr="00C519FF">
        <w:rPr>
          <w:lang w:val="en"/>
        </w:rPr>
        <w:t xml:space="preserve"> conformity assessment procedures related to the safety, electromagnetic compatibility, and radio emissions of IT products</w:t>
      </w:r>
      <w:r>
        <w:rPr>
          <w:lang w:val="en"/>
        </w:rPr>
        <w:t>,</w:t>
      </w:r>
      <w:r w:rsidRPr="00C519FF">
        <w:rPr>
          <w:lang w:val="en"/>
        </w:rPr>
        <w:t xml:space="preserve"> registration requirements for IT products</w:t>
      </w:r>
      <w:r>
        <w:rPr>
          <w:lang w:val="en"/>
        </w:rPr>
        <w:t>,</w:t>
      </w:r>
      <w:r w:rsidRPr="00C519FF">
        <w:rPr>
          <w:lang w:val="en"/>
        </w:rPr>
        <w:t xml:space="preserve"> good regulatory practices for the IT sector</w:t>
      </w:r>
      <w:r>
        <w:rPr>
          <w:lang w:val="en"/>
        </w:rPr>
        <w:t>,</w:t>
      </w:r>
      <w:r w:rsidRPr="00C519FF">
        <w:rPr>
          <w:lang w:val="en"/>
        </w:rPr>
        <w:t xml:space="preserve"> and transparency of regulatory measures affecting IT products</w:t>
      </w:r>
      <w:r>
        <w:rPr>
          <w:lang w:val="en"/>
        </w:rPr>
        <w:t>.</w:t>
      </w:r>
    </w:p>
    <w:p w:rsidR="00AC2131" w:rsidRDefault="00AC2131" w:rsidP="00AC2131">
      <w:pPr>
        <w:pStyle w:val="BodyText"/>
      </w:pPr>
      <w:r>
        <w:t>Efforts</w:t>
      </w:r>
      <w:r w:rsidRPr="002F0072">
        <w:t xml:space="preserve"> to extend the Agreement to cover </w:t>
      </w:r>
      <w:r>
        <w:t>around 200 additional products</w:t>
      </w:r>
      <w:r w:rsidRPr="002F0072">
        <w:t xml:space="preserve"> including many new generation communication</w:t>
      </w:r>
      <w:r>
        <w:t xml:space="preserve"> (such as smart phones)</w:t>
      </w:r>
      <w:r w:rsidRPr="002F0072">
        <w:t>, data and medical devices</w:t>
      </w:r>
      <w:r>
        <w:t xml:space="preserve"> have been underway since 2012</w:t>
      </w:r>
      <w:r w:rsidRPr="002F0072">
        <w:t xml:space="preserve">. </w:t>
      </w:r>
      <w:r w:rsidRPr="00B109EF">
        <w:t xml:space="preserve">The speed of technology development in these areas suggests ITA coverage will lag market realities. Nevertheless, </w:t>
      </w:r>
      <w:r>
        <w:t>e</w:t>
      </w:r>
      <w:r w:rsidRPr="002F0072">
        <w:t xml:space="preserve">stimates </w:t>
      </w:r>
      <w:r>
        <w:t>of</w:t>
      </w:r>
      <w:r w:rsidRPr="002F0072">
        <w:t xml:space="preserve"> the value of ITA expansion </w:t>
      </w:r>
      <w:r>
        <w:t xml:space="preserve">in the </w:t>
      </w:r>
      <w:r w:rsidRPr="002F0072">
        <w:t xml:space="preserve">products being proposed </w:t>
      </w:r>
      <w:r>
        <w:t>range from</w:t>
      </w:r>
      <w:r w:rsidRPr="002F0072">
        <w:t xml:space="preserve"> US$0.8</w:t>
      </w:r>
      <w:r>
        <w:t> </w:t>
      </w:r>
      <w:r w:rsidRPr="002F0072">
        <w:t>trillion to US</w:t>
      </w:r>
      <w:r>
        <w:t>$1.4 trillion of annual trade (WTO 2014b). An expanded ITA received further impetus through from a bilateral meeting between United States and Chinese negotiators at the APEC Leader’s Summit in Beijing in November 2014. The Director General of the WTO commented:</w:t>
      </w:r>
    </w:p>
    <w:p w:rsidR="00AC2131" w:rsidRDefault="00AC2131" w:rsidP="00AC2131">
      <w:pPr>
        <w:pStyle w:val="Quote"/>
      </w:pPr>
      <w:r>
        <w:t>Agreement on expanding the ITA would be the first successful tariff-cutting negotiation in the WTO for over a decade and a half – and, crucially, would benefit all WTO members, not just the ITA participants, because the tariff cuts would be applied in a non-discriminatory manner. (WTO 2014c)</w:t>
      </w:r>
    </w:p>
    <w:p w:rsidR="00AC2131" w:rsidRDefault="00AC2131" w:rsidP="00AC2131">
      <w:pPr>
        <w:pStyle w:val="Heading5"/>
        <w:rPr>
          <w:lang w:val="en"/>
        </w:rPr>
      </w:pPr>
      <w:r>
        <w:rPr>
          <w:lang w:val="en"/>
        </w:rPr>
        <w:t xml:space="preserve">Trade in Services Agreement </w:t>
      </w:r>
    </w:p>
    <w:p w:rsidR="00AC2131" w:rsidRDefault="00AC2131" w:rsidP="00AC2131">
      <w:pPr>
        <w:pStyle w:val="BodyText"/>
      </w:pPr>
      <w:r w:rsidRPr="002A3312">
        <w:t>Australia is also jointly leading (with the United States and the European Union) negotiations on a Trade in Services Agreement (TISA)</w:t>
      </w:r>
      <w:r>
        <w:t xml:space="preserve"> with 51 WTO members participating</w:t>
      </w:r>
      <w:r w:rsidRPr="002A3312">
        <w:t xml:space="preserve">. Negotiations began in early 2013 </w:t>
      </w:r>
      <w:r>
        <w:t>and are focused on improved market access commitments and rules in areas where there have been significant developments since the Uruguay Round of multilateral trade negotiations in 1991. These areas include financial services, domestic regulation and transparency, information and communications technology services, professional services, maritime and aviation services, and temporary entry of business persons (DFAT 2015d).</w:t>
      </w:r>
    </w:p>
    <w:p w:rsidR="00AC2131" w:rsidRDefault="00AC2131" w:rsidP="00AC2131">
      <w:pPr>
        <w:pStyle w:val="BodyText"/>
      </w:pPr>
      <w:r>
        <w:t xml:space="preserve">There are five rounds of negotiations scheduled in 2015 with the </w:t>
      </w:r>
      <w:r w:rsidRPr="002A3312">
        <w:t xml:space="preserve">latest round chaired by </w:t>
      </w:r>
      <w:r>
        <w:t>the European Union</w:t>
      </w:r>
      <w:r w:rsidRPr="002A3312">
        <w:t xml:space="preserve"> </w:t>
      </w:r>
      <w:r>
        <w:t>from</w:t>
      </w:r>
      <w:r w:rsidRPr="002A3312">
        <w:t xml:space="preserve"> 1</w:t>
      </w:r>
      <w:r>
        <w:t>3</w:t>
      </w:r>
      <w:r>
        <w:noBreakHyphen/>
        <w:t>17</w:t>
      </w:r>
      <w:r w:rsidRPr="002A3312">
        <w:t> </w:t>
      </w:r>
      <w:r>
        <w:t>April </w:t>
      </w:r>
      <w:r w:rsidRPr="002A3312">
        <w:t>201</w:t>
      </w:r>
      <w:r>
        <w:t xml:space="preserve">5. Continuing the pattern of short time lags </w:t>
      </w:r>
      <w:r>
        <w:lastRenderedPageBreak/>
        <w:t>between negotiating rounds, Australia will host the twelfth round of negotiations from 6</w:t>
      </w:r>
      <w:r>
        <w:noBreakHyphen/>
        <w:t>10 July 2015 in Geneva.</w:t>
      </w:r>
    </w:p>
    <w:p w:rsidR="00AC2131" w:rsidRPr="00C55085" w:rsidRDefault="00AC2131" w:rsidP="00AC2131">
      <w:pPr>
        <w:pStyle w:val="Heading5"/>
        <w:rPr>
          <w:lang w:val="en"/>
        </w:rPr>
      </w:pPr>
      <w:r>
        <w:rPr>
          <w:lang w:val="en"/>
        </w:rPr>
        <w:t>WTO G</w:t>
      </w:r>
      <w:r w:rsidR="00C463E1">
        <w:rPr>
          <w:lang w:val="en"/>
        </w:rPr>
        <w:t>overnment Procurement Agreement</w:t>
      </w:r>
    </w:p>
    <w:p w:rsidR="00AC2131" w:rsidRDefault="00AC2131" w:rsidP="00AC2131">
      <w:pPr>
        <w:pStyle w:val="BodyText"/>
        <w:rPr>
          <w:lang w:val="en"/>
        </w:rPr>
      </w:pPr>
      <w:r>
        <w:rPr>
          <w:lang w:val="en"/>
        </w:rPr>
        <w:t>The Australian Government also announced its intention to work towards Australia joining the WTO Agreement on Government Procurement (GPA) (Robb 2014b). Membership of the Agreement is intended to lower the impediments and improve access to the government procurement markets of 45 agreement partners on the same conditions as other members. The government procurement market of member economies is estimated to worth over $US 1.7 trillion in total (Robb 2014b). Membership of the agreement will also require the Australian Government to lower impediments and improve market access to member exporters. Current members of the GPA include the European Union’s 28 Member States, Canada, Japan, South Korea, the United States, Hong Kong, Iceland, Israel, Norway, Singapore, Switzerland, Liechtenstein and Taiwan. GPA coverage is expected to expand materially with several other countries currently negotiating to join, including China.</w:t>
      </w:r>
    </w:p>
    <w:p w:rsidR="00AC2131" w:rsidRPr="009E64BA" w:rsidRDefault="00AC2131" w:rsidP="00AC2131">
      <w:pPr>
        <w:pStyle w:val="BodyText"/>
      </w:pPr>
      <w:r w:rsidRPr="00F67569">
        <w:t>According to DFAT</w:t>
      </w:r>
      <w:r>
        <w:t> (2015e)</w:t>
      </w:r>
      <w:r w:rsidRPr="00F67569">
        <w:t xml:space="preserve">, a revised GPA which came into effect </w:t>
      </w:r>
      <w:r>
        <w:t xml:space="preserve">in </w:t>
      </w:r>
      <w:r w:rsidRPr="00F67569">
        <w:t>April</w:t>
      </w:r>
      <w:r>
        <w:t> </w:t>
      </w:r>
      <w:r w:rsidRPr="00F67569">
        <w:t>2014 is more in line w</w:t>
      </w:r>
      <w:r w:rsidRPr="00604C24">
        <w:t xml:space="preserve">ith the principles underlying Australia’s </w:t>
      </w:r>
      <w:r>
        <w:t xml:space="preserve">current </w:t>
      </w:r>
      <w:r w:rsidRPr="00604C24">
        <w:t>government procurement regime</w:t>
      </w:r>
      <w:r w:rsidRPr="00775A54">
        <w:t xml:space="preserve">. While Australia is already largely compliant with </w:t>
      </w:r>
      <w:r>
        <w:t xml:space="preserve">the </w:t>
      </w:r>
      <w:r w:rsidRPr="00F67569">
        <w:t xml:space="preserve">revised GPA, implementation would require some changes to current practices. Australia would be required to implement review procedures for suppliers that are effective, timely, transparent and non-discriminatory. Some changes would also be required to procedures for pre-qualification and </w:t>
      </w:r>
      <w:r>
        <w:t xml:space="preserve">for </w:t>
      </w:r>
      <w:r w:rsidRPr="00F67569">
        <w:t>limited tendering. S</w:t>
      </w:r>
      <w:r w:rsidRPr="00604C24">
        <w:t>ubmissions from interested parties to inform Government consideration of accession to the GPA are currently being considered.</w:t>
      </w:r>
    </w:p>
    <w:p w:rsidR="00AC2131" w:rsidRDefault="00AC2131" w:rsidP="00AC2131">
      <w:pPr>
        <w:pStyle w:val="Heading2"/>
      </w:pPr>
      <w:r>
        <w:t>7.</w:t>
      </w:r>
      <w:r>
        <w:rPr>
          <w:noProof/>
        </w:rPr>
        <w:t>2</w:t>
      </w:r>
      <w:r>
        <w:tab/>
        <w:t>Bilateral and regional agreements</w:t>
      </w:r>
    </w:p>
    <w:p w:rsidR="00AC2131" w:rsidRPr="00A55800" w:rsidRDefault="00AC2131" w:rsidP="00AC2131">
      <w:pPr>
        <w:pStyle w:val="Heading3"/>
        <w:spacing w:before="360"/>
      </w:pPr>
      <w:r>
        <w:t>Bilateral agreements</w:t>
      </w:r>
    </w:p>
    <w:p w:rsidR="00AC2131" w:rsidRDefault="00AC2131" w:rsidP="00AC2131">
      <w:pPr>
        <w:pStyle w:val="BodyText"/>
      </w:pPr>
      <w:r>
        <w:t>Over the past year, Australia concluded negotiations on a bilateral trade agreement with China and entered into force bilateral agreements with Korea (2014) and Japan (2015). An amendment to the ASEAN-Australia-New Zealand trade agreement (in force since 2010) was also signed. Australia also has trade agreements currently in force with New Zealand (in force since 1983), Singapore (2003), Thailand (2005), the United States (2005), Chile (2009) and Malaysia (2013) and is negotiating agreements with a number of other countries including India and Indonesia (figure 7.2).</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pPr>
            <w:r w:rsidRPr="00784A05">
              <w:rPr>
                <w:b w:val="0"/>
              </w:rPr>
              <w:t xml:space="preserve">Figure </w:t>
            </w:r>
            <w:r>
              <w:rPr>
                <w:b w:val="0"/>
              </w:rPr>
              <w:t>7.</w:t>
            </w:r>
            <w:r>
              <w:rPr>
                <w:b w:val="0"/>
                <w:noProof/>
              </w:rPr>
              <w:t>2</w:t>
            </w:r>
            <w:r>
              <w:tab/>
              <w:t>Australia’s bilateral trade agreements in force</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1ED75BDC" wp14:editId="46EBD0F3">
                        <wp:extent cx="5286375" cy="819150"/>
                        <wp:effectExtent l="0" t="0" r="0" b="0"/>
                        <wp:docPr id="33" name="Picture 33" descr="Figure 7.2 outlines Australia's bilateral trade agreements currently in force by the year in which the agreement entered into force.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286375" cy="8191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rPr>
          <w:trHeight w:val="175"/>
        </w:trPr>
        <w:tc>
          <w:tcPr>
            <w:tcW w:w="8771" w:type="dxa"/>
            <w:tcBorders>
              <w:top w:val="nil"/>
              <w:left w:val="nil"/>
              <w:bottom w:val="nil"/>
              <w:right w:val="nil"/>
            </w:tcBorders>
            <w:shd w:val="clear" w:color="auto" w:fill="auto"/>
          </w:tcPr>
          <w:p w:rsidR="00AC2131" w:rsidRPr="00176D3F" w:rsidRDefault="00AC2131" w:rsidP="00AC2131">
            <w:pPr>
              <w:pStyle w:val="Subtitle"/>
              <w:keepNext w:val="0"/>
              <w:spacing w:before="80" w:after="0" w:line="220" w:lineRule="exact"/>
              <w:ind w:left="0"/>
              <w:jc w:val="both"/>
              <w:rPr>
                <w:i/>
              </w:rPr>
            </w:pPr>
            <w:r>
              <w:rPr>
                <w:i/>
              </w:rPr>
              <w:t>S</w:t>
            </w:r>
            <w:r w:rsidRPr="00784A05">
              <w:rPr>
                <w:i/>
              </w:rPr>
              <w:t>ource</w:t>
            </w:r>
            <w:r w:rsidRPr="00176D3F">
              <w:t xml:space="preserve">: </w:t>
            </w:r>
            <w:r>
              <w:t>Derived from DFAT (2015c).</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rPr>
          <w:lang w:val="en"/>
        </w:rPr>
      </w:pPr>
      <w:r>
        <w:t>Although the priority given to these and future bilateral agreements is often justified on the basis of the value of gross export flows from Australia (and the potential for expanded market opportunities) these gross measures of trade are misleading indicators of actual trade. They do not take account of the trade diverted from non-partners which may be lower-cost producers, the efficiency costs of preferential arrangements or the opportunity costs of preferential arrangements relative to unilateral or multilateral approaches.</w:t>
      </w:r>
      <w:r>
        <w:rPr>
          <w:rStyle w:val="FootnoteReference"/>
        </w:rPr>
        <w:footnoteReference w:id="54"/>
      </w:r>
      <w:r>
        <w:t xml:space="preserve"> They also do not reflect the ultimate destination of Australian raw material and other exports processed though global value chains. For example, China accounted for an average 18 per cent of Australia’s exports measured on a gross basis between 2002 and 2011. When account is taken of the flow through of Australian value added in trade to third countries, China accounted for around 15 per cent of trade measured in value-added terms</w:t>
      </w:r>
      <w:r>
        <w:rPr>
          <w:lang w:val="en"/>
        </w:rPr>
        <w:t xml:space="preserve"> over the same period (Kelly and La Cava 2014). Comparisons of Australian gross and value-added exports to North America and Europe indicate their indirect use of Australian value-added in exporting. The share of gross exports to North America between 2002 and 2011 averaged around 10 per cent in gross terms compared to 16 per cent in value-added terms while the respective figures for Europe were 12 per cent and 16 per cent (chapter 2).</w:t>
      </w:r>
    </w:p>
    <w:p w:rsidR="00AC2131" w:rsidRDefault="00AC2131" w:rsidP="00AC2131">
      <w:pPr>
        <w:pStyle w:val="Heading4"/>
        <w:rPr>
          <w:lang w:val="en"/>
        </w:rPr>
      </w:pPr>
      <w:r>
        <w:rPr>
          <w:lang w:val="en"/>
        </w:rPr>
        <w:t>China-Australia trade agreement</w:t>
      </w:r>
    </w:p>
    <w:p w:rsidR="00AC2131" w:rsidRDefault="00AC2131" w:rsidP="00AC2131">
      <w:pPr>
        <w:pStyle w:val="BodyText"/>
      </w:pPr>
      <w:r>
        <w:t>Australia and China agreed to commence negotiations on a bilateral trade agreement in April 2005. In November 2014 (after 21 rounds of negotiations), the Australian and Chinese Governments announced the conclusion of negotiations for a bilateral trade agreement between the two countries. Formal signing of the agreement will take place once the text has been translated and subject to legal review. The negotiated text of the agreement along with a national interest analysis will then be tabled in the Australian Parliament. The agreement will then be considered by the Joint Standing Committee on Treaties which will report back to the Australian Parliament. Once both countries have completed their domestic treaty-making processes, there will be an exchange of diplomatic notes to certify the agreement is ready to enter into force. Thirty days after this exchange, or an otherwise agreed date, ChAFTA will enter into force.</w:t>
      </w:r>
      <w:r w:rsidRPr="00FF0786">
        <w:t xml:space="preserve"> </w:t>
      </w:r>
      <w:r>
        <w:t>The Australian and Chinese Governments have indicated a desire to have the agreement enter into force in 2015.</w:t>
      </w:r>
    </w:p>
    <w:p w:rsidR="00AC2131" w:rsidRPr="00FD4259" w:rsidRDefault="00AC2131" w:rsidP="00AC2131">
      <w:pPr>
        <w:pStyle w:val="BodyText"/>
        <w:rPr>
          <w:spacing w:val="-2"/>
        </w:rPr>
      </w:pPr>
      <w:r w:rsidRPr="00FD4259">
        <w:rPr>
          <w:spacing w:val="-2"/>
        </w:rPr>
        <w:lastRenderedPageBreak/>
        <w:t xml:space="preserve">Australia has provided China with substantially equivalent treatment to that in other recent bilateral agreements such as those with Japan and Korea (DFAT pers. comm., 21 May 2015). For instance, Australian tariffs on qualifying Chinese imports will either be eliminated on entry into force or phased out within two or four years for certain automotive, steel, aluminium, plastics, canned fruit, carpets, and clothing and footwear products. Services and investment outcomes are equivalent to commitments made in agreements with Japan and Korea including access to a higher foreign investment screening threshold (box 7.2). The agreement also partly met China’s request for improved temporary visa access including through an investment facilitation arrangement for projects above $150 million; up to 1800 skilled migrant visas and a separate agreement under which Australia will grant up to 5000 working holiday visas. Key features of the China-Australia agreement from Australia’s export market access viewpoint are listed in box 7.2. </w:t>
      </w:r>
    </w:p>
    <w:p w:rsidR="00AC2131" w:rsidRDefault="00AC2131" w:rsidP="00AC2131">
      <w:pPr>
        <w:pStyle w:val="BodyText"/>
      </w:pPr>
      <w:r>
        <w:t>In parallel to the agreement on trade, a Memorandum of Understanding (MOU) to establish official renminbi (RMB) clearing arrangements in Australia was signed.</w:t>
      </w:r>
      <w:r>
        <w:rPr>
          <w:rStyle w:val="FootnoteReference"/>
        </w:rPr>
        <w:footnoteReference w:id="55"/>
      </w:r>
      <w:r>
        <w:t xml:space="preserve"> The clearing arrangements will provide a more direct means of facilitating cross-border RMB trade and investment transactions between Australian and Chinese entities (RBA 2014). Using RMB (as opposed to the traditional reliance on USD) for trade can offer significant advantages for firms engaged in trade including better management of foreign exchange risk, lower transactions costs and faster processing times. Chinese authorities have also announced that Australian domiciled financial institutions will be allowed to invest in China’s bond and equity markets using RMB (RBA, pers. comm., 1 December 2014).</w:t>
      </w:r>
    </w:p>
    <w:p w:rsidR="00AC2131" w:rsidRDefault="00AC2131" w:rsidP="00AC2131">
      <w:pPr>
        <w:pStyle w:val="BodyText"/>
      </w:pPr>
      <w:r>
        <w:t>The conclusion of the China-Australia agreement continues the recent acceleration in efforts by the current Australian Government in pursuing bilateral preferential trade deals. It follows the signing and entry into force of the Korea-Australia and Japan-Australia agreements in 2014 and 2015 respectively. These agreements share a number of similarities including at times lengthy phasing arrangements for tariff reductions; product-specific rules of origin on merchandise trade; carve-outs for sensitive sectors (particularly agriculture but also in services through locational restrictions on establishing commercial presence); and increases in the screening threshold for private investment in Australia relative to MFN thresholds. But there are notable differences across the agreements as well such as the inclusion of an investor-state dispute settlement provision in the China and Korean agreements but not in the agreement with Japan (though this is subject to a review).</w:t>
      </w:r>
    </w:p>
    <w:p w:rsidR="00AC2131" w:rsidRDefault="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F2F2F2"/>
          </w:tcPr>
          <w:p w:rsidR="00AC2131" w:rsidRDefault="00AC2131">
            <w:pPr>
              <w:pStyle w:val="BoxTitle"/>
            </w:pPr>
            <w:r>
              <w:rPr>
                <w:b w:val="0"/>
              </w:rPr>
              <w:t>Box 7.2</w:t>
            </w:r>
            <w:r>
              <w:tab/>
              <w:t>Key features of the China-Australia trade agreement — Australian export market access perspective</w:t>
            </w:r>
          </w:p>
        </w:tc>
      </w:tr>
      <w:tr w:rsidR="00AC2131" w:rsidTr="00AC2131">
        <w:trPr>
          <w:cantSplit/>
        </w:trPr>
        <w:tc>
          <w:tcPr>
            <w:tcW w:w="8771" w:type="dxa"/>
            <w:tcBorders>
              <w:top w:val="nil"/>
              <w:left w:val="nil"/>
              <w:bottom w:val="nil"/>
              <w:right w:val="nil"/>
            </w:tcBorders>
            <w:shd w:val="clear" w:color="auto" w:fill="F2F2F2"/>
          </w:tcPr>
          <w:p w:rsidR="00AC2131" w:rsidRPr="00862A41" w:rsidRDefault="00AC2131" w:rsidP="00AC2131">
            <w:pPr>
              <w:pStyle w:val="Box"/>
              <w:spacing w:before="80"/>
            </w:pPr>
            <w:r>
              <w:t xml:space="preserve">Subject to origin requirements, </w:t>
            </w:r>
            <w:r w:rsidRPr="00862A41">
              <w:t xml:space="preserve">duty-free </w:t>
            </w:r>
            <w:r>
              <w:t>access for</w:t>
            </w:r>
            <w:r w:rsidRPr="00862A41">
              <w:t xml:space="preserve"> 93</w:t>
            </w:r>
            <w:r>
              <w:t> </w:t>
            </w:r>
            <w:r w:rsidRPr="00862A41">
              <w:t>per</w:t>
            </w:r>
            <w:r>
              <w:t> </w:t>
            </w:r>
            <w:r w:rsidRPr="00862A41">
              <w:t xml:space="preserve">cent of Australian exports to China </w:t>
            </w:r>
            <w:r>
              <w:t>will be phased in within 4 years with immediate duty-free access for 85 per cent of current exports on the agreements entry into force. Review mechanism within 3 years to consider further liberalisation and expanded market access.</w:t>
            </w:r>
          </w:p>
          <w:p w:rsidR="00AC2131" w:rsidRPr="005335BF" w:rsidRDefault="00AC2131" w:rsidP="00AC2131">
            <w:pPr>
              <w:pStyle w:val="Box"/>
            </w:pPr>
            <w:r>
              <w:rPr>
                <w:b/>
              </w:rPr>
              <w:t>Agriculture and processed food</w:t>
            </w:r>
          </w:p>
          <w:p w:rsidR="00AC2131" w:rsidRDefault="00AC2131" w:rsidP="00AC2131">
            <w:pPr>
              <w:pStyle w:val="BoxListBullet"/>
              <w:spacing w:before="80"/>
            </w:pPr>
            <w:r>
              <w:t xml:space="preserve">Phased duty-free access for Australian exports of hides, skins and leather products over 2 to 7 years; live animals, wine, seafood and most horticulture products over 4 years; dairy products over 4 to 11 years; sheepmeat over 8 years and beef over 9 years. Barley on entry into force. Australia-only duty free quota for wool in addition to continued access to China’s WTO wool quota. </w:t>
            </w:r>
          </w:p>
          <w:p w:rsidR="00AC2131" w:rsidRPr="005335BF" w:rsidRDefault="00AC2131" w:rsidP="00AC2131">
            <w:pPr>
              <w:pStyle w:val="Box"/>
            </w:pPr>
            <w:r>
              <w:rPr>
                <w:b/>
              </w:rPr>
              <w:t>Resources, Energy and Manufacturing</w:t>
            </w:r>
          </w:p>
          <w:p w:rsidR="00AC2131" w:rsidRDefault="00AC2131" w:rsidP="00AC2131">
            <w:pPr>
              <w:pStyle w:val="BoxListBullet"/>
              <w:spacing w:before="80"/>
            </w:pPr>
            <w:r>
              <w:t>Duty-free access</w:t>
            </w:r>
            <w:r w:rsidRPr="0042318D">
              <w:t xml:space="preserve"> </w:t>
            </w:r>
            <w:r>
              <w:t>for all Australian originating resources and energy products including coking coal immediately on entry into force and thermal coal within 2 years; all pharmaceutical products either on entry or over 4 years; other eligible manufactured products within 4 years. Removal of tariffs on many transformed resources/energy products on entry into force.</w:t>
            </w:r>
          </w:p>
          <w:p w:rsidR="00AC2131" w:rsidRPr="00C72919" w:rsidRDefault="00AC2131" w:rsidP="00AC2131">
            <w:pPr>
              <w:pStyle w:val="Box"/>
            </w:pPr>
            <w:r w:rsidRPr="005335BF">
              <w:rPr>
                <w:b/>
              </w:rPr>
              <w:t>Services trade and investment</w:t>
            </w:r>
          </w:p>
          <w:p w:rsidR="00AC2131" w:rsidRPr="003F7455" w:rsidRDefault="00AC2131" w:rsidP="00AC2131">
            <w:pPr>
              <w:pStyle w:val="BoxListBullet"/>
              <w:spacing w:before="80"/>
            </w:pPr>
            <w:r>
              <w:t>Agreement includes improved market access for eligible projects for a range of Australian service suppliers including:</w:t>
            </w:r>
          </w:p>
          <w:p w:rsidR="00AC2131" w:rsidRDefault="00AC2131" w:rsidP="00AC2131">
            <w:pPr>
              <w:pStyle w:val="BoxListBullet2"/>
              <w:spacing w:before="80" w:line="240" w:lineRule="atLeast"/>
            </w:pPr>
            <w:r>
              <w:t>legal firms to establish commercial associations with Chinese law firms in the Shanghai Free Trade Zone</w:t>
            </w:r>
          </w:p>
          <w:p w:rsidR="00AC2131" w:rsidRDefault="00AC2131" w:rsidP="00AC2131">
            <w:pPr>
              <w:pStyle w:val="BoxListBullet2"/>
              <w:spacing w:before="80" w:line="240" w:lineRule="atLeast"/>
            </w:pPr>
            <w:r>
              <w:t>new or improved market access for qualifying Australian financial services providers</w:t>
            </w:r>
          </w:p>
          <w:p w:rsidR="00AC2131" w:rsidRDefault="00AC2131" w:rsidP="00AC2131">
            <w:pPr>
              <w:pStyle w:val="BoxListBullet2"/>
              <w:spacing w:before="80" w:line="240" w:lineRule="atLeast"/>
            </w:pPr>
            <w:r>
              <w:t>qualifying mining services suppliers allowed to provide technical consulting and field services in coal bed methane and shale gas extraction and to joint-venture consulting services in oil and gas exploitation, iron, copper and manganese resources</w:t>
            </w:r>
          </w:p>
          <w:p w:rsidR="00AC2131" w:rsidRDefault="00AC2131" w:rsidP="00AC2131">
            <w:pPr>
              <w:pStyle w:val="BoxListBullet2"/>
              <w:spacing w:before="80" w:line="240" w:lineRule="atLeast"/>
            </w:pPr>
            <w:r>
              <w:t>architectural and urban planning firms allowed access to higher value Chinese projects, taking into account Australian experience in applications for higher-level qualifications</w:t>
            </w:r>
          </w:p>
          <w:p w:rsidR="00AC2131" w:rsidRDefault="00AC2131" w:rsidP="00AC2131">
            <w:pPr>
              <w:pStyle w:val="BoxListBullet2"/>
              <w:spacing w:before="80" w:line="240" w:lineRule="atLeast"/>
            </w:pPr>
            <w:r>
              <w:t>certain qualifying service sectors allowed to wholly-own subsidiaries in China such as in software implementation, R&amp;D, printing, real estate and environmental services.</w:t>
            </w:r>
          </w:p>
          <w:p w:rsidR="00AC2131" w:rsidRPr="00930FDA" w:rsidRDefault="00AC2131" w:rsidP="00AC2131">
            <w:pPr>
              <w:pStyle w:val="BoxListBullet"/>
              <w:spacing w:before="80"/>
            </w:pPr>
            <w:r w:rsidRPr="00930FDA">
              <w:t>Increase in the screening threshold for Chinese private investment in Australia in non-sensitive sectors from $2</w:t>
            </w:r>
            <w:r>
              <w:t>52 </w:t>
            </w:r>
            <w:r w:rsidRPr="00930FDA">
              <w:t>million to $10</w:t>
            </w:r>
            <w:r>
              <w:t>94 </w:t>
            </w:r>
            <w:r w:rsidRPr="00930FDA">
              <w:t xml:space="preserve">million </w:t>
            </w:r>
            <w:r>
              <w:t xml:space="preserve">(current levels) </w:t>
            </w:r>
            <w:r w:rsidRPr="00930FDA">
              <w:t>in line with the threshold applied to New Zealand, the United States, Korea and Japan</w:t>
            </w:r>
            <w:r>
              <w:t>.</w:t>
            </w:r>
          </w:p>
          <w:p w:rsidR="00AC2131" w:rsidRPr="00930FDA" w:rsidRDefault="00AC2131" w:rsidP="00AC2131">
            <w:pPr>
              <w:pStyle w:val="BoxListBullet"/>
              <w:spacing w:before="80"/>
            </w:pPr>
            <w:r w:rsidRPr="00930FDA">
              <w:t xml:space="preserve">Provision for an investor-state dispute settlement mechanism. The agreement </w:t>
            </w:r>
            <w:r>
              <w:t>includes safeguards to protect government’s ability to regulate in the</w:t>
            </w:r>
            <w:r w:rsidRPr="00930FDA">
              <w:t xml:space="preserve"> public </w:t>
            </w:r>
            <w:r>
              <w:t>interest</w:t>
            </w:r>
            <w:r w:rsidRPr="00930FDA">
              <w:t>, such as in the areas of public health, safety, and the environment.</w:t>
            </w:r>
          </w:p>
          <w:p w:rsidR="00AC2131" w:rsidRPr="00C72919" w:rsidRDefault="00AC2131" w:rsidP="00AC2131">
            <w:pPr>
              <w:pStyle w:val="Box"/>
            </w:pPr>
            <w:r w:rsidRPr="005335BF">
              <w:rPr>
                <w:b/>
              </w:rPr>
              <w:t>Other areas</w:t>
            </w:r>
          </w:p>
          <w:p w:rsidR="00AC2131" w:rsidRDefault="00AC2131" w:rsidP="00AC2131">
            <w:pPr>
              <w:pStyle w:val="BoxListBullet"/>
              <w:spacing w:before="80"/>
            </w:pPr>
            <w:r>
              <w:t>Establishment of a framework for the growth of bilateral electronic commerce.</w:t>
            </w:r>
          </w:p>
          <w:p w:rsidR="00AC2131" w:rsidRDefault="00AC2131" w:rsidP="00AC2131">
            <w:pPr>
              <w:pStyle w:val="BoxListBullet"/>
              <w:spacing w:before="80"/>
            </w:pPr>
            <w:r>
              <w:t>Re-affirmation of existing international intellectual property obligations.</w:t>
            </w:r>
          </w:p>
          <w:p w:rsidR="00AC2131" w:rsidRDefault="00AC2131" w:rsidP="00AC2131">
            <w:pPr>
              <w:pStyle w:val="BoxListBullet"/>
              <w:spacing w:before="80"/>
            </w:pPr>
            <w:r>
              <w:t>Scope for future negotiations on reciprocal access to government procurement markets.</w:t>
            </w:r>
          </w:p>
          <w:p w:rsidR="00AC2131" w:rsidRDefault="00AC2131" w:rsidP="00AC2131">
            <w:pPr>
              <w:pStyle w:val="BoxListBullet"/>
              <w:spacing w:before="80"/>
            </w:pPr>
            <w:r>
              <w:t>Streamlined customs processes to improve trade facilitation.</w:t>
            </w:r>
          </w:p>
        </w:tc>
      </w:tr>
      <w:tr w:rsidR="00AC2131" w:rsidTr="00AC2131">
        <w:trPr>
          <w:cantSplit/>
        </w:trPr>
        <w:tc>
          <w:tcPr>
            <w:tcW w:w="8771" w:type="dxa"/>
            <w:tcBorders>
              <w:top w:val="nil"/>
              <w:left w:val="nil"/>
              <w:bottom w:val="nil"/>
              <w:right w:val="nil"/>
            </w:tcBorders>
            <w:shd w:val="clear" w:color="auto" w:fill="F2F2F2"/>
          </w:tcPr>
          <w:p w:rsidR="00AC2131" w:rsidRDefault="00AC2131" w:rsidP="00AC2131">
            <w:pPr>
              <w:pStyle w:val="BoxSource"/>
            </w:pPr>
            <w:r>
              <w:rPr>
                <w:i/>
              </w:rPr>
              <w:t xml:space="preserve">Source : </w:t>
            </w:r>
            <w:r>
              <w:t>Abbott and Robb (2014);</w:t>
            </w:r>
            <w:r>
              <w:rPr>
                <w:i/>
              </w:rPr>
              <w:t xml:space="preserve"> </w:t>
            </w:r>
            <w:r w:rsidRPr="00C72919">
              <w:t>DFAT</w:t>
            </w:r>
            <w:r>
              <w:t> (2014a).</w:t>
            </w:r>
          </w:p>
        </w:tc>
      </w:tr>
      <w:tr w:rsidR="00AC2131" w:rsidTr="00AC2131">
        <w:trPr>
          <w:cantSplit/>
        </w:trPr>
        <w:tc>
          <w:tcPr>
            <w:tcW w:w="8771" w:type="dxa"/>
            <w:tcBorders>
              <w:top w:val="nil"/>
              <w:left w:val="nil"/>
              <w:bottom w:val="single" w:sz="6" w:space="0" w:color="78A22F"/>
              <w:right w:val="nil"/>
            </w:tcBorders>
            <w:shd w:val="clear" w:color="auto" w:fill="F2F2F2"/>
          </w:tcPr>
          <w:p w:rsidR="00AC2131" w:rsidRDefault="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FD4259" w:rsidRDefault="00AC2131" w:rsidP="00AC2131">
      <w:pPr>
        <w:pStyle w:val="Heading5"/>
      </w:pPr>
      <w:r w:rsidRPr="00FD4259">
        <w:lastRenderedPageBreak/>
        <w:t>ASEAN-Australia-New Zealand agreement</w:t>
      </w:r>
    </w:p>
    <w:p w:rsidR="00AC2131" w:rsidRPr="00815D77" w:rsidRDefault="00AC2131" w:rsidP="00AC2131">
      <w:pPr>
        <w:pStyle w:val="BodyText"/>
      </w:pPr>
      <w:r w:rsidRPr="00FD4259">
        <w:t>Another development during the year was the signing</w:t>
      </w:r>
      <w:r w:rsidRPr="007B1756">
        <w:rPr>
          <w:rStyle w:val="DraftingNote"/>
          <w:b w:val="0"/>
          <w:color w:val="auto"/>
          <w:u w:val="none"/>
        </w:rPr>
        <w:t xml:space="preserve"> of the First Protocol to amend the </w:t>
      </w:r>
      <w:r w:rsidRPr="00815D77">
        <w:t>ASEAN-Australia-New Zealand trade agreement. Ministers from the Parties to the</w:t>
      </w:r>
      <w:r w:rsidRPr="00473C14">
        <w:rPr>
          <w:rStyle w:val="DraftingNote"/>
          <w:b w:val="0"/>
          <w:color w:val="auto"/>
          <w:u w:val="none"/>
        </w:rPr>
        <w:t xml:space="preserve"> </w:t>
      </w:r>
      <w:r w:rsidRPr="00815D77">
        <w:t xml:space="preserve">Agreement signed the Protocol in Nay Pyi Taw, </w:t>
      </w:r>
      <w:r>
        <w:t>Myanmar</w:t>
      </w:r>
      <w:r w:rsidRPr="00815D77">
        <w:t xml:space="preserve"> on 26</w:t>
      </w:r>
      <w:r>
        <w:t> </w:t>
      </w:r>
      <w:r w:rsidRPr="00815D77">
        <w:t>August</w:t>
      </w:r>
      <w:r>
        <w:t> </w:t>
      </w:r>
      <w:r w:rsidRPr="00815D77">
        <w:t>2014. The aim was</w:t>
      </w:r>
      <w:r w:rsidRPr="007B1756">
        <w:rPr>
          <w:rStyle w:val="DraftingNote"/>
          <w:b w:val="0"/>
          <w:color w:val="auto"/>
          <w:u w:val="none"/>
        </w:rPr>
        <w:t xml:space="preserve"> </w:t>
      </w:r>
      <w:r w:rsidRPr="00815D77">
        <w:t>to enhance business utilisation of the tariff preferences by simplifying rules of origin</w:t>
      </w:r>
      <w:r w:rsidRPr="00473C14">
        <w:rPr>
          <w:rStyle w:val="DraftingNote"/>
          <w:b w:val="0"/>
          <w:color w:val="auto"/>
          <w:u w:val="none"/>
        </w:rPr>
        <w:t xml:space="preserve"> </w:t>
      </w:r>
      <w:r w:rsidRPr="00815D77">
        <w:t>requirements and associated administrative arrangements that raised business concerns regarding the need to provide commercially sensitive information (Robb</w:t>
      </w:r>
      <w:r>
        <w:t> </w:t>
      </w:r>
      <w:r w:rsidRPr="00815D77">
        <w:t>2014</w:t>
      </w:r>
      <w:r>
        <w:t>e</w:t>
      </w:r>
      <w:r w:rsidRPr="00815D77">
        <w:t>). Rules o</w:t>
      </w:r>
      <w:r>
        <w:t>f</w:t>
      </w:r>
      <w:r w:rsidRPr="00473C14">
        <w:rPr>
          <w:rStyle w:val="DraftingNote"/>
          <w:b w:val="0"/>
          <w:color w:val="auto"/>
          <w:u w:val="none"/>
        </w:rPr>
        <w:t xml:space="preserve"> </w:t>
      </w:r>
      <w:r w:rsidRPr="00815D77">
        <w:t>origin issues are discussed in more detail in chapter</w:t>
      </w:r>
      <w:r>
        <w:t> </w:t>
      </w:r>
      <w:r w:rsidRPr="00815D77">
        <w:t xml:space="preserve">4. It is expected the First Protocol will enter into force in the last quarter of 2015. </w:t>
      </w:r>
    </w:p>
    <w:p w:rsidR="00AC2131" w:rsidRPr="000F3D2F" w:rsidRDefault="00AC2131" w:rsidP="00AC2131">
      <w:pPr>
        <w:pStyle w:val="Heading3"/>
      </w:pPr>
      <w:r>
        <w:t>Regional agreements</w:t>
      </w:r>
    </w:p>
    <w:p w:rsidR="00AC2131" w:rsidRDefault="00AC2131" w:rsidP="00AC2131">
      <w:pPr>
        <w:pStyle w:val="BodyText"/>
      </w:pPr>
      <w:r>
        <w:t xml:space="preserve">In addition to bilateral agreements, Australia is a negotiating party to two possible regional trade agreements — the Regional Comprehensive Economic Partnership (RCEP) and the Trans-Pacific Partnership (TPP). Both proposals could serve to harmonise the disparate provisions (for example, with respect to rules of origin) contained in existing bilateral agreements among negotiating parties to the respective agreements. Although the TPP will </w:t>
      </w:r>
    </w:p>
    <w:p w:rsidR="00AC2131" w:rsidRDefault="00AC2131" w:rsidP="00AC2131">
      <w:pPr>
        <w:pStyle w:val="BodyText"/>
      </w:pPr>
      <w:r>
        <w:t xml:space="preserve">be open to other Asia-Pacific economies to join, there is the likelihood that a RCEP or a TPP bloc will discriminate against non-parties to the respective agreements. There is also a risk that specific provisions within these agreements including those relating to intellectual property, investor-state dispute settlement and product-specific rules of origin will impose net costs on trading partner economies. </w:t>
      </w:r>
    </w:p>
    <w:p w:rsidR="00AC2131" w:rsidRPr="009024B0" w:rsidRDefault="00AC2131" w:rsidP="00AC2131">
      <w:pPr>
        <w:pStyle w:val="BodyText"/>
      </w:pPr>
      <w:r>
        <w:t>These concerns are heightened by the continuing absence of two critical areas of transparency. First, the lack of contemporaneous transparency of the provisions being negotiated.</w:t>
      </w:r>
      <w:r>
        <w:rPr>
          <w:rStyle w:val="FootnoteReference"/>
        </w:rPr>
        <w:footnoteReference w:id="56"/>
      </w:r>
      <w:r>
        <w:t xml:space="preserve"> Second, the absence of any rigorous and transparent assessment of the negotiated text of an agreement before signing (noting that post-negotiation assessments can only result in the Government deciding not to proceed with ratification).</w:t>
      </w:r>
      <w:r>
        <w:rPr>
          <w:rStyle w:val="FootnoteReference"/>
        </w:rPr>
        <w:footnoteReference w:id="57"/>
      </w:r>
      <w:r>
        <w:t xml:space="preserve"> An assessment of the post-negotiation review process undertaken by the Australian Government for the Japan-Australia Economic Partnership Agreement is provided in chapter 4.</w:t>
      </w:r>
    </w:p>
    <w:p w:rsidR="00AC2131" w:rsidRDefault="00AC2131" w:rsidP="00AC2131">
      <w:pPr>
        <w:pStyle w:val="Heading4"/>
      </w:pPr>
      <w:r>
        <w:t>Regional Comprehensive Economic Partnership</w:t>
      </w:r>
    </w:p>
    <w:p w:rsidR="00AC2131" w:rsidRDefault="00AC2131" w:rsidP="00AC2131">
      <w:pPr>
        <w:pStyle w:val="BodyText"/>
      </w:pPr>
      <w:r w:rsidRPr="00885B68">
        <w:t xml:space="preserve">Singapore hosted the fifth round of negotiations of </w:t>
      </w:r>
      <w:r>
        <w:t>RCEP</w:t>
      </w:r>
      <w:r w:rsidRPr="00885B68">
        <w:t xml:space="preserve"> </w:t>
      </w:r>
      <w:r>
        <w:t>from 21 to 27 June 2014. Negotiations</w:t>
      </w:r>
      <w:r w:rsidRPr="00885B68">
        <w:t xml:space="preserve"> focused on key issues for RCEP Ministers' consideration and guidance, </w:t>
      </w:r>
      <w:r w:rsidRPr="00885B68">
        <w:lastRenderedPageBreak/>
        <w:t>including on the scope of the RCEP agreement and the level of ambition for negotiations on tariffs, services and investment.</w:t>
      </w:r>
      <w:r>
        <w:t xml:space="preserve"> </w:t>
      </w:r>
      <w:r w:rsidRPr="00885B68">
        <w:t>New negotiating groups on</w:t>
      </w:r>
      <w:r>
        <w:t xml:space="preserve"> legal and institutional issues;</w:t>
      </w:r>
      <w:r w:rsidRPr="00885B68">
        <w:t xml:space="preserve"> sanit</w:t>
      </w:r>
      <w:r>
        <w:t>ary and phyto-sanitary measures;</w:t>
      </w:r>
      <w:r w:rsidRPr="00885B68">
        <w:t xml:space="preserve"> and standards, technical regulations and conformity assessment procedures met for the first time. Negotiations on good services, investment, economic and technical cooperation, intellectual property, rules of origin and customs procedures and trade facilitation continued</w:t>
      </w:r>
      <w:r>
        <w:t>.</w:t>
      </w:r>
    </w:p>
    <w:p w:rsidR="00AC2131" w:rsidRDefault="00AC2131" w:rsidP="00AC2131">
      <w:pPr>
        <w:pStyle w:val="BodyText"/>
      </w:pPr>
      <w:r w:rsidRPr="00DD06D0">
        <w:t xml:space="preserve">The Economic Ministers from the 16 RCEP Participating Countries attended the 2nd RCEP Ministerial Meeting held </w:t>
      </w:r>
      <w:r>
        <w:t xml:space="preserve">in </w:t>
      </w:r>
      <w:r w:rsidRPr="00DD06D0">
        <w:t xml:space="preserve">August 2014 in Nay Pyi Taw, </w:t>
      </w:r>
      <w:r>
        <w:t>Myanmar</w:t>
      </w:r>
      <w:r w:rsidRPr="002461CE">
        <w:t>.</w:t>
      </w:r>
      <w:r w:rsidRPr="007267E4">
        <w:t xml:space="preserve"> Ministers discussed progress to date and </w:t>
      </w:r>
      <w:r>
        <w:t>sought</w:t>
      </w:r>
      <w:r w:rsidRPr="007267E4">
        <w:t xml:space="preserve"> expedite</w:t>
      </w:r>
      <w:r>
        <w:t>d</w:t>
      </w:r>
      <w:r w:rsidRPr="007267E4">
        <w:t xml:space="preserve"> work</w:t>
      </w:r>
      <w:r w:rsidRPr="00DD06D0">
        <w:t xml:space="preserve"> on core negotiating issues</w:t>
      </w:r>
      <w:r w:rsidRPr="007267E4">
        <w:t xml:space="preserve"> including the modality for initial tariff offers and scheduling of services and investment commitments.</w:t>
      </w:r>
      <w:r>
        <w:t xml:space="preserve"> The Ministers reiterated the aim set in 2012 to complete the RCEP negotiations by the end of 2015.</w:t>
      </w:r>
    </w:p>
    <w:p w:rsidR="00AC2131" w:rsidRDefault="00AC2131" w:rsidP="00AC2131">
      <w:pPr>
        <w:pStyle w:val="BodyText"/>
      </w:pPr>
      <w:r>
        <w:t>Four inter-</w:t>
      </w:r>
      <w:r w:rsidRPr="007267E4">
        <w:t xml:space="preserve">sessional meetings </w:t>
      </w:r>
      <w:r>
        <w:t>of various working groups were held in the lead-up to the</w:t>
      </w:r>
      <w:r w:rsidRPr="007267E4">
        <w:t xml:space="preserve"> </w:t>
      </w:r>
      <w:r>
        <w:t>sixth</w:t>
      </w:r>
      <w:r w:rsidRPr="007267E4">
        <w:t xml:space="preserve"> round </w:t>
      </w:r>
      <w:r>
        <w:t>of RCEP negotiations held between</w:t>
      </w:r>
      <w:r w:rsidRPr="007267E4">
        <w:t xml:space="preserve"> </w:t>
      </w:r>
      <w:r w:rsidRPr="00885B68">
        <w:t>1</w:t>
      </w:r>
      <w:r>
        <w:t xml:space="preserve"> and </w:t>
      </w:r>
      <w:r w:rsidRPr="00885B68">
        <w:t>5</w:t>
      </w:r>
      <w:r>
        <w:t> </w:t>
      </w:r>
      <w:r w:rsidRPr="007267E4">
        <w:t>December</w:t>
      </w:r>
      <w:r>
        <w:t> </w:t>
      </w:r>
      <w:r w:rsidRPr="007267E4">
        <w:t>2014 in Greater Noida, India</w:t>
      </w:r>
      <w:r>
        <w:t xml:space="preserve">. </w:t>
      </w:r>
      <w:r w:rsidRPr="007267E4">
        <w:t xml:space="preserve">These </w:t>
      </w:r>
      <w:r>
        <w:t>inter-</w:t>
      </w:r>
      <w:r w:rsidRPr="007267E4">
        <w:t>sessional meetings relate</w:t>
      </w:r>
      <w:r>
        <w:t>d</w:t>
      </w:r>
      <w:r w:rsidRPr="007267E4">
        <w:t xml:space="preserve"> to economic and technical cooperation (16</w:t>
      </w:r>
      <w:r>
        <w:noBreakHyphen/>
      </w:r>
      <w:r w:rsidRPr="007267E4">
        <w:t>18</w:t>
      </w:r>
      <w:r>
        <w:t> </w:t>
      </w:r>
      <w:r w:rsidRPr="007267E4">
        <w:t>September, Bali)</w:t>
      </w:r>
      <w:r>
        <w:t>,</w:t>
      </w:r>
      <w:r w:rsidRPr="007267E4">
        <w:t xml:space="preserve"> rules of origin (10</w:t>
      </w:r>
      <w:r>
        <w:noBreakHyphen/>
      </w:r>
      <w:r w:rsidRPr="007267E4">
        <w:t>14</w:t>
      </w:r>
      <w:r>
        <w:t> </w:t>
      </w:r>
      <w:r w:rsidRPr="007267E4">
        <w:t>October, Cairns)</w:t>
      </w:r>
      <w:r>
        <w:t>,</w:t>
      </w:r>
      <w:r w:rsidRPr="007267E4">
        <w:t xml:space="preserve"> services and investment (27</w:t>
      </w:r>
      <w:r>
        <w:noBreakHyphen/>
      </w:r>
      <w:r w:rsidRPr="007267E4">
        <w:t>31</w:t>
      </w:r>
      <w:r>
        <w:t> </w:t>
      </w:r>
      <w:r w:rsidRPr="007267E4">
        <w:t>October, Sydney)</w:t>
      </w:r>
      <w:r>
        <w:t xml:space="preserve">, </w:t>
      </w:r>
      <w:r w:rsidRPr="007267E4">
        <w:t>and tariff modalities in the Trade Negotiating Committee (27</w:t>
      </w:r>
      <w:r>
        <w:noBreakHyphen/>
      </w:r>
      <w:r w:rsidRPr="007267E4">
        <w:t>28</w:t>
      </w:r>
      <w:r>
        <w:t> </w:t>
      </w:r>
      <w:r w:rsidRPr="007267E4">
        <w:t>October, Jakarta)</w:t>
      </w:r>
      <w:r>
        <w:t>. The seventh round of negotiations was held on 9</w:t>
      </w:r>
      <w:r>
        <w:noBreakHyphen/>
        <w:t xml:space="preserve">13 February 2015 in Bangkok, Thailand. </w:t>
      </w:r>
    </w:p>
    <w:p w:rsidR="00AC2131" w:rsidRPr="00FD4259" w:rsidRDefault="00AC2131" w:rsidP="00AC2131">
      <w:pPr>
        <w:pStyle w:val="BodyText"/>
        <w:rPr>
          <w:spacing w:val="-4"/>
        </w:rPr>
      </w:pPr>
      <w:r w:rsidRPr="00FD4259">
        <w:rPr>
          <w:spacing w:val="-4"/>
        </w:rPr>
        <w:t xml:space="preserve">The chapter text is progressing on agreed areas under negotiation including goods and services trade, investment, competition, intellectual property, economic and technical cooperation, and dispute settlement. Detailed consideration has also been given to other issues including electronic commerce and small and medium enterprises. Market access negotiations have not yet commenced with officials working on an agreed pathway toward that aim. Deliberations have focused on addressing the challenges of adding value to the existing ASEAN+1 agreements that vary in scope, scale, depth, and degrees of comprehensiveness. </w:t>
      </w:r>
    </w:p>
    <w:p w:rsidR="00AC2131" w:rsidRPr="002E6068" w:rsidRDefault="00AC2131" w:rsidP="00AC2131">
      <w:pPr>
        <w:pStyle w:val="Heading4"/>
      </w:pPr>
      <w:r>
        <w:t>Trans-</w:t>
      </w:r>
      <w:r w:rsidRPr="002E6068">
        <w:t>Pacific Partnership</w:t>
      </w:r>
    </w:p>
    <w:p w:rsidR="00AC2131" w:rsidRPr="00810E38" w:rsidRDefault="00AC2131" w:rsidP="00AC2131">
      <w:pPr>
        <w:pStyle w:val="BodyText"/>
        <w:rPr>
          <w:lang w:val="en"/>
        </w:rPr>
      </w:pPr>
      <w:r>
        <w:t xml:space="preserve">The proposed TPP aims to create a comprehensive model agreement that </w:t>
      </w:r>
      <w:r>
        <w:rPr>
          <w:lang w:val="en"/>
        </w:rPr>
        <w:t>would facilitate a consolidation of differences (particularly rules of origin) in existing bilateral agreements</w:t>
      </w:r>
      <w:r>
        <w:t xml:space="preserve"> and provide scope to be expanded to include additional members. The agreement would cover </w:t>
      </w:r>
      <w:r>
        <w:rPr>
          <w:lang w:val="en"/>
        </w:rPr>
        <w:t xml:space="preserve">trade in goods and services, rules of origin, trade remedies, </w:t>
      </w:r>
      <w:r w:rsidRPr="00F83842">
        <w:rPr>
          <w:lang w:val="en"/>
        </w:rPr>
        <w:t>sanitary and phyto</w:t>
      </w:r>
      <w:r>
        <w:rPr>
          <w:lang w:val="en"/>
        </w:rPr>
        <w:t>-</w:t>
      </w:r>
      <w:r w:rsidRPr="00F83842">
        <w:rPr>
          <w:lang w:val="en"/>
        </w:rPr>
        <w:t>sanitary measures</w:t>
      </w:r>
      <w:r>
        <w:rPr>
          <w:lang w:val="en"/>
        </w:rPr>
        <w:t xml:space="preserve">, technical barriers to trade, intellectual property, government procurement, competition policy, temporary entry of business persons and dispute settlement procedures. </w:t>
      </w:r>
      <w:r>
        <w:t>There are currently 12 negotiating parties – Australia, Brunei, Canada, Chile, Japan, Malaysia, Mexico, New Zealand, Peru, Singapore, the United States and Vietnam.</w:t>
      </w:r>
      <w:r>
        <w:rPr>
          <w:rStyle w:val="FootnoteReference"/>
        </w:rPr>
        <w:footnoteReference w:id="58"/>
      </w:r>
      <w:r>
        <w:t xml:space="preserve"> Together they account for around 40 per cent of global GDP, one third of </w:t>
      </w:r>
      <w:r>
        <w:lastRenderedPageBreak/>
        <w:t>world trade and have a combined population of around 800 million. The latest TPP ministerial meeting was held in Hawaii from 9-15 March 2015. According to the Ministers and Heads of Delegation for the TPP countries:</w:t>
      </w:r>
    </w:p>
    <w:p w:rsidR="00AC2131" w:rsidRDefault="00AC2131" w:rsidP="00AC2131">
      <w:pPr>
        <w:pStyle w:val="Quote"/>
        <w:rPr>
          <w:lang w:val="en"/>
        </w:rPr>
      </w:pPr>
      <w:r>
        <w:rPr>
          <w:lang w:val="en"/>
        </w:rPr>
        <w:t>… we have made significant progress on both component parts of the TPP Agreement: the market access negotiations and negotiations on the trade and investment rules, which will define, shape and integrate the TPP region once the agreement comes into force. (Robb 2014f)</w:t>
      </w:r>
    </w:p>
    <w:p w:rsidR="00AC2131" w:rsidRPr="00810E38" w:rsidRDefault="00AC2131" w:rsidP="00AC2131">
      <w:pPr>
        <w:pStyle w:val="BodyText"/>
        <w:rPr>
          <w:lang w:val="en"/>
        </w:rPr>
      </w:pPr>
      <w:r>
        <w:t>The timeline for completion of negotiations is unclear.</w:t>
      </w:r>
    </w:p>
    <w:p w:rsidR="00AC2131" w:rsidRDefault="00AC2131" w:rsidP="00AC2131">
      <w:pPr>
        <w:pStyle w:val="BodyText"/>
        <w:rPr>
          <w:lang w:val="en"/>
        </w:rPr>
      </w:pPr>
      <w:r>
        <w:rPr>
          <w:lang w:val="en"/>
        </w:rPr>
        <w:t>Proponents of the TPP argue that the agreement will strengthen Australia’s existing trade and investment relationships with key partner economies, open new market opportunities, promote further integration into regional supply chains, and improve productivity. The establishment of a common set of agreed rules (including those to determine origin) and transparency of new laws and regulations is also argued to provide certainty for business and reduced costs and red tape (DFAT pers. comm., 21 May 2015).</w:t>
      </w:r>
    </w:p>
    <w:p w:rsidR="00AC2131" w:rsidRDefault="00AC2131" w:rsidP="00AC2131">
      <w:pPr>
        <w:pStyle w:val="BodyText"/>
        <w:rPr>
          <w:lang w:val="en"/>
        </w:rPr>
      </w:pPr>
      <w:r>
        <w:rPr>
          <w:lang w:val="en"/>
        </w:rPr>
        <w:t xml:space="preserve">However, the confidential nature of the TPP negotiating text makes an objective assessment of these aspirations problematic. This has been an ongoing and contentious issue (despite a broad-based consultation process) particularly in respect of intellectual property and investor-state dispute settlement provisions. As stated above, </w:t>
      </w:r>
      <w:r>
        <w:t>the absence of any rigorous and transparent assessment of the agreement before government commitment is a critical failure in transparency. Post-negotiation assessment can</w:t>
      </w:r>
      <w:r>
        <w:rPr>
          <w:lang w:val="en"/>
        </w:rPr>
        <w:t>not lead to amendments of the agreed text</w:t>
      </w:r>
      <w:r>
        <w:t xml:space="preserve"> only in the Government deciding not to proceed with ratification </w:t>
      </w:r>
      <w:r>
        <w:rPr>
          <w:lang w:val="en"/>
        </w:rPr>
        <w:t>(PC 2014g). And the Commission is unaware of any trade agreement that has been rejected in response to such post-negotiation assessment.</w:t>
      </w:r>
    </w:p>
    <w:p w:rsidR="00AC2131" w:rsidRPr="00FC7191" w:rsidRDefault="00AC2131" w:rsidP="00AC2131">
      <w:pPr>
        <w:pStyle w:val="Heading2"/>
        <w:rPr>
          <w:lang w:val="en"/>
        </w:rPr>
      </w:pPr>
      <w:r>
        <w:rPr>
          <w:lang w:val="en"/>
        </w:rPr>
        <w:t>7.</w:t>
      </w:r>
      <w:r>
        <w:rPr>
          <w:noProof/>
          <w:lang w:val="en"/>
        </w:rPr>
        <w:t>3</w:t>
      </w:r>
      <w:r w:rsidRPr="00FC7191">
        <w:rPr>
          <w:lang w:val="en"/>
        </w:rPr>
        <w:tab/>
      </w:r>
      <w:r>
        <w:rPr>
          <w:lang w:val="en"/>
        </w:rPr>
        <w:t>Dispute settlement</w:t>
      </w:r>
    </w:p>
    <w:p w:rsidR="00AC2131" w:rsidRDefault="00AC2131" w:rsidP="00AC2131">
      <w:pPr>
        <w:pStyle w:val="Heading3"/>
        <w:spacing w:before="360"/>
      </w:pPr>
      <w:r>
        <w:t>Investor-state dispute legal proceedings against the Australian Government</w:t>
      </w:r>
    </w:p>
    <w:p w:rsidR="00AC2131" w:rsidRPr="00FD4259" w:rsidRDefault="00AC2131" w:rsidP="00AC2131">
      <w:pPr>
        <w:pStyle w:val="BodyText"/>
        <w:rPr>
          <w:rStyle w:val="DraftingNote"/>
          <w:b w:val="0"/>
          <w:color w:val="auto"/>
          <w:spacing w:val="-4"/>
          <w:u w:val="none"/>
        </w:rPr>
      </w:pPr>
      <w:r w:rsidRPr="00FD4259">
        <w:rPr>
          <w:spacing w:val="-4"/>
        </w:rPr>
        <w:t xml:space="preserve">Pursuant to the </w:t>
      </w:r>
      <w:r w:rsidRPr="00FD4259">
        <w:rPr>
          <w:i/>
          <w:spacing w:val="-4"/>
        </w:rPr>
        <w:t>Agreement between the Government of Australia and the Government of Hong Kong for the Promotion and Protection of Investments</w:t>
      </w:r>
      <w:r w:rsidRPr="00FD4259">
        <w:rPr>
          <w:spacing w:val="-4"/>
        </w:rPr>
        <w:t>, which entered into force in 1993, Philip Morris Asia Limited lodged a dispute against the Australian Government over tobacco plain packaging requirements, which is subject to third-party arbitration being administered by the Permanent Court of Arbitration (PCA). The most recent arbitration hearing relating to this case (PCA Case No. 2012–12) was held from 16-18 February 2015 in Singapore. At that hearing, two of Australia’s preliminary jurisdictional objections were heard but a decision is not expected until the second half of 2015. Should those objections prove successful, this will likely lead to an accelerated conclusion to the proceedings. In the case where Australia’s objections are dismissed, arbitration will them move into the merits phase.</w:t>
      </w:r>
    </w:p>
    <w:p w:rsidR="00AC2131" w:rsidRPr="007B1756" w:rsidRDefault="00AC2131" w:rsidP="00AC2131">
      <w:pPr>
        <w:pStyle w:val="BodyText"/>
        <w:rPr>
          <w:rStyle w:val="DraftingNote"/>
          <w:b w:val="0"/>
          <w:color w:val="auto"/>
          <w:u w:val="none"/>
        </w:rPr>
      </w:pPr>
      <w:r w:rsidRPr="007B1756">
        <w:rPr>
          <w:rStyle w:val="DraftingNote"/>
          <w:b w:val="0"/>
          <w:color w:val="auto"/>
          <w:u w:val="none"/>
        </w:rPr>
        <w:t xml:space="preserve">The Australian Government was first served with a notification of claim by Philip Morris Asia on 27 June 2011.. The final outcome of the case is not expected to be known for some </w:t>
      </w:r>
      <w:r w:rsidRPr="007B1756">
        <w:rPr>
          <w:rStyle w:val="DraftingNote"/>
          <w:b w:val="0"/>
          <w:color w:val="auto"/>
          <w:u w:val="none"/>
        </w:rPr>
        <w:lastRenderedPageBreak/>
        <w:t xml:space="preserve">time. This means that the ongoing costs to Australian taxpayers of funding the preparation and defence of the tobacco plain packaging legislation are likely to be substantial. Since the dispute was lodged, there have been eleven procedural orders determined by the PCA requiring legal representation by both parties. </w:t>
      </w:r>
    </w:p>
    <w:p w:rsidR="00AC2131" w:rsidRPr="007B1756" w:rsidRDefault="00AC2131" w:rsidP="00AC2131">
      <w:pPr>
        <w:pStyle w:val="BodyText"/>
        <w:rPr>
          <w:rStyle w:val="DraftingNote"/>
          <w:rFonts w:ascii="Arial" w:hAnsi="Arial"/>
          <w:b w:val="0"/>
          <w:color w:val="auto"/>
          <w:u w:val="none"/>
        </w:rPr>
      </w:pPr>
      <w:r w:rsidRPr="007B1756">
        <w:rPr>
          <w:rStyle w:val="DraftingNote"/>
          <w:b w:val="0"/>
          <w:color w:val="auto"/>
          <w:u w:val="none"/>
        </w:rPr>
        <w:t>In addition, the Commission understands that three tobacco taskforces have been established in the Australian Department of Health (which is funding the defence), the Australian Attorney General’s Department and the Australian Department of Foreign Affairs and Trade (which also has primary responsibility for the Australian Government’s tobacco litigation defence in the WTO disputes mentioned below). Although the Commission sought advice from the relevant Department’s regarding expenditures related to defending the ISDS claim by Philip Morris Asia, it was told that both the previous and current Australian Government’s had determined that this information should not be disclosed on strategic grounds. The basis for that determination was explained in the following way:</w:t>
      </w:r>
    </w:p>
    <w:p w:rsidR="00AC2131" w:rsidRDefault="00AC2131" w:rsidP="00AC2131">
      <w:pPr>
        <w:pStyle w:val="Quote"/>
        <w:rPr>
          <w:rFonts w:ascii="Arial" w:hAnsi="Arial" w:cs="Arial"/>
          <w:sz w:val="18"/>
          <w:szCs w:val="18"/>
        </w:rPr>
      </w:pPr>
      <w:r>
        <w:rPr>
          <w:snapToGrid w:val="0"/>
        </w:rPr>
        <w:t>The Government does not intend to disclose in advance, figures associated with defending the legal challenges to the tobacco plain packaging measure. Public disclosure of this information may confer a tactical advantage on the other parties in the litigation. Accordingly, funding for the tobacco plain packaging litigation has been designated as ‘not for publication’. (Australian Department of Health pers. comm., 1 December 2014)</w:t>
      </w:r>
    </w:p>
    <w:p w:rsidR="00AC2131" w:rsidRPr="007B1756" w:rsidRDefault="00AC2131" w:rsidP="00AC2131">
      <w:pPr>
        <w:pStyle w:val="BodyText"/>
        <w:rPr>
          <w:rStyle w:val="DraftingNote"/>
          <w:b w:val="0"/>
          <w:color w:val="auto"/>
          <w:u w:val="none"/>
        </w:rPr>
      </w:pPr>
      <w:r w:rsidRPr="007B1756">
        <w:rPr>
          <w:rStyle w:val="DraftingNote"/>
          <w:b w:val="0"/>
          <w:color w:val="auto"/>
          <w:u w:val="none"/>
        </w:rPr>
        <w:t>While there may be some basis for non-disclosure, the obvious tradeoff is a lack of transparency regarding the true cost of including ISDS provisions in Australia’s trade agreements and investment treaties. The open-ended nature of these costs needs to be taken into account in any discussion regarding the appropriateness of such provisions and consideration of the net benefits (costs) that they entail.</w:t>
      </w:r>
    </w:p>
    <w:p w:rsidR="00AC2131" w:rsidRDefault="00AC2131" w:rsidP="00AC2131">
      <w:pPr>
        <w:pStyle w:val="BodyText"/>
      </w:pPr>
      <w:r>
        <w:t>While the orders and amount of compensation sought by Philip Morris Asia in its claim against the Australian Government is also covered by a confidentiality order, the company has publicly stated it will be seeking substantial remedies:</w:t>
      </w:r>
    </w:p>
    <w:p w:rsidR="00AC2131" w:rsidRPr="00A85307" w:rsidRDefault="00AC2131" w:rsidP="00AC2131">
      <w:pPr>
        <w:pStyle w:val="Quote"/>
        <w:rPr>
          <w:shd w:val="clear" w:color="auto" w:fill="FFFFFF"/>
        </w:rPr>
      </w:pPr>
      <w:r>
        <w:rPr>
          <w:shd w:val="clear" w:color="auto" w:fill="FFFFFF"/>
        </w:rPr>
        <w:t>[Philip Morris Asia] is asking an arbitration panel to suspend the law and award substantial compensation for the financial damage that plain packaging will cause by commoditizing the cigarette market in Australia. (PMI 2014)</w:t>
      </w:r>
    </w:p>
    <w:p w:rsidR="00AC2131" w:rsidRDefault="00AC2131" w:rsidP="00AC2131">
      <w:pPr>
        <w:pStyle w:val="Heading3"/>
      </w:pPr>
      <w:r>
        <w:t xml:space="preserve">Disputes under the WTO </w:t>
      </w:r>
    </w:p>
    <w:p w:rsidR="00AC2131" w:rsidRPr="00FD4259" w:rsidRDefault="00AC2131" w:rsidP="00AC2131">
      <w:pPr>
        <w:pStyle w:val="BodyText"/>
        <w:rPr>
          <w:spacing w:val="-2"/>
        </w:rPr>
      </w:pPr>
      <w:r w:rsidRPr="00FD4259">
        <w:rPr>
          <w:spacing w:val="-2"/>
        </w:rPr>
        <w:t xml:space="preserve">Since the Commission last reported on dispute settlement activity in the WTO (PC 2014g, pp. 119-120), Australia has had no new complaints brought against it. Australia has five outstanding complaints related to its tobacco plain packaging laws which were bought by Indonesia (DS467 </w:t>
      </w:r>
      <w:r w:rsidRPr="00FD4259">
        <w:rPr>
          <w:spacing w:val="-2"/>
        </w:rPr>
        <w:noBreakHyphen/>
        <w:t xml:space="preserve"> 20 September 2013), Cuba (DS458 </w:t>
      </w:r>
      <w:r w:rsidRPr="00FD4259">
        <w:rPr>
          <w:spacing w:val="-2"/>
        </w:rPr>
        <w:noBreakHyphen/>
        <w:t xml:space="preserve"> 6 May 2013), Dominican Republic (DS441 </w:t>
      </w:r>
      <w:r w:rsidRPr="00FD4259">
        <w:rPr>
          <w:spacing w:val="-2"/>
        </w:rPr>
        <w:noBreakHyphen/>
        <w:t xml:space="preserve"> 18 July 2012), Honduras (DS435 </w:t>
      </w:r>
      <w:r w:rsidRPr="00FD4259">
        <w:rPr>
          <w:spacing w:val="-2"/>
        </w:rPr>
        <w:noBreakHyphen/>
        <w:t xml:space="preserve"> 4 April 2012) and Ukraine (DS434 </w:t>
      </w:r>
      <w:r w:rsidRPr="00FD4259">
        <w:rPr>
          <w:spacing w:val="-2"/>
        </w:rPr>
        <w:noBreakHyphen/>
        <w:t xml:space="preserve"> 13 March 2012). In addition to the complainant countries, a large number of other countries have requested (and been granted permission) to join the dispute as third parties.</w:t>
      </w:r>
    </w:p>
    <w:p w:rsidR="00AC2131" w:rsidRDefault="00AC2131" w:rsidP="00AC2131">
      <w:pPr>
        <w:pStyle w:val="BodyText"/>
      </w:pPr>
      <w:r>
        <w:lastRenderedPageBreak/>
        <w:t>According to the WTO (2014e), all five complainants claim that Australia’s tobacco plain packaging measures appear to be inconsistent with certain provisions of the Trade-Related Aspects of Intellectual Property Rights (TRIPS) Agreement, the Technical Barriers to Trade (TBT) Agreement and the General Agreement on Tariffs and Trade (GATT 1994).</w:t>
      </w:r>
    </w:p>
    <w:p w:rsidR="00AC2131" w:rsidRDefault="00AC2131" w:rsidP="00AC2131">
      <w:pPr>
        <w:pStyle w:val="BodyText"/>
      </w:pPr>
      <w:r w:rsidRPr="00A61BE1">
        <w:t>WTO dispute settlement panels have been established in relation to all five complaints against Australia’s tobacco plain packaging laws and on 5 May 2014, the Director-General of the WTO appointed the panellists who will hear these disputes. On 10 October 2014, the Chair of the panel informed the D</w:t>
      </w:r>
      <w:r>
        <w:t xml:space="preserve">ispute </w:t>
      </w:r>
      <w:r w:rsidRPr="00A61BE1">
        <w:t>S</w:t>
      </w:r>
      <w:r>
        <w:t xml:space="preserve">ettlement </w:t>
      </w:r>
      <w:r w:rsidRPr="00A61BE1">
        <w:t>B</w:t>
      </w:r>
      <w:r>
        <w:t>ody</w:t>
      </w:r>
      <w:r w:rsidRPr="00A61BE1">
        <w:t xml:space="preserve"> that the panel expects to issue its final report to the parties not before the first half of 2016, in accordance with the timetable adopted by the panel on 17 June 2014 </w:t>
      </w:r>
      <w:r>
        <w:t xml:space="preserve">and </w:t>
      </w:r>
      <w:r w:rsidRPr="00A61BE1">
        <w:t>on the basis of a draft ti</w:t>
      </w:r>
      <w:r>
        <w:t>metable proposed by the parties (WTO 2014e).</w:t>
      </w:r>
    </w:p>
    <w:p w:rsidR="00AC2131" w:rsidRDefault="00AC2131" w:rsidP="00AC2131">
      <w:pPr>
        <w:pStyle w:val="Heading2"/>
      </w:pPr>
      <w:r>
        <w:t>7.</w:t>
      </w:r>
      <w:r>
        <w:rPr>
          <w:noProof/>
        </w:rPr>
        <w:t>4</w:t>
      </w:r>
      <w:r>
        <w:tab/>
        <w:t>Anti-dumping activity</w:t>
      </w:r>
    </w:p>
    <w:p w:rsidR="00AC2131" w:rsidRDefault="00AC2131" w:rsidP="00AC2131">
      <w:pPr>
        <w:pStyle w:val="BodyText"/>
        <w:tabs>
          <w:tab w:val="left" w:pos="0"/>
        </w:tabs>
      </w:pPr>
      <w:r>
        <w:t>The present anti-dumping regime and administration reflects changes made since the Productivity Commission Review in 2009 and the 2012 Brumby review (PC 2013). The latter review resulted in the establishment of the Australian Anti-Dumping Commission in July 2013 and an increase in funding of $27.4 million for the operation of the Commission over four years. At the same time, stricter remedies came into force, including provisions which increased the scope for dumping duties to be imposed at the highest permissible rate, and for retroactive duties.</w:t>
      </w:r>
      <w:r>
        <w:rPr>
          <w:rStyle w:val="FootnoteReference"/>
        </w:rPr>
        <w:footnoteReference w:id="59"/>
      </w:r>
    </w:p>
    <w:p w:rsidR="00AC2131" w:rsidRDefault="00AC2131" w:rsidP="00AC2131">
      <w:pPr>
        <w:pStyle w:val="BodyText"/>
      </w:pPr>
      <w:r>
        <w:t>During 2013</w:t>
      </w:r>
      <w:r>
        <w:noBreakHyphen/>
        <w:t>14, there were 19 new investigations initiated — compared to 13 in 2012</w:t>
      </w:r>
      <w:r>
        <w:noBreakHyphen/>
        <w:t>13 and 22 in 2011</w:t>
      </w:r>
      <w:r>
        <w:noBreakHyphen/>
        <w:t>12 (Appendix D). Also during 2013</w:t>
      </w:r>
      <w:r>
        <w:noBreakHyphen/>
        <w:t>14, 15 new measures were imposed and 7 existing measures expired. Overall, at 30 June 2014, there were 48 measures in force up from 40 at June 2013 and 25 at June 2012.</w:t>
      </w:r>
    </w:p>
    <w:p w:rsidR="00AC2131" w:rsidRPr="00691898" w:rsidRDefault="00AC2131" w:rsidP="00AC2131">
      <w:pPr>
        <w:pStyle w:val="BodyText"/>
        <w:rPr>
          <w:u w:val="single"/>
        </w:rPr>
      </w:pPr>
      <w:r>
        <w:t>Given the significant recent changes in the anti-dumping regime and the potential for an increase in the number and size of anti-dumping actions, there is a need for close monitoring of outcomes. It would be timely for a formal and independent review of the anti-dumping arrangements and outcomes to be undertaken. This is important to ensure that the arrangements do not impose undue costs on the product users, and to examine whether there is evidence of any emerging trend towards increasing protectionism. Such a review should re-consider the need for a national interest test as recommended by the 2009 Productivity Commission review.</w:t>
      </w:r>
    </w:p>
    <w:p w:rsidR="00AC2131" w:rsidRDefault="00AC2131" w:rsidP="00AC2131">
      <w:pPr>
        <w:sectPr w:rsidR="00AC2131" w:rsidSect="00AC2131">
          <w:headerReference w:type="even" r:id="rId72"/>
          <w:headerReference w:type="default" r:id="rId73"/>
          <w:footerReference w:type="even" r:id="rId74"/>
          <w:footerReference w:type="default" r:id="rId75"/>
          <w:type w:val="oddPage"/>
          <w:pgSz w:w="11907" w:h="16840" w:code="9"/>
          <w:pgMar w:top="1985" w:right="1304" w:bottom="1247" w:left="1814" w:header="1701" w:footer="397" w:gutter="0"/>
          <w:pgNumType w:chapSep="period"/>
          <w:cols w:space="720"/>
          <w:docGrid w:linePitch="326"/>
        </w:sectPr>
      </w:pPr>
    </w:p>
    <w:p w:rsidR="00AC2131" w:rsidRDefault="00AC2131">
      <w:pPr>
        <w:pStyle w:val="PartNumber"/>
      </w:pPr>
    </w:p>
    <w:tbl>
      <w:tblPr>
        <w:tblW w:w="0" w:type="auto"/>
        <w:tblLayout w:type="fixed"/>
        <w:tblCellMar>
          <w:left w:w="0" w:type="dxa"/>
          <w:right w:w="0" w:type="dxa"/>
        </w:tblCellMar>
        <w:tblLook w:val="0000" w:firstRow="0" w:lastRow="0" w:firstColumn="0" w:lastColumn="0" w:noHBand="0" w:noVBand="0"/>
      </w:tblPr>
      <w:tblGrid>
        <w:gridCol w:w="6634"/>
        <w:gridCol w:w="2155"/>
      </w:tblGrid>
      <w:tr w:rsidR="00AC2131">
        <w:tc>
          <w:tcPr>
            <w:tcW w:w="6634" w:type="dxa"/>
            <w:tcBorders>
              <w:top w:val="single" w:sz="6" w:space="0" w:color="auto"/>
            </w:tcBorders>
          </w:tcPr>
          <w:p w:rsidR="00AC2131" w:rsidRDefault="00AC2131">
            <w:pPr>
              <w:pStyle w:val="PartDivider"/>
            </w:pPr>
          </w:p>
        </w:tc>
        <w:tc>
          <w:tcPr>
            <w:tcW w:w="2155" w:type="dxa"/>
            <w:tcBorders>
              <w:top w:val="single" w:sz="24" w:space="0" w:color="auto"/>
            </w:tcBorders>
          </w:tcPr>
          <w:p w:rsidR="00AC2131" w:rsidRDefault="00AC2131">
            <w:pPr>
              <w:pStyle w:val="PartDivider"/>
            </w:pPr>
          </w:p>
        </w:tc>
      </w:tr>
    </w:tbl>
    <w:p w:rsidR="00AC2131" w:rsidRDefault="00AC2131">
      <w:pPr>
        <w:pStyle w:val="PartDivider"/>
      </w:pPr>
    </w:p>
    <w:p w:rsidR="00AC2131" w:rsidRDefault="00AC2131" w:rsidP="00AC2131">
      <w:pPr>
        <w:pStyle w:val="PartTitle"/>
        <w:spacing w:after="240"/>
      </w:pPr>
      <w:r>
        <w:t>Appendices</w:t>
      </w:r>
    </w:p>
    <w:p w:rsidR="00AC2131" w:rsidRDefault="00AC2131" w:rsidP="00AC2131">
      <w:pPr>
        <w:pStyle w:val="BodyText"/>
        <w:rPr>
          <w:sz w:val="52"/>
        </w:rPr>
      </w:pPr>
      <w:r>
        <w:br w:type="page"/>
      </w:r>
    </w:p>
    <w:p w:rsidR="00AC2131" w:rsidRPr="003755C6" w:rsidRDefault="00AC2131" w:rsidP="00AC2131">
      <w:pPr>
        <w:rPr>
          <w:szCs w:val="20"/>
        </w:rPr>
      </w:pPr>
    </w:p>
    <w:p w:rsidR="00AC2131" w:rsidRDefault="00AC2131" w:rsidP="00AC2131">
      <w:pPr>
        <w:sectPr w:rsidR="00AC2131" w:rsidSect="00AC2131">
          <w:headerReference w:type="even" r:id="rId76"/>
          <w:headerReference w:type="default" r:id="rId77"/>
          <w:footerReference w:type="even" r:id="rId78"/>
          <w:footerReference w:type="default" r:id="rId79"/>
          <w:type w:val="oddPage"/>
          <w:pgSz w:w="11907" w:h="16840" w:code="9"/>
          <w:pgMar w:top="1985" w:right="1304" w:bottom="1247" w:left="1814" w:header="1701" w:footer="397" w:gutter="0"/>
          <w:pgNumType w:chapSep="period"/>
          <w:cols w:space="720"/>
          <w:docGrid w:linePitch="326"/>
        </w:sectPr>
      </w:pPr>
    </w:p>
    <w:p w:rsidR="00AC2131" w:rsidRDefault="00AC2131" w:rsidP="00AC2131">
      <w:pPr>
        <w:pStyle w:val="Heading1"/>
      </w:pPr>
      <w:r>
        <w:lastRenderedPageBreak/>
        <w:t>A</w:t>
      </w:r>
      <w:r>
        <w:tab/>
        <w:t>Detailed estimates of Australian Government assistance to industry</w:t>
      </w:r>
    </w:p>
    <w:p w:rsidR="00AC2131" w:rsidRDefault="00AC2131" w:rsidP="00AC2131">
      <w:pPr>
        <w:pStyle w:val="BodyText"/>
      </w:pPr>
      <w:r>
        <w:t>Chapter 5 provides an overview of the Commission’s estimates of Australian Government assistance to industry. This appendix provides supporting details of those estimates for the period 2008</w:t>
      </w:r>
      <w:r>
        <w:noBreakHyphen/>
        <w:t>09 to 2013</w:t>
      </w:r>
      <w:r>
        <w:noBreakHyphen/>
        <w:t xml:space="preserve">14. </w:t>
      </w:r>
    </w:p>
    <w:p w:rsidR="00AC2131" w:rsidRDefault="00AC2131" w:rsidP="00AC2131">
      <w:pPr>
        <w:pStyle w:val="BodyText"/>
      </w:pPr>
      <w:r>
        <w:t xml:space="preserve">Tables A.1 to A.3 provide estimates of net tariff assistance, budgetary assistance and net combined assistance by industry grouping. Tables A.4 to A.7 provide estimates of output tariff assistance, input tariff penalties, budgetary outlays and tax concessions by industry grouping. Tables A.8 and A.9 provide estimates of the nominal rate of combined assistance on outputs and the nominal rate of combined assistance on materials, respectively. </w:t>
      </w:r>
    </w:p>
    <w:p w:rsidR="00AC2131" w:rsidRPr="00700D0C" w:rsidRDefault="00AC2131" w:rsidP="00AC2131">
      <w:pPr>
        <w:pStyle w:val="BodyText"/>
        <w:rPr>
          <w:spacing w:val="-4"/>
        </w:rPr>
      </w:pPr>
      <w:r w:rsidRPr="00700D0C">
        <w:rPr>
          <w:spacing w:val="-4"/>
        </w:rPr>
        <w:t xml:space="preserve">Tables A.10 to A.13 detail budgetary assistance to primary, mining, manufacturing and services industry groupings, respectively. For each industry, budgetary assistance measures are also identified according to the activity assisted, such as exports and R&amp;D. Table A.14 covers budgetary measures for which information about the industry benefiting is not available. </w:t>
      </w:r>
    </w:p>
    <w:p w:rsidR="00AC2131" w:rsidRDefault="00AC2131" w:rsidP="00AC2131">
      <w:pPr>
        <w:pStyle w:val="BodyText"/>
      </w:pPr>
      <w:r>
        <w:t xml:space="preserve">The budgetary assistance estimates are derived primarily from actual expenditures shown in departmental and agency annual reports, and the Australian Treasury’s Tax Expenditures Statement. Industry and sectoral disaggregations are based primarily on supplementary information provided by relevant departments or agencies. </w:t>
      </w:r>
    </w:p>
    <w:p w:rsidR="00AC2131" w:rsidRDefault="00AC2131" w:rsidP="00AC2131">
      <w:pPr>
        <w:pStyle w:val="BodyText"/>
      </w:pPr>
      <w:r>
        <w:t xml:space="preserve">Further information on the assistance estimation methodology, program coverage, industry allocation and implementation of the current input-output series is provided in the Methodological Annex to the </w:t>
      </w:r>
      <w:r w:rsidRPr="00515D75">
        <w:rPr>
          <w:i/>
        </w:rPr>
        <w:t>Trade &amp; Assistance Review 2011</w:t>
      </w:r>
      <w:r w:rsidRPr="00515D75">
        <w:rPr>
          <w:i/>
        </w:rPr>
        <w:noBreakHyphen/>
        <w:t>12</w:t>
      </w:r>
      <w:r>
        <w:t xml:space="preserve">. The treatment of new programs and other methodological revisions from the previous review are provided in the methodological annex to this Review. </w:t>
      </w:r>
    </w:p>
    <w:p w:rsidR="00AC2131" w:rsidRDefault="00AC2131" w:rsidP="00AC2131">
      <w:pPr>
        <w:pStyle w:val="BodyText"/>
      </w:pPr>
      <w:r>
        <w:t>Tables in this appendix are also available on the Commission’s website (www.pc.gov.au/research/recurring/trade-assistance).</w:t>
      </w:r>
    </w:p>
    <w:p w:rsidR="00AC2131" w:rsidRPr="00C74A79" w:rsidRDefault="00AC2131" w:rsidP="00AC2131">
      <w:pPr>
        <w:rPr>
          <w:szCs w:val="20"/>
        </w:rPr>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ind w:left="1304" w:hanging="1304"/>
            </w:pPr>
            <w:r>
              <w:rPr>
                <w:b w:val="0"/>
              </w:rPr>
              <w:t>Table A.</w:t>
            </w:r>
            <w:r>
              <w:rPr>
                <w:b w:val="0"/>
                <w:noProof/>
              </w:rPr>
              <w:t>1</w:t>
            </w:r>
            <w:r>
              <w:tab/>
            </w:r>
            <w:r w:rsidRPr="00A26815">
              <w:t>Net tariff assistance by industry grouping, 2008</w:t>
            </w:r>
            <w:r>
              <w:noBreakHyphen/>
            </w:r>
            <w:r w:rsidRPr="00A26815">
              <w:t>09 to 2013</w:t>
            </w:r>
            <w:r>
              <w:noBreakHyphen/>
            </w:r>
            <w:r w:rsidRPr="00A26815">
              <w:t>14</w:t>
            </w:r>
            <w:r w:rsidRPr="006B64DF">
              <w:rPr>
                <w:rStyle w:val="NoteLabel"/>
                <w:b/>
              </w:rPr>
              <w:t>a</w:t>
            </w:r>
          </w:p>
          <w:p w:rsidR="00AC2131" w:rsidRPr="00784A05" w:rsidRDefault="00AC2131" w:rsidP="00AC2131">
            <w:pPr>
              <w:pStyle w:val="Subtitle"/>
              <w:ind w:left="1304"/>
            </w:pPr>
            <w:r w:rsidRPr="00A26815">
              <w:t>$ million (nominal)</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87"/>
              <w:gridCol w:w="851"/>
              <w:gridCol w:w="850"/>
              <w:gridCol w:w="850"/>
              <w:gridCol w:w="850"/>
              <w:gridCol w:w="850"/>
              <w:gridCol w:w="849"/>
            </w:tblGrid>
            <w:tr w:rsidR="00AC2131" w:rsidTr="00AC2131">
              <w:tc>
                <w:tcPr>
                  <w:tcW w:w="1995" w:type="pct"/>
                  <w:tcBorders>
                    <w:top w:val="single" w:sz="6" w:space="0" w:color="BFBFBF"/>
                    <w:bottom w:val="single" w:sz="6" w:space="0" w:color="BFBFBF"/>
                  </w:tcBorders>
                  <w:shd w:val="clear" w:color="auto" w:fill="auto"/>
                  <w:tcMar>
                    <w:top w:w="28" w:type="dxa"/>
                  </w:tcMar>
                </w:tcPr>
                <w:p w:rsidR="00AC2131" w:rsidRPr="00AB1D7C" w:rsidRDefault="00AC2131" w:rsidP="00AC2131">
                  <w:pPr>
                    <w:pStyle w:val="TableColumnHeading"/>
                    <w:jc w:val="left"/>
                    <w:rPr>
                      <w:szCs w:val="18"/>
                    </w:rPr>
                  </w:pPr>
                  <w:r w:rsidRPr="00AB1D7C">
                    <w:rPr>
                      <w:szCs w:val="18"/>
                    </w:rPr>
                    <w:t>Industry grouping</w:t>
                  </w:r>
                </w:p>
              </w:tc>
              <w:tc>
                <w:tcPr>
                  <w:tcW w:w="501" w:type="pct"/>
                  <w:tcBorders>
                    <w:top w:val="single" w:sz="6" w:space="0" w:color="BFBFBF"/>
                    <w:bottom w:val="single" w:sz="6" w:space="0" w:color="BFBFBF"/>
                  </w:tcBorders>
                </w:tcPr>
                <w:p w:rsidR="00AC2131" w:rsidRPr="00AB1D7C" w:rsidRDefault="00AC2131" w:rsidP="00AC2131">
                  <w:pPr>
                    <w:pStyle w:val="TableColumnHeading"/>
                    <w:ind w:left="0" w:right="57"/>
                    <w:rPr>
                      <w:szCs w:val="18"/>
                    </w:rPr>
                  </w:pPr>
                  <w:r w:rsidRPr="00AB1D7C">
                    <w:rPr>
                      <w:szCs w:val="18"/>
                    </w:rPr>
                    <w:t>2008-09</w:t>
                  </w:r>
                </w:p>
              </w:tc>
              <w:tc>
                <w:tcPr>
                  <w:tcW w:w="501" w:type="pct"/>
                  <w:tcBorders>
                    <w:top w:val="single" w:sz="6" w:space="0" w:color="BFBFBF"/>
                    <w:bottom w:val="single" w:sz="6" w:space="0" w:color="BFBFBF"/>
                  </w:tcBorders>
                </w:tcPr>
                <w:p w:rsidR="00AC2131" w:rsidRPr="00AB1D7C" w:rsidRDefault="00AC2131" w:rsidP="00AC2131">
                  <w:pPr>
                    <w:pStyle w:val="TableColumnHeading"/>
                    <w:ind w:left="0" w:right="57"/>
                    <w:rPr>
                      <w:szCs w:val="18"/>
                    </w:rPr>
                  </w:pPr>
                  <w:r w:rsidRPr="00AB1D7C">
                    <w:rPr>
                      <w:szCs w:val="18"/>
                    </w:rPr>
                    <w:t>2009-10</w:t>
                  </w:r>
                </w:p>
              </w:tc>
              <w:tc>
                <w:tcPr>
                  <w:tcW w:w="501" w:type="pct"/>
                  <w:tcBorders>
                    <w:top w:val="single" w:sz="6" w:space="0" w:color="BFBFBF"/>
                    <w:bottom w:val="single" w:sz="6" w:space="0" w:color="BFBFBF"/>
                  </w:tcBorders>
                </w:tcPr>
                <w:p w:rsidR="00AC2131" w:rsidRPr="00AB1D7C" w:rsidRDefault="00AC2131" w:rsidP="00AC2131">
                  <w:pPr>
                    <w:pStyle w:val="TableColumnHeading"/>
                    <w:ind w:left="0" w:right="57"/>
                    <w:rPr>
                      <w:szCs w:val="18"/>
                    </w:rPr>
                  </w:pPr>
                  <w:r w:rsidRPr="00AB1D7C">
                    <w:rPr>
                      <w:szCs w:val="18"/>
                    </w:rPr>
                    <w:t>2010-11</w:t>
                  </w:r>
                </w:p>
              </w:tc>
              <w:tc>
                <w:tcPr>
                  <w:tcW w:w="501" w:type="pct"/>
                  <w:tcBorders>
                    <w:top w:val="single" w:sz="6" w:space="0" w:color="BFBFBF"/>
                    <w:bottom w:val="single" w:sz="6" w:space="0" w:color="BFBFBF"/>
                  </w:tcBorders>
                </w:tcPr>
                <w:p w:rsidR="00AC2131" w:rsidRPr="00AB1D7C" w:rsidRDefault="00AC2131" w:rsidP="00AC2131">
                  <w:pPr>
                    <w:pStyle w:val="TableColumnHeading"/>
                    <w:ind w:left="0" w:right="57"/>
                    <w:rPr>
                      <w:szCs w:val="18"/>
                    </w:rPr>
                  </w:pPr>
                  <w:r w:rsidRPr="00AB1D7C">
                    <w:rPr>
                      <w:szCs w:val="18"/>
                    </w:rPr>
                    <w:t>2011-12</w:t>
                  </w:r>
                </w:p>
              </w:tc>
              <w:tc>
                <w:tcPr>
                  <w:tcW w:w="501" w:type="pct"/>
                  <w:tcBorders>
                    <w:top w:val="single" w:sz="6" w:space="0" w:color="BFBFBF"/>
                    <w:bottom w:val="single" w:sz="6" w:space="0" w:color="BFBFBF"/>
                  </w:tcBorders>
                  <w:shd w:val="clear" w:color="auto" w:fill="auto"/>
                  <w:tcMar>
                    <w:top w:w="28" w:type="dxa"/>
                  </w:tcMar>
                </w:tcPr>
                <w:p w:rsidR="00AC2131" w:rsidRPr="00AB1D7C" w:rsidRDefault="00AC2131" w:rsidP="00AC2131">
                  <w:pPr>
                    <w:pStyle w:val="TableColumnHeading"/>
                    <w:ind w:left="0" w:right="57"/>
                    <w:rPr>
                      <w:szCs w:val="18"/>
                    </w:rPr>
                  </w:pPr>
                  <w:r w:rsidRPr="00AB1D7C">
                    <w:rPr>
                      <w:szCs w:val="18"/>
                    </w:rPr>
                    <w:t>2012-13</w:t>
                  </w:r>
                </w:p>
              </w:tc>
              <w:tc>
                <w:tcPr>
                  <w:tcW w:w="500" w:type="pct"/>
                  <w:tcBorders>
                    <w:top w:val="single" w:sz="6" w:space="0" w:color="BFBFBF"/>
                    <w:bottom w:val="single" w:sz="6" w:space="0" w:color="BFBFBF"/>
                  </w:tcBorders>
                  <w:shd w:val="clear" w:color="auto" w:fill="auto"/>
                  <w:tcMar>
                    <w:top w:w="28" w:type="dxa"/>
                  </w:tcMar>
                </w:tcPr>
                <w:p w:rsidR="00AC2131" w:rsidRPr="00AB1D7C" w:rsidRDefault="00AC2131" w:rsidP="00AC2131">
                  <w:pPr>
                    <w:pStyle w:val="TableColumnHeading"/>
                    <w:ind w:left="0" w:right="57"/>
                    <w:rPr>
                      <w:szCs w:val="18"/>
                    </w:rPr>
                  </w:pPr>
                  <w:r w:rsidRPr="00AB1D7C">
                    <w:rPr>
                      <w:szCs w:val="18"/>
                    </w:rPr>
                    <w:t>2013-14</w:t>
                  </w:r>
                </w:p>
              </w:tc>
            </w:tr>
            <w:tr w:rsidR="00AC2131" w:rsidRPr="00FC101B" w:rsidTr="00AC2131">
              <w:tc>
                <w:tcPr>
                  <w:tcW w:w="1995" w:type="pct"/>
                  <w:tcBorders>
                    <w:top w:val="single" w:sz="6" w:space="0" w:color="BFBFBF"/>
                  </w:tcBorders>
                  <w:vAlign w:val="bottom"/>
                </w:tcPr>
                <w:p w:rsidR="00AC2131" w:rsidRPr="00FC101B" w:rsidRDefault="00AC2131">
                  <w:pPr>
                    <w:rPr>
                      <w:rFonts w:ascii="Arial" w:hAnsi="Arial" w:cs="Arial"/>
                      <w:b/>
                      <w:bCs/>
                      <w:sz w:val="18"/>
                      <w:szCs w:val="18"/>
                    </w:rPr>
                  </w:pPr>
                  <w:r w:rsidRPr="00FC101B">
                    <w:rPr>
                      <w:rFonts w:ascii="Arial" w:hAnsi="Arial" w:cs="Arial"/>
                      <w:b/>
                      <w:bCs/>
                      <w:sz w:val="18"/>
                      <w:szCs w:val="18"/>
                    </w:rPr>
                    <w:t>Primary production</w:t>
                  </w:r>
                </w:p>
              </w:tc>
              <w:tc>
                <w:tcPr>
                  <w:tcW w:w="501" w:type="pct"/>
                  <w:tcBorders>
                    <w:top w:val="single" w:sz="6" w:space="0" w:color="BFBFBF"/>
                  </w:tcBorders>
                  <w:vAlign w:val="bottom"/>
                </w:tcPr>
                <w:p w:rsidR="00AC2131" w:rsidRPr="00FC101B" w:rsidRDefault="00AC2131" w:rsidP="00AC2131">
                  <w:pPr>
                    <w:pStyle w:val="TableBodyText"/>
                    <w:spacing w:after="0"/>
                    <w:ind w:left="0" w:right="57"/>
                    <w:rPr>
                      <w:b/>
                      <w:szCs w:val="18"/>
                    </w:rPr>
                  </w:pPr>
                  <w:r w:rsidRPr="00FC101B">
                    <w:rPr>
                      <w:b/>
                      <w:szCs w:val="18"/>
                    </w:rPr>
                    <w:t>125.0</w:t>
                  </w:r>
                </w:p>
              </w:tc>
              <w:tc>
                <w:tcPr>
                  <w:tcW w:w="501" w:type="pct"/>
                  <w:tcBorders>
                    <w:top w:val="single" w:sz="6" w:space="0" w:color="BFBFBF"/>
                  </w:tcBorders>
                  <w:vAlign w:val="bottom"/>
                </w:tcPr>
                <w:p w:rsidR="00AC2131" w:rsidRPr="00FC101B" w:rsidRDefault="00AC2131" w:rsidP="00AC2131">
                  <w:pPr>
                    <w:pStyle w:val="TableBodyText"/>
                    <w:spacing w:after="0"/>
                    <w:ind w:left="0" w:right="57"/>
                    <w:rPr>
                      <w:b/>
                      <w:szCs w:val="18"/>
                    </w:rPr>
                  </w:pPr>
                  <w:r w:rsidRPr="00FC101B">
                    <w:rPr>
                      <w:b/>
                      <w:szCs w:val="18"/>
                    </w:rPr>
                    <w:t>142.3</w:t>
                  </w:r>
                </w:p>
              </w:tc>
              <w:tc>
                <w:tcPr>
                  <w:tcW w:w="501" w:type="pct"/>
                  <w:tcBorders>
                    <w:top w:val="single" w:sz="6" w:space="0" w:color="BFBFBF"/>
                  </w:tcBorders>
                  <w:vAlign w:val="bottom"/>
                </w:tcPr>
                <w:p w:rsidR="00AC2131" w:rsidRPr="00FC101B" w:rsidRDefault="00AC2131" w:rsidP="00AC2131">
                  <w:pPr>
                    <w:pStyle w:val="TableBodyText"/>
                    <w:spacing w:after="0"/>
                    <w:ind w:left="0" w:right="57"/>
                    <w:rPr>
                      <w:b/>
                      <w:szCs w:val="18"/>
                    </w:rPr>
                  </w:pPr>
                  <w:r w:rsidRPr="00FC101B">
                    <w:rPr>
                      <w:b/>
                      <w:szCs w:val="18"/>
                    </w:rPr>
                    <w:t>136.3</w:t>
                  </w:r>
                </w:p>
              </w:tc>
              <w:tc>
                <w:tcPr>
                  <w:tcW w:w="501" w:type="pct"/>
                  <w:tcBorders>
                    <w:top w:val="single" w:sz="6" w:space="0" w:color="BFBFBF"/>
                  </w:tcBorders>
                  <w:vAlign w:val="bottom"/>
                </w:tcPr>
                <w:p w:rsidR="00AC2131" w:rsidRPr="00FC101B" w:rsidRDefault="00AC2131" w:rsidP="00AC2131">
                  <w:pPr>
                    <w:pStyle w:val="TableBodyText"/>
                    <w:spacing w:after="0"/>
                    <w:ind w:left="0" w:right="57"/>
                    <w:rPr>
                      <w:b/>
                      <w:szCs w:val="18"/>
                    </w:rPr>
                  </w:pPr>
                  <w:r w:rsidRPr="00FC101B">
                    <w:rPr>
                      <w:b/>
                      <w:szCs w:val="18"/>
                    </w:rPr>
                    <w:t>130.0</w:t>
                  </w:r>
                </w:p>
              </w:tc>
              <w:tc>
                <w:tcPr>
                  <w:tcW w:w="501" w:type="pct"/>
                  <w:tcBorders>
                    <w:top w:val="single" w:sz="6" w:space="0" w:color="BFBFBF"/>
                  </w:tcBorders>
                  <w:vAlign w:val="bottom"/>
                </w:tcPr>
                <w:p w:rsidR="00AC2131" w:rsidRPr="00FC101B" w:rsidRDefault="00AC2131" w:rsidP="00AC2131">
                  <w:pPr>
                    <w:pStyle w:val="TableBodyText"/>
                    <w:spacing w:after="0"/>
                    <w:ind w:left="0" w:right="57"/>
                    <w:rPr>
                      <w:b/>
                      <w:szCs w:val="18"/>
                    </w:rPr>
                  </w:pPr>
                  <w:r w:rsidRPr="00FC101B">
                    <w:rPr>
                      <w:b/>
                      <w:szCs w:val="18"/>
                    </w:rPr>
                    <w:t>171.4</w:t>
                  </w:r>
                </w:p>
              </w:tc>
              <w:tc>
                <w:tcPr>
                  <w:tcW w:w="500" w:type="pct"/>
                  <w:tcBorders>
                    <w:top w:val="single" w:sz="6" w:space="0" w:color="BFBFBF"/>
                  </w:tcBorders>
                  <w:vAlign w:val="bottom"/>
                </w:tcPr>
                <w:p w:rsidR="00AC2131" w:rsidRPr="00FC101B" w:rsidRDefault="00AC2131" w:rsidP="00AC2131">
                  <w:pPr>
                    <w:pStyle w:val="TableBodyText"/>
                    <w:spacing w:after="0"/>
                    <w:ind w:left="0" w:right="57"/>
                    <w:rPr>
                      <w:b/>
                      <w:szCs w:val="18"/>
                    </w:rPr>
                  </w:pPr>
                  <w:r w:rsidRPr="00FC101B">
                    <w:rPr>
                      <w:b/>
                      <w:szCs w:val="18"/>
                    </w:rPr>
                    <w:t>228.1</w:t>
                  </w:r>
                </w:p>
              </w:tc>
            </w:tr>
            <w:tr w:rsidR="00AC2131" w:rsidTr="00AC2131">
              <w:tc>
                <w:tcPr>
                  <w:tcW w:w="1995" w:type="pct"/>
                  <w:vAlign w:val="center"/>
                </w:tcPr>
                <w:p w:rsidR="00AC2131" w:rsidRPr="00AB1D7C" w:rsidRDefault="00AC2131">
                  <w:pPr>
                    <w:rPr>
                      <w:rFonts w:ascii="Arial" w:hAnsi="Arial" w:cs="Arial"/>
                      <w:sz w:val="18"/>
                      <w:szCs w:val="18"/>
                    </w:rPr>
                  </w:pPr>
                  <w:r w:rsidRPr="00AB1D7C">
                    <w:rPr>
                      <w:rFonts w:ascii="Arial" w:hAnsi="Arial" w:cs="Arial"/>
                      <w:sz w:val="18"/>
                      <w:szCs w:val="18"/>
                    </w:rPr>
                    <w:t>Horticulture and fruit growing</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135.7</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144.2</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145.3</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139.7</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180.0</w:t>
                  </w:r>
                </w:p>
              </w:tc>
              <w:tc>
                <w:tcPr>
                  <w:tcW w:w="500" w:type="pct"/>
                  <w:vAlign w:val="bottom"/>
                </w:tcPr>
                <w:p w:rsidR="00AC2131" w:rsidRPr="00FC101B" w:rsidRDefault="00AC2131" w:rsidP="00AC2131">
                  <w:pPr>
                    <w:pStyle w:val="TableBodyText"/>
                    <w:spacing w:after="0"/>
                    <w:ind w:left="0" w:right="57"/>
                    <w:rPr>
                      <w:szCs w:val="18"/>
                    </w:rPr>
                  </w:pPr>
                  <w:r w:rsidRPr="00FC101B">
                    <w:rPr>
                      <w:szCs w:val="18"/>
                    </w:rPr>
                    <w:t>237.4</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Sheep, beef cattle and grain farming</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-15.0</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-12.4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-15.2</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-17.0</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-16.2</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-15.8</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Other crop growing</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-1.8</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-2.2</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-2.2</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-2.2</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-2.2</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Dairy cattle farming</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-1.8</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-2.0</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-1.5</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-2.0</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-2.7</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Other livestock farming</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-3.8</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-3.5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-4.0</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-4.2</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-4.2</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-4.4</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Aquaculture and fishing</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-15.4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-12.7</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-12.3</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-13.0</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-13.6</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-14.0</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Forestry and logging</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42.1</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45.4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42.1</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44.7</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46.6</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47.9</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Primary production support services</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-13.7</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-14.7</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-15.7</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-16.4</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-16.9</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-18.1</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Unallocated primary production</w:t>
                  </w:r>
                  <w:r w:rsidRPr="00C74A79">
                    <w:rPr>
                      <w:rStyle w:val="NoteLabel"/>
                    </w:rPr>
                    <w:t>b</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 xml:space="preserve">– </w:t>
                  </w:r>
                </w:p>
              </w:tc>
            </w:tr>
            <w:tr w:rsidR="00AC2131" w:rsidRPr="00FC101B" w:rsidTr="00AC2131">
              <w:tc>
                <w:tcPr>
                  <w:tcW w:w="1995" w:type="pct"/>
                  <w:shd w:val="clear" w:color="auto" w:fill="auto"/>
                  <w:vAlign w:val="bottom"/>
                </w:tcPr>
                <w:p w:rsidR="00AC2131" w:rsidRPr="00FC101B" w:rsidRDefault="00AC2131">
                  <w:pPr>
                    <w:rPr>
                      <w:rFonts w:ascii="Arial" w:hAnsi="Arial" w:cs="Arial"/>
                      <w:b/>
                      <w:bCs/>
                      <w:sz w:val="18"/>
                      <w:szCs w:val="18"/>
                    </w:rPr>
                  </w:pPr>
                  <w:r w:rsidRPr="00FC101B">
                    <w:rPr>
                      <w:rFonts w:ascii="Arial" w:hAnsi="Arial" w:cs="Arial"/>
                      <w:b/>
                      <w:bCs/>
                      <w:sz w:val="18"/>
                      <w:szCs w:val="18"/>
                    </w:rPr>
                    <w:t>Mining</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-179.5</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-186.9</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-183.9</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-197.5</w:t>
                  </w:r>
                </w:p>
              </w:tc>
              <w:tc>
                <w:tcPr>
                  <w:tcW w:w="501" w:type="pct"/>
                  <w:shd w:val="clear" w:color="auto" w:fill="auto"/>
                  <w:vAlign w:val="bottom"/>
                </w:tcPr>
                <w:p w:rsidR="00AC2131" w:rsidRPr="00FC101B" w:rsidRDefault="00AC2131" w:rsidP="00AC2131">
                  <w:pPr>
                    <w:pStyle w:val="TableBodyText"/>
                    <w:spacing w:after="0"/>
                    <w:ind w:left="0" w:right="57"/>
                    <w:rPr>
                      <w:b/>
                      <w:szCs w:val="18"/>
                    </w:rPr>
                  </w:pPr>
                  <w:r w:rsidRPr="00FC101B">
                    <w:rPr>
                      <w:b/>
                      <w:szCs w:val="18"/>
                    </w:rPr>
                    <w:t>-214.5</w:t>
                  </w:r>
                </w:p>
              </w:tc>
              <w:tc>
                <w:tcPr>
                  <w:tcW w:w="500" w:type="pct"/>
                  <w:shd w:val="clear" w:color="auto" w:fill="auto"/>
                  <w:vAlign w:val="bottom"/>
                </w:tcPr>
                <w:p w:rsidR="00AC2131" w:rsidRPr="00FC101B" w:rsidRDefault="00AC2131" w:rsidP="00AC2131">
                  <w:pPr>
                    <w:pStyle w:val="TableBodyText"/>
                    <w:spacing w:after="0"/>
                    <w:ind w:left="0" w:right="57"/>
                    <w:rPr>
                      <w:b/>
                      <w:szCs w:val="18"/>
                    </w:rPr>
                  </w:pPr>
                  <w:r w:rsidRPr="00FC101B">
                    <w:rPr>
                      <w:b/>
                      <w:szCs w:val="18"/>
                    </w:rPr>
                    <w:t>-234.9</w:t>
                  </w:r>
                </w:p>
              </w:tc>
            </w:tr>
            <w:tr w:rsidR="00AC2131" w:rsidRPr="00FC101B" w:rsidTr="00AC2131">
              <w:tc>
                <w:tcPr>
                  <w:tcW w:w="1995" w:type="pct"/>
                  <w:shd w:val="clear" w:color="auto" w:fill="auto"/>
                  <w:vAlign w:val="bottom"/>
                </w:tcPr>
                <w:p w:rsidR="00AC2131" w:rsidRPr="00FC101B" w:rsidRDefault="00AC2131">
                  <w:pPr>
                    <w:rPr>
                      <w:rFonts w:ascii="Arial" w:hAnsi="Arial" w:cs="Arial"/>
                      <w:b/>
                      <w:bCs/>
                      <w:sz w:val="18"/>
                      <w:szCs w:val="18"/>
                    </w:rPr>
                  </w:pPr>
                  <w:r w:rsidRPr="00FC101B">
                    <w:rPr>
                      <w:rFonts w:ascii="Arial" w:hAnsi="Arial" w:cs="Arial"/>
                      <w:b/>
                      <w:bCs/>
                      <w:sz w:val="18"/>
                      <w:szCs w:val="18"/>
                    </w:rPr>
                    <w:t>Manufacturing</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6408.8</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5967.8</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5699.1</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5771.2</w:t>
                  </w:r>
                </w:p>
              </w:tc>
              <w:tc>
                <w:tcPr>
                  <w:tcW w:w="501" w:type="pct"/>
                  <w:shd w:val="clear" w:color="auto" w:fill="auto"/>
                  <w:vAlign w:val="bottom"/>
                </w:tcPr>
                <w:p w:rsidR="00AC2131" w:rsidRPr="00FC101B" w:rsidRDefault="00AC2131" w:rsidP="00AC2131">
                  <w:pPr>
                    <w:pStyle w:val="TableBodyText"/>
                    <w:spacing w:after="0"/>
                    <w:ind w:left="0" w:right="57"/>
                    <w:rPr>
                      <w:b/>
                      <w:szCs w:val="18"/>
                    </w:rPr>
                  </w:pPr>
                  <w:r w:rsidRPr="00FC101B">
                    <w:rPr>
                      <w:b/>
                      <w:szCs w:val="18"/>
                    </w:rPr>
                    <w:t>5531.3</w:t>
                  </w:r>
                </w:p>
              </w:tc>
              <w:tc>
                <w:tcPr>
                  <w:tcW w:w="500" w:type="pct"/>
                  <w:shd w:val="clear" w:color="auto" w:fill="auto"/>
                  <w:vAlign w:val="bottom"/>
                </w:tcPr>
                <w:p w:rsidR="00AC2131" w:rsidRPr="00FC101B" w:rsidRDefault="00AC2131" w:rsidP="00AC2131">
                  <w:pPr>
                    <w:pStyle w:val="TableBodyText"/>
                    <w:spacing w:after="0"/>
                    <w:ind w:left="0" w:right="57"/>
                    <w:rPr>
                      <w:b/>
                      <w:szCs w:val="18"/>
                    </w:rPr>
                  </w:pPr>
                  <w:r w:rsidRPr="00FC101B">
                    <w:rPr>
                      <w:b/>
                      <w:szCs w:val="18"/>
                    </w:rPr>
                    <w:t>5533.6</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Food, beverages and tobacco</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1230.5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1245.9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1280.4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1313.9</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1320.0</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1340.8</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Textile</w:t>
                  </w:r>
                  <w:r>
                    <w:rPr>
                      <w:rFonts w:ascii="Arial" w:hAnsi="Arial" w:cs="Arial"/>
                      <w:sz w:val="18"/>
                      <w:szCs w:val="18"/>
                    </w:rPr>
                    <w:t>s</w:t>
                  </w:r>
                  <w:r w:rsidRPr="00AB1D7C">
                    <w:rPr>
                      <w:rFonts w:ascii="Arial" w:hAnsi="Arial" w:cs="Arial"/>
                      <w:sz w:val="18"/>
                      <w:szCs w:val="18"/>
                    </w:rPr>
                    <w:t>, leather, clothing and footwear</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591.2</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370.6</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266.6</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257.2</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250.3</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261.4</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Wood and paper products</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586.6</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587.4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535.7</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497.2</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488.3</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503.8</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Printing and recorded media</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212.1</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191.2</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188.1</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169.6</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164.5</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157.6</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Petroleum, coal, chemical and rubber</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722.5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733.6</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706.9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730.1</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670.0</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639.1</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Non-metallic mineral products</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245.0</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231.5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240.9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227.5</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222.7</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228.5</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Metal and fabricated metal products</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1436.4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1329.9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1361.0</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1398.3</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1268.0</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1314.0</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Motor vehicle</w:t>
                  </w:r>
                  <w:r>
                    <w:rPr>
                      <w:rFonts w:ascii="Arial" w:hAnsi="Arial" w:cs="Arial"/>
                      <w:sz w:val="18"/>
                      <w:szCs w:val="18"/>
                    </w:rPr>
                    <w:t>s</w:t>
                  </w:r>
                  <w:r w:rsidRPr="00AB1D7C">
                    <w:rPr>
                      <w:rFonts w:ascii="Arial" w:hAnsi="Arial" w:cs="Arial"/>
                      <w:sz w:val="18"/>
                      <w:szCs w:val="18"/>
                    </w:rPr>
                    <w:t xml:space="preserve"> and parts</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756.0</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672.3</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521.4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548.3</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534.4</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506.9</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Other transport equipment</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5.2</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7.1</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8.2</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8.7</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8.5</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8.0</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Machinery &amp; equipment manufacturing</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453.2</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443.4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433.5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455.9</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444.3</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421.5</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Furniture and other manufacturing</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170.1</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154.9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156.4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164.4</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160.3</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152.0</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Unallocated manufacturing</w:t>
                  </w:r>
                  <w:r w:rsidRPr="00C74A79">
                    <w:rPr>
                      <w:rStyle w:val="NoteLabel"/>
                    </w:rPr>
                    <w:t>b</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 xml:space="preserve">– </w:t>
                  </w:r>
                </w:p>
              </w:tc>
            </w:tr>
            <w:tr w:rsidR="00AC2131" w:rsidRPr="00FC101B" w:rsidTr="00AC2131">
              <w:tc>
                <w:tcPr>
                  <w:tcW w:w="1995" w:type="pct"/>
                  <w:shd w:val="clear" w:color="auto" w:fill="auto"/>
                  <w:vAlign w:val="bottom"/>
                </w:tcPr>
                <w:p w:rsidR="00AC2131" w:rsidRPr="00FC101B" w:rsidRDefault="00AC2131">
                  <w:pPr>
                    <w:rPr>
                      <w:rFonts w:ascii="Arial" w:hAnsi="Arial" w:cs="Arial"/>
                      <w:b/>
                      <w:bCs/>
                      <w:sz w:val="18"/>
                      <w:szCs w:val="18"/>
                    </w:rPr>
                  </w:pPr>
                  <w:r w:rsidRPr="00FC101B">
                    <w:rPr>
                      <w:rFonts w:ascii="Arial" w:hAnsi="Arial" w:cs="Arial"/>
                      <w:b/>
                      <w:bCs/>
                      <w:sz w:val="18"/>
                      <w:szCs w:val="18"/>
                    </w:rPr>
                    <w:t>Services</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-4135.1</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-4192.6</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-4273.0</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-4627.7</w:t>
                  </w:r>
                </w:p>
              </w:tc>
              <w:tc>
                <w:tcPr>
                  <w:tcW w:w="501" w:type="pct"/>
                  <w:shd w:val="clear" w:color="auto" w:fill="auto"/>
                  <w:vAlign w:val="bottom"/>
                </w:tcPr>
                <w:p w:rsidR="00AC2131" w:rsidRPr="00FC101B" w:rsidRDefault="00AC2131" w:rsidP="00AC2131">
                  <w:pPr>
                    <w:pStyle w:val="TableBodyText"/>
                    <w:spacing w:after="0"/>
                    <w:ind w:left="0" w:right="57"/>
                    <w:rPr>
                      <w:b/>
                      <w:szCs w:val="18"/>
                    </w:rPr>
                  </w:pPr>
                  <w:r w:rsidRPr="00FC101B">
                    <w:rPr>
                      <w:b/>
                      <w:szCs w:val="18"/>
                    </w:rPr>
                    <w:t>-4782.0</w:t>
                  </w:r>
                </w:p>
              </w:tc>
              <w:tc>
                <w:tcPr>
                  <w:tcW w:w="500" w:type="pct"/>
                  <w:shd w:val="clear" w:color="auto" w:fill="auto"/>
                  <w:vAlign w:val="bottom"/>
                </w:tcPr>
                <w:p w:rsidR="00AC2131" w:rsidRPr="00FC101B" w:rsidRDefault="00AC2131" w:rsidP="00AC2131">
                  <w:pPr>
                    <w:pStyle w:val="TableBodyText"/>
                    <w:spacing w:after="0"/>
                    <w:ind w:left="0" w:right="57"/>
                    <w:rPr>
                      <w:b/>
                      <w:szCs w:val="18"/>
                    </w:rPr>
                  </w:pPr>
                  <w:r w:rsidRPr="00FC101B">
                    <w:rPr>
                      <w:b/>
                      <w:szCs w:val="18"/>
                    </w:rPr>
                    <w:t>-4928.3</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Electricity, gas, water &amp; waste services</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-71.3</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-71.1</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-73.8</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-83.5</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-94.8</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-93.8</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Construction</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-1359.2</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-1428.5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-1507.7</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-1667.4</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-1728.9</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-1804.9</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Wholesale trade</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-249.6</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-248.2</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-250.4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-260.2</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-263.2</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-262.0</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Retail trade</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-167.4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-165.5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-169.6</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-182.1</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-186.9</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-191.3</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Accommodation &amp; food services</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-450.4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-469.3</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-493.1</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-526.2</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-540.9</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-543.8</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Transport, postal &amp; warehousing</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-225.2</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-203.0</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-187.3</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-204.7</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-214.0</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-216.1</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Information &amp; telecommunications</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-148.7</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-150.4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-143.3</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-145.8</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-146.8</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-151.0</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Financial and insurance services</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-8.4</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-8.5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-9.0</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-9.3</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-9.8</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-10.5</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Property, professional &amp; admin.</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-511.9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-528.0</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-543.9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-589.7</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-619.7</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-637.2</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Public administration and safety</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-204.3</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-202.0</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-200.5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-212.8</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-219.4</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-228.2</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Education and training</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-101.9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-105.0</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-105.8</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-115.0</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-120.7</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-126.8</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Health care and social assistance</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-242.5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-242.9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-244.3</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-255.4</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-269.1</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-281.6</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Arts and recreation services</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-74.5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-74.7</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-73.3</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-77.0</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-77.6</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-82.7</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Other services</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-319.7</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-295.5</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-270.9</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-298.6</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-290.1</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-298.5</w:t>
                  </w:r>
                </w:p>
              </w:tc>
            </w:tr>
            <w:tr w:rsidR="00AC2131" w:rsidTr="00AC2131">
              <w:tc>
                <w:tcPr>
                  <w:tcW w:w="1995" w:type="pct"/>
                  <w:shd w:val="clear" w:color="auto" w:fill="auto"/>
                  <w:vAlign w:val="center"/>
                </w:tcPr>
                <w:p w:rsidR="00AC2131" w:rsidRPr="00AB1D7C" w:rsidRDefault="00AC2131">
                  <w:pPr>
                    <w:rPr>
                      <w:rFonts w:ascii="Arial" w:hAnsi="Arial" w:cs="Arial"/>
                      <w:sz w:val="18"/>
                      <w:szCs w:val="18"/>
                    </w:rPr>
                  </w:pPr>
                  <w:r w:rsidRPr="00AB1D7C">
                    <w:rPr>
                      <w:rFonts w:ascii="Arial" w:hAnsi="Arial" w:cs="Arial"/>
                      <w:sz w:val="18"/>
                      <w:szCs w:val="18"/>
                    </w:rPr>
                    <w:t>Unallocated services</w:t>
                  </w:r>
                  <w:r w:rsidRPr="00C74A79">
                    <w:rPr>
                      <w:rStyle w:val="NoteLabel"/>
                    </w:rPr>
                    <w:t>b</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1"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 xml:space="preserve">– </w:t>
                  </w:r>
                </w:p>
              </w:tc>
              <w:tc>
                <w:tcPr>
                  <w:tcW w:w="500" w:type="pct"/>
                  <w:shd w:val="clear" w:color="auto" w:fill="auto"/>
                  <w:vAlign w:val="bottom"/>
                </w:tcPr>
                <w:p w:rsidR="00AC2131" w:rsidRPr="00FC101B" w:rsidRDefault="00AC2131" w:rsidP="00AC2131">
                  <w:pPr>
                    <w:pStyle w:val="TableBodyText"/>
                    <w:spacing w:after="0"/>
                    <w:ind w:left="0" w:right="57"/>
                    <w:rPr>
                      <w:szCs w:val="18"/>
                    </w:rPr>
                  </w:pPr>
                  <w:r w:rsidRPr="00FC101B">
                    <w:rPr>
                      <w:szCs w:val="18"/>
                    </w:rPr>
                    <w:t xml:space="preserve">– </w:t>
                  </w:r>
                </w:p>
              </w:tc>
            </w:tr>
            <w:tr w:rsidR="00AC2131" w:rsidRPr="00FC101B" w:rsidTr="00AC2131">
              <w:tc>
                <w:tcPr>
                  <w:tcW w:w="1995" w:type="pct"/>
                  <w:shd w:val="clear" w:color="auto" w:fill="auto"/>
                  <w:vAlign w:val="center"/>
                </w:tcPr>
                <w:p w:rsidR="00AC2131" w:rsidRPr="00FC101B" w:rsidRDefault="00AC2131" w:rsidP="00AC2131">
                  <w:pPr>
                    <w:rPr>
                      <w:rFonts w:ascii="Arial" w:hAnsi="Arial" w:cs="Arial"/>
                      <w:b/>
                      <w:bCs/>
                      <w:sz w:val="18"/>
                      <w:szCs w:val="18"/>
                    </w:rPr>
                  </w:pPr>
                  <w:r w:rsidRPr="00FC101B">
                    <w:rPr>
                      <w:rFonts w:ascii="Arial" w:hAnsi="Arial" w:cs="Arial"/>
                      <w:b/>
                      <w:bCs/>
                      <w:sz w:val="18"/>
                      <w:szCs w:val="18"/>
                    </w:rPr>
                    <w:t>Unallocated other</w:t>
                  </w:r>
                  <w:r w:rsidRPr="00C74A79">
                    <w:rPr>
                      <w:rStyle w:val="NoteLabel"/>
                    </w:rPr>
                    <w:t>b</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 xml:space="preserve">– </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 xml:space="preserve">– </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 xml:space="preserve">– </w:t>
                  </w:r>
                </w:p>
              </w:tc>
              <w:tc>
                <w:tcPr>
                  <w:tcW w:w="501" w:type="pct"/>
                  <w:vAlign w:val="bottom"/>
                </w:tcPr>
                <w:p w:rsidR="00AC2131" w:rsidRPr="00FC101B" w:rsidRDefault="00AC2131" w:rsidP="00AC2131">
                  <w:pPr>
                    <w:pStyle w:val="TableBodyText"/>
                    <w:spacing w:after="0"/>
                    <w:ind w:left="0" w:right="57"/>
                    <w:rPr>
                      <w:b/>
                      <w:szCs w:val="18"/>
                    </w:rPr>
                  </w:pPr>
                  <w:r w:rsidRPr="00FC101B">
                    <w:rPr>
                      <w:b/>
                      <w:szCs w:val="18"/>
                    </w:rPr>
                    <w:t xml:space="preserve">– </w:t>
                  </w:r>
                </w:p>
              </w:tc>
              <w:tc>
                <w:tcPr>
                  <w:tcW w:w="501" w:type="pct"/>
                  <w:shd w:val="clear" w:color="auto" w:fill="auto"/>
                  <w:vAlign w:val="bottom"/>
                </w:tcPr>
                <w:p w:rsidR="00AC2131" w:rsidRPr="00FC101B" w:rsidRDefault="00AC2131" w:rsidP="00AC2131">
                  <w:pPr>
                    <w:pStyle w:val="TableBodyText"/>
                    <w:spacing w:after="0"/>
                    <w:ind w:left="0" w:right="57"/>
                    <w:rPr>
                      <w:b/>
                      <w:szCs w:val="18"/>
                    </w:rPr>
                  </w:pPr>
                  <w:r w:rsidRPr="00FC101B">
                    <w:rPr>
                      <w:b/>
                      <w:szCs w:val="18"/>
                    </w:rPr>
                    <w:t xml:space="preserve">– </w:t>
                  </w:r>
                </w:p>
              </w:tc>
              <w:tc>
                <w:tcPr>
                  <w:tcW w:w="500" w:type="pct"/>
                  <w:shd w:val="clear" w:color="auto" w:fill="auto"/>
                  <w:vAlign w:val="bottom"/>
                </w:tcPr>
                <w:p w:rsidR="00AC2131" w:rsidRPr="00FC101B" w:rsidRDefault="00AC2131" w:rsidP="00AC2131">
                  <w:pPr>
                    <w:pStyle w:val="TableBodyText"/>
                    <w:spacing w:after="0"/>
                    <w:ind w:left="0" w:right="57"/>
                    <w:rPr>
                      <w:b/>
                      <w:szCs w:val="18"/>
                    </w:rPr>
                  </w:pPr>
                  <w:r w:rsidRPr="00FC101B">
                    <w:rPr>
                      <w:b/>
                      <w:szCs w:val="18"/>
                    </w:rPr>
                    <w:t xml:space="preserve">– </w:t>
                  </w:r>
                </w:p>
              </w:tc>
            </w:tr>
            <w:tr w:rsidR="00AC2131" w:rsidRPr="00FC101B" w:rsidTr="00AC2131">
              <w:tc>
                <w:tcPr>
                  <w:tcW w:w="1995" w:type="pct"/>
                  <w:tcBorders>
                    <w:bottom w:val="single" w:sz="6" w:space="0" w:color="BFBFBF"/>
                  </w:tcBorders>
                  <w:shd w:val="clear" w:color="auto" w:fill="auto"/>
                  <w:vAlign w:val="center"/>
                </w:tcPr>
                <w:p w:rsidR="00AC2131" w:rsidRPr="00FC101B" w:rsidRDefault="00AC2131">
                  <w:pPr>
                    <w:rPr>
                      <w:rFonts w:ascii="Arial" w:hAnsi="Arial" w:cs="Arial"/>
                      <w:b/>
                      <w:bCs/>
                      <w:sz w:val="18"/>
                      <w:szCs w:val="18"/>
                    </w:rPr>
                  </w:pPr>
                  <w:r w:rsidRPr="00FC101B">
                    <w:rPr>
                      <w:rFonts w:ascii="Arial" w:hAnsi="Arial" w:cs="Arial"/>
                      <w:b/>
                      <w:bCs/>
                      <w:sz w:val="18"/>
                      <w:szCs w:val="18"/>
                    </w:rPr>
                    <w:t>Total</w:t>
                  </w:r>
                </w:p>
              </w:tc>
              <w:tc>
                <w:tcPr>
                  <w:tcW w:w="501" w:type="pct"/>
                  <w:tcBorders>
                    <w:bottom w:val="single" w:sz="6" w:space="0" w:color="BFBFBF"/>
                  </w:tcBorders>
                  <w:vAlign w:val="bottom"/>
                </w:tcPr>
                <w:p w:rsidR="00AC2131" w:rsidRPr="00FC101B" w:rsidRDefault="00AC2131" w:rsidP="00AC2131">
                  <w:pPr>
                    <w:pStyle w:val="TableBodyText"/>
                    <w:spacing w:after="0"/>
                    <w:ind w:left="0" w:right="57"/>
                    <w:rPr>
                      <w:b/>
                      <w:szCs w:val="18"/>
                    </w:rPr>
                  </w:pPr>
                  <w:r w:rsidRPr="00FC101B">
                    <w:rPr>
                      <w:b/>
                      <w:szCs w:val="18"/>
                    </w:rPr>
                    <w:t>2219.3</w:t>
                  </w:r>
                </w:p>
              </w:tc>
              <w:tc>
                <w:tcPr>
                  <w:tcW w:w="501" w:type="pct"/>
                  <w:tcBorders>
                    <w:bottom w:val="single" w:sz="6" w:space="0" w:color="BFBFBF"/>
                  </w:tcBorders>
                  <w:vAlign w:val="bottom"/>
                </w:tcPr>
                <w:p w:rsidR="00AC2131" w:rsidRPr="00FC101B" w:rsidRDefault="00AC2131" w:rsidP="00AC2131">
                  <w:pPr>
                    <w:pStyle w:val="TableBodyText"/>
                    <w:spacing w:after="0"/>
                    <w:ind w:left="0" w:right="57"/>
                    <w:rPr>
                      <w:b/>
                      <w:szCs w:val="18"/>
                    </w:rPr>
                  </w:pPr>
                  <w:r w:rsidRPr="00FC101B">
                    <w:rPr>
                      <w:b/>
                      <w:szCs w:val="18"/>
                    </w:rPr>
                    <w:t>1730.5</w:t>
                  </w:r>
                </w:p>
              </w:tc>
              <w:tc>
                <w:tcPr>
                  <w:tcW w:w="501" w:type="pct"/>
                  <w:tcBorders>
                    <w:bottom w:val="single" w:sz="6" w:space="0" w:color="BFBFBF"/>
                  </w:tcBorders>
                  <w:vAlign w:val="bottom"/>
                </w:tcPr>
                <w:p w:rsidR="00AC2131" w:rsidRPr="00FC101B" w:rsidRDefault="00AC2131" w:rsidP="00AC2131">
                  <w:pPr>
                    <w:pStyle w:val="TableBodyText"/>
                    <w:spacing w:after="0"/>
                    <w:ind w:left="0" w:right="57"/>
                    <w:rPr>
                      <w:b/>
                      <w:szCs w:val="18"/>
                    </w:rPr>
                  </w:pPr>
                  <w:r w:rsidRPr="00FC101B">
                    <w:rPr>
                      <w:b/>
                      <w:szCs w:val="18"/>
                    </w:rPr>
                    <w:t>1378.5</w:t>
                  </w:r>
                </w:p>
              </w:tc>
              <w:tc>
                <w:tcPr>
                  <w:tcW w:w="501" w:type="pct"/>
                  <w:tcBorders>
                    <w:bottom w:val="single" w:sz="6" w:space="0" w:color="BFBFBF"/>
                  </w:tcBorders>
                  <w:vAlign w:val="bottom"/>
                </w:tcPr>
                <w:p w:rsidR="00AC2131" w:rsidRPr="00FC101B" w:rsidRDefault="00AC2131" w:rsidP="00AC2131">
                  <w:pPr>
                    <w:pStyle w:val="TableBodyText"/>
                    <w:spacing w:after="0"/>
                    <w:ind w:left="0" w:right="57"/>
                    <w:rPr>
                      <w:b/>
                      <w:szCs w:val="18"/>
                    </w:rPr>
                  </w:pPr>
                  <w:r w:rsidRPr="00FC101B">
                    <w:rPr>
                      <w:b/>
                      <w:szCs w:val="18"/>
                    </w:rPr>
                    <w:t>1076.0</w:t>
                  </w:r>
                </w:p>
              </w:tc>
              <w:tc>
                <w:tcPr>
                  <w:tcW w:w="501" w:type="pct"/>
                  <w:tcBorders>
                    <w:bottom w:val="single" w:sz="6" w:space="0" w:color="BFBFBF"/>
                  </w:tcBorders>
                  <w:shd w:val="clear" w:color="auto" w:fill="auto"/>
                  <w:vAlign w:val="bottom"/>
                </w:tcPr>
                <w:p w:rsidR="00AC2131" w:rsidRPr="00FC101B" w:rsidRDefault="00AC2131" w:rsidP="00AC2131">
                  <w:pPr>
                    <w:pStyle w:val="TableBodyText"/>
                    <w:spacing w:after="0"/>
                    <w:ind w:left="0" w:right="57"/>
                    <w:rPr>
                      <w:b/>
                      <w:szCs w:val="18"/>
                    </w:rPr>
                  </w:pPr>
                  <w:r w:rsidRPr="00FC101B">
                    <w:rPr>
                      <w:b/>
                      <w:szCs w:val="18"/>
                    </w:rPr>
                    <w:t>706.1</w:t>
                  </w:r>
                </w:p>
              </w:tc>
              <w:tc>
                <w:tcPr>
                  <w:tcW w:w="500" w:type="pct"/>
                  <w:tcBorders>
                    <w:bottom w:val="single" w:sz="6" w:space="0" w:color="BFBFBF"/>
                  </w:tcBorders>
                  <w:shd w:val="clear" w:color="auto" w:fill="auto"/>
                  <w:vAlign w:val="bottom"/>
                </w:tcPr>
                <w:p w:rsidR="00AC2131" w:rsidRPr="00FC101B" w:rsidRDefault="00AC2131" w:rsidP="00AC2131">
                  <w:pPr>
                    <w:pStyle w:val="TableBodyText"/>
                    <w:spacing w:after="0"/>
                    <w:ind w:left="0" w:right="57"/>
                    <w:rPr>
                      <w:b/>
                      <w:szCs w:val="18"/>
                    </w:rPr>
                  </w:pPr>
                  <w:r w:rsidRPr="00FC101B">
                    <w:rPr>
                      <w:b/>
                      <w:szCs w:val="18"/>
                    </w:rPr>
                    <w:t>598.5</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Pr>
                <w:rFonts w:cs="Arial"/>
                <w:szCs w:val="18"/>
              </w:rPr>
              <w:t xml:space="preserve">– Nil. </w:t>
            </w:r>
            <w:r w:rsidRPr="00C74A79">
              <w:rPr>
                <w:rFonts w:cs="Arial"/>
                <w:szCs w:val="18"/>
              </w:rPr>
              <w:t>Figures may not add to totals due to rounding.</w:t>
            </w:r>
            <w:r>
              <w:rPr>
                <w:rFonts w:cs="Arial"/>
                <w:szCs w:val="18"/>
              </w:rPr>
              <w:t xml:space="preserve"> </w:t>
            </w:r>
            <w:r w:rsidRPr="008E77FE">
              <w:rPr>
                <w:rStyle w:val="NoteLabel"/>
              </w:rPr>
              <w:t>a</w:t>
            </w:r>
            <w:r>
              <w:rPr>
                <w:rStyle w:val="NoteLabel"/>
              </w:rPr>
              <w:t> </w:t>
            </w:r>
            <w:r w:rsidRPr="00C74A79">
              <w:t>Tariff assistance estimates are derived using ABS Industry Gross Value Added and other supporting data.</w:t>
            </w:r>
            <w:r>
              <w:t xml:space="preserve"> </w:t>
            </w:r>
            <w:r>
              <w:rPr>
                <w:rStyle w:val="NoteLabel"/>
              </w:rPr>
              <w:t>b </w:t>
            </w:r>
            <w:r w:rsidRPr="00C74A79">
              <w:t>Unallocated includes budgetary measures where details of beneficiaries are unknown. These categories are not applicable for tariff assistance.</w:t>
            </w:r>
            <w:r>
              <w:t xml:space="preserve"> </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 xml:space="preserve">Commission estimates. </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Default="00AC2131" w:rsidP="00AC2131">
            <w:pPr>
              <w:pStyle w:val="TableTitle"/>
              <w:ind w:left="1304" w:hanging="1304"/>
            </w:pPr>
            <w:r>
              <w:rPr>
                <w:b w:val="0"/>
              </w:rPr>
              <w:t>Table A.</w:t>
            </w:r>
            <w:r>
              <w:rPr>
                <w:b w:val="0"/>
                <w:noProof/>
              </w:rPr>
              <w:t>2</w:t>
            </w:r>
            <w:r>
              <w:tab/>
            </w:r>
            <w:r w:rsidRPr="004A4303">
              <w:rPr>
                <w:spacing w:val="-4"/>
              </w:rPr>
              <w:t>Budgetary assistance by industry grouping, 2008</w:t>
            </w:r>
            <w:r w:rsidRPr="004A4303">
              <w:rPr>
                <w:spacing w:val="-4"/>
              </w:rPr>
              <w:noBreakHyphen/>
              <w:t>09 to 2013</w:t>
            </w:r>
            <w:r w:rsidRPr="004A4303">
              <w:rPr>
                <w:spacing w:val="-4"/>
              </w:rPr>
              <w:noBreakHyphen/>
              <w:t>14</w:t>
            </w:r>
          </w:p>
          <w:p w:rsidR="00AC2131" w:rsidRPr="00784A05" w:rsidRDefault="00AC2131" w:rsidP="00AC2131">
            <w:pPr>
              <w:pStyle w:val="Subtitle"/>
              <w:ind w:left="1304"/>
            </w:pPr>
            <w:r>
              <w:t>$ million (nominal)</w:t>
            </w:r>
          </w:p>
        </w:tc>
      </w:tr>
      <w:tr w:rsidR="00AC2131" w:rsidTr="00AC2131">
        <w:trPr>
          <w:cantSplit/>
        </w:trPr>
        <w:tc>
          <w:tcPr>
            <w:tcW w:w="8767" w:type="dxa"/>
            <w:tcBorders>
              <w:top w:val="nil"/>
              <w:left w:val="nil"/>
              <w:bottom w:val="nil"/>
              <w:right w:val="nil"/>
            </w:tcBorders>
            <w:shd w:val="clear" w:color="auto" w:fill="auto"/>
          </w:tcPr>
          <w:tbl>
            <w:tblPr>
              <w:tblW w:w="8507" w:type="dxa"/>
              <w:tblLayout w:type="fixed"/>
              <w:tblCellMar>
                <w:top w:w="28" w:type="dxa"/>
                <w:left w:w="0" w:type="dxa"/>
                <w:right w:w="0" w:type="dxa"/>
              </w:tblCellMar>
              <w:tblLook w:val="0000" w:firstRow="0" w:lastRow="0" w:firstColumn="0" w:lastColumn="0" w:noHBand="0" w:noVBand="0"/>
            </w:tblPr>
            <w:tblGrid>
              <w:gridCol w:w="3237"/>
              <w:gridCol w:w="878"/>
              <w:gridCol w:w="878"/>
              <w:gridCol w:w="880"/>
              <w:gridCol w:w="878"/>
              <w:gridCol w:w="878"/>
              <w:gridCol w:w="878"/>
            </w:tblGrid>
            <w:tr w:rsidR="00AC2131" w:rsidRPr="002B6A72" w:rsidTr="00AC2131">
              <w:tc>
                <w:tcPr>
                  <w:tcW w:w="1903" w:type="pct"/>
                  <w:tcBorders>
                    <w:top w:val="single" w:sz="6" w:space="0" w:color="BFBFBF"/>
                    <w:bottom w:val="single" w:sz="6" w:space="0" w:color="BFBFBF"/>
                  </w:tcBorders>
                  <w:shd w:val="clear" w:color="auto" w:fill="auto"/>
                  <w:tcMar>
                    <w:top w:w="28" w:type="dxa"/>
                  </w:tcMar>
                </w:tcPr>
                <w:p w:rsidR="00AC2131" w:rsidRPr="002B6A72" w:rsidRDefault="00AC2131" w:rsidP="00AC2131">
                  <w:pPr>
                    <w:pStyle w:val="TableColumnHeading"/>
                    <w:jc w:val="left"/>
                    <w:rPr>
                      <w:szCs w:val="18"/>
                    </w:rPr>
                  </w:pPr>
                  <w:r w:rsidRPr="002B6A72">
                    <w:rPr>
                      <w:szCs w:val="18"/>
                    </w:rPr>
                    <w:t>Industry grouping</w:t>
                  </w:r>
                </w:p>
              </w:tc>
              <w:tc>
                <w:tcPr>
                  <w:tcW w:w="516" w:type="pct"/>
                  <w:tcBorders>
                    <w:top w:val="single" w:sz="6" w:space="0" w:color="BFBFBF"/>
                    <w:bottom w:val="single" w:sz="6" w:space="0" w:color="BFBFBF"/>
                  </w:tcBorders>
                </w:tcPr>
                <w:p w:rsidR="00AC2131" w:rsidRPr="002B6A72" w:rsidRDefault="00AC2131" w:rsidP="00AC2131">
                  <w:pPr>
                    <w:pStyle w:val="TableColumnHeading"/>
                    <w:ind w:left="0" w:right="57"/>
                    <w:rPr>
                      <w:szCs w:val="18"/>
                    </w:rPr>
                  </w:pPr>
                  <w:r w:rsidRPr="002B6A72">
                    <w:rPr>
                      <w:szCs w:val="18"/>
                    </w:rPr>
                    <w:t>2008-09</w:t>
                  </w:r>
                </w:p>
              </w:tc>
              <w:tc>
                <w:tcPr>
                  <w:tcW w:w="516" w:type="pct"/>
                  <w:tcBorders>
                    <w:top w:val="single" w:sz="6" w:space="0" w:color="BFBFBF"/>
                    <w:bottom w:val="single" w:sz="6" w:space="0" w:color="BFBFBF"/>
                  </w:tcBorders>
                </w:tcPr>
                <w:p w:rsidR="00AC2131" w:rsidRPr="002B6A72" w:rsidRDefault="00AC2131" w:rsidP="00AC2131">
                  <w:pPr>
                    <w:pStyle w:val="TableColumnHeading"/>
                    <w:ind w:left="0" w:right="57"/>
                    <w:rPr>
                      <w:szCs w:val="18"/>
                    </w:rPr>
                  </w:pPr>
                  <w:r w:rsidRPr="002B6A72">
                    <w:rPr>
                      <w:szCs w:val="18"/>
                    </w:rPr>
                    <w:t>2009-10</w:t>
                  </w:r>
                </w:p>
              </w:tc>
              <w:tc>
                <w:tcPr>
                  <w:tcW w:w="517" w:type="pct"/>
                  <w:tcBorders>
                    <w:top w:val="single" w:sz="6" w:space="0" w:color="BFBFBF"/>
                    <w:bottom w:val="single" w:sz="6" w:space="0" w:color="BFBFBF"/>
                  </w:tcBorders>
                </w:tcPr>
                <w:p w:rsidR="00AC2131" w:rsidRPr="002B6A72" w:rsidRDefault="00AC2131" w:rsidP="00AC2131">
                  <w:pPr>
                    <w:pStyle w:val="TableColumnHeading"/>
                    <w:ind w:left="0" w:right="57"/>
                    <w:rPr>
                      <w:szCs w:val="18"/>
                    </w:rPr>
                  </w:pPr>
                  <w:r w:rsidRPr="002B6A72">
                    <w:rPr>
                      <w:szCs w:val="18"/>
                    </w:rPr>
                    <w:t>2010-11</w:t>
                  </w:r>
                </w:p>
              </w:tc>
              <w:tc>
                <w:tcPr>
                  <w:tcW w:w="516" w:type="pct"/>
                  <w:tcBorders>
                    <w:top w:val="single" w:sz="6" w:space="0" w:color="BFBFBF"/>
                    <w:bottom w:val="single" w:sz="6" w:space="0" w:color="BFBFBF"/>
                  </w:tcBorders>
                </w:tcPr>
                <w:p w:rsidR="00AC2131" w:rsidRPr="002B6A72" w:rsidRDefault="00AC2131" w:rsidP="00AC2131">
                  <w:pPr>
                    <w:pStyle w:val="TableColumnHeading"/>
                    <w:ind w:left="0" w:right="57"/>
                    <w:rPr>
                      <w:szCs w:val="18"/>
                    </w:rPr>
                  </w:pPr>
                  <w:r w:rsidRPr="002B6A72">
                    <w:rPr>
                      <w:szCs w:val="18"/>
                    </w:rPr>
                    <w:t>2011-12</w:t>
                  </w:r>
                </w:p>
              </w:tc>
              <w:tc>
                <w:tcPr>
                  <w:tcW w:w="516" w:type="pct"/>
                  <w:tcBorders>
                    <w:top w:val="single" w:sz="6" w:space="0" w:color="BFBFBF"/>
                    <w:bottom w:val="single" w:sz="6" w:space="0" w:color="BFBFBF"/>
                  </w:tcBorders>
                  <w:shd w:val="clear" w:color="auto" w:fill="auto"/>
                  <w:tcMar>
                    <w:top w:w="28" w:type="dxa"/>
                  </w:tcMar>
                </w:tcPr>
                <w:p w:rsidR="00AC2131" w:rsidRPr="002B6A72" w:rsidRDefault="00AC2131" w:rsidP="00AC2131">
                  <w:pPr>
                    <w:pStyle w:val="TableColumnHeading"/>
                    <w:ind w:left="0" w:right="57"/>
                    <w:rPr>
                      <w:szCs w:val="18"/>
                    </w:rPr>
                  </w:pPr>
                  <w:r w:rsidRPr="002B6A72">
                    <w:rPr>
                      <w:szCs w:val="18"/>
                    </w:rPr>
                    <w:t>2012-13</w:t>
                  </w:r>
                </w:p>
              </w:tc>
              <w:tc>
                <w:tcPr>
                  <w:tcW w:w="516" w:type="pct"/>
                  <w:tcBorders>
                    <w:top w:val="single" w:sz="6" w:space="0" w:color="BFBFBF"/>
                    <w:bottom w:val="single" w:sz="6" w:space="0" w:color="BFBFBF"/>
                  </w:tcBorders>
                  <w:shd w:val="clear" w:color="auto" w:fill="auto"/>
                  <w:tcMar>
                    <w:top w:w="28" w:type="dxa"/>
                  </w:tcMar>
                </w:tcPr>
                <w:p w:rsidR="00AC2131" w:rsidRPr="002B6A72" w:rsidRDefault="00AC2131" w:rsidP="00AC2131">
                  <w:pPr>
                    <w:pStyle w:val="TableColumnHeading"/>
                    <w:ind w:left="0" w:right="57"/>
                    <w:rPr>
                      <w:szCs w:val="18"/>
                    </w:rPr>
                  </w:pPr>
                  <w:r w:rsidRPr="002B6A72">
                    <w:rPr>
                      <w:szCs w:val="18"/>
                    </w:rPr>
                    <w:t>2013-14</w:t>
                  </w:r>
                </w:p>
              </w:tc>
            </w:tr>
            <w:tr w:rsidR="00AC2131" w:rsidRPr="00A02BDF" w:rsidTr="00AC2131">
              <w:tc>
                <w:tcPr>
                  <w:tcW w:w="1903" w:type="pct"/>
                  <w:tcBorders>
                    <w:top w:val="single" w:sz="6" w:space="0" w:color="BFBFBF"/>
                  </w:tcBorders>
                  <w:vAlign w:val="bottom"/>
                </w:tcPr>
                <w:p w:rsidR="00AC2131" w:rsidRPr="00A02BDF" w:rsidRDefault="00AC2131">
                  <w:pPr>
                    <w:rPr>
                      <w:rFonts w:ascii="Arial" w:hAnsi="Arial" w:cs="Arial"/>
                      <w:b/>
                      <w:bCs/>
                      <w:sz w:val="18"/>
                      <w:szCs w:val="18"/>
                    </w:rPr>
                  </w:pPr>
                  <w:r w:rsidRPr="00A02BDF">
                    <w:rPr>
                      <w:rFonts w:ascii="Arial" w:hAnsi="Arial" w:cs="Arial"/>
                      <w:b/>
                      <w:bCs/>
                      <w:sz w:val="18"/>
                      <w:szCs w:val="18"/>
                    </w:rPr>
                    <w:t>Primary production</w:t>
                  </w:r>
                </w:p>
              </w:tc>
              <w:tc>
                <w:tcPr>
                  <w:tcW w:w="516" w:type="pct"/>
                  <w:tcBorders>
                    <w:top w:val="single" w:sz="6" w:space="0" w:color="BFBFBF"/>
                  </w:tcBorders>
                  <w:vAlign w:val="bottom"/>
                </w:tcPr>
                <w:p w:rsidR="00AC2131" w:rsidRPr="00A02BDF" w:rsidRDefault="00AC2131" w:rsidP="00AC2131">
                  <w:pPr>
                    <w:pStyle w:val="TableBodyText"/>
                    <w:spacing w:after="0"/>
                    <w:ind w:left="0" w:right="57"/>
                    <w:rPr>
                      <w:b/>
                    </w:rPr>
                  </w:pPr>
                  <w:r w:rsidRPr="00A02BDF">
                    <w:rPr>
                      <w:b/>
                    </w:rPr>
                    <w:t>1835.2</w:t>
                  </w:r>
                </w:p>
              </w:tc>
              <w:tc>
                <w:tcPr>
                  <w:tcW w:w="516" w:type="pct"/>
                  <w:tcBorders>
                    <w:top w:val="single" w:sz="6" w:space="0" w:color="BFBFBF"/>
                  </w:tcBorders>
                  <w:vAlign w:val="bottom"/>
                </w:tcPr>
                <w:p w:rsidR="00AC2131" w:rsidRPr="00A02BDF" w:rsidRDefault="00AC2131" w:rsidP="00AC2131">
                  <w:pPr>
                    <w:pStyle w:val="TableBodyText"/>
                    <w:spacing w:after="0"/>
                    <w:ind w:left="0" w:right="57"/>
                    <w:rPr>
                      <w:b/>
                    </w:rPr>
                  </w:pPr>
                  <w:r w:rsidRPr="00A02BDF">
                    <w:rPr>
                      <w:b/>
                    </w:rPr>
                    <w:t>1837.6</w:t>
                  </w:r>
                </w:p>
              </w:tc>
              <w:tc>
                <w:tcPr>
                  <w:tcW w:w="517" w:type="pct"/>
                  <w:tcBorders>
                    <w:top w:val="single" w:sz="6" w:space="0" w:color="BFBFBF"/>
                  </w:tcBorders>
                  <w:vAlign w:val="bottom"/>
                </w:tcPr>
                <w:p w:rsidR="00AC2131" w:rsidRPr="00A02BDF" w:rsidRDefault="00AC2131" w:rsidP="00AC2131">
                  <w:pPr>
                    <w:pStyle w:val="TableBodyText"/>
                    <w:spacing w:after="0"/>
                    <w:ind w:left="0" w:right="57"/>
                    <w:rPr>
                      <w:b/>
                    </w:rPr>
                  </w:pPr>
                  <w:r w:rsidRPr="00A02BDF">
                    <w:rPr>
                      <w:b/>
                    </w:rPr>
                    <w:t>1527.9</w:t>
                  </w:r>
                </w:p>
              </w:tc>
              <w:tc>
                <w:tcPr>
                  <w:tcW w:w="516" w:type="pct"/>
                  <w:tcBorders>
                    <w:top w:val="single" w:sz="6" w:space="0" w:color="BFBFBF"/>
                  </w:tcBorders>
                  <w:vAlign w:val="bottom"/>
                </w:tcPr>
                <w:p w:rsidR="00AC2131" w:rsidRPr="00A02BDF" w:rsidRDefault="00AC2131" w:rsidP="00AC2131">
                  <w:pPr>
                    <w:pStyle w:val="TableBodyText"/>
                    <w:spacing w:after="0"/>
                    <w:ind w:left="0" w:right="57"/>
                    <w:rPr>
                      <w:b/>
                    </w:rPr>
                  </w:pPr>
                  <w:r w:rsidRPr="00A02BDF">
                    <w:rPr>
                      <w:b/>
                    </w:rPr>
                    <w:t>1547.9</w:t>
                  </w:r>
                </w:p>
              </w:tc>
              <w:tc>
                <w:tcPr>
                  <w:tcW w:w="516" w:type="pct"/>
                  <w:tcBorders>
                    <w:top w:val="single" w:sz="6" w:space="0" w:color="BFBFBF"/>
                  </w:tcBorders>
                  <w:vAlign w:val="bottom"/>
                </w:tcPr>
                <w:p w:rsidR="00AC2131" w:rsidRPr="00A02BDF" w:rsidRDefault="00AC2131" w:rsidP="00AC2131">
                  <w:pPr>
                    <w:pStyle w:val="TableBodyText"/>
                    <w:spacing w:after="0"/>
                    <w:ind w:left="0" w:right="57"/>
                    <w:rPr>
                      <w:b/>
                    </w:rPr>
                  </w:pPr>
                  <w:r w:rsidRPr="00A02BDF">
                    <w:rPr>
                      <w:b/>
                    </w:rPr>
                    <w:t>1205.7</w:t>
                  </w:r>
                </w:p>
              </w:tc>
              <w:tc>
                <w:tcPr>
                  <w:tcW w:w="516" w:type="pct"/>
                  <w:tcBorders>
                    <w:top w:val="single" w:sz="6" w:space="0" w:color="BFBFBF"/>
                  </w:tcBorders>
                  <w:vAlign w:val="bottom"/>
                </w:tcPr>
                <w:p w:rsidR="00AC2131" w:rsidRPr="00A02BDF" w:rsidRDefault="00AC2131" w:rsidP="00AC2131">
                  <w:pPr>
                    <w:pStyle w:val="TableBodyText"/>
                    <w:spacing w:after="0"/>
                    <w:ind w:left="0" w:right="57"/>
                    <w:rPr>
                      <w:b/>
                    </w:rPr>
                  </w:pPr>
                  <w:r w:rsidRPr="00A02BDF">
                    <w:rPr>
                      <w:b/>
                    </w:rPr>
                    <w:t>1295.9</w:t>
                  </w:r>
                </w:p>
              </w:tc>
            </w:tr>
            <w:tr w:rsidR="00AC2131" w:rsidRPr="002B6A72" w:rsidTr="00AC2131">
              <w:tc>
                <w:tcPr>
                  <w:tcW w:w="1903" w:type="pct"/>
                  <w:vAlign w:val="center"/>
                </w:tcPr>
                <w:p w:rsidR="00AC2131" w:rsidRPr="002B6A72" w:rsidRDefault="00AC2131">
                  <w:pPr>
                    <w:rPr>
                      <w:rFonts w:ascii="Arial" w:hAnsi="Arial" w:cs="Arial"/>
                      <w:sz w:val="18"/>
                      <w:szCs w:val="18"/>
                    </w:rPr>
                  </w:pPr>
                  <w:r w:rsidRPr="002B6A72">
                    <w:rPr>
                      <w:rFonts w:ascii="Arial" w:hAnsi="Arial" w:cs="Arial"/>
                      <w:sz w:val="18"/>
                      <w:szCs w:val="18"/>
                    </w:rPr>
                    <w:t>Horticulture and fruit growing</w:t>
                  </w:r>
                </w:p>
              </w:tc>
              <w:tc>
                <w:tcPr>
                  <w:tcW w:w="516" w:type="pct"/>
                  <w:vAlign w:val="bottom"/>
                </w:tcPr>
                <w:p w:rsidR="00AC2131" w:rsidRPr="00A02BDF" w:rsidRDefault="00AC2131" w:rsidP="00AC2131">
                  <w:pPr>
                    <w:pStyle w:val="TableBodyText"/>
                    <w:spacing w:after="0"/>
                    <w:ind w:left="0" w:right="57"/>
                  </w:pPr>
                  <w:r w:rsidRPr="00A02BDF">
                    <w:t>185.4</w:t>
                  </w:r>
                </w:p>
              </w:tc>
              <w:tc>
                <w:tcPr>
                  <w:tcW w:w="516" w:type="pct"/>
                  <w:vAlign w:val="bottom"/>
                </w:tcPr>
                <w:p w:rsidR="00AC2131" w:rsidRPr="00A02BDF" w:rsidRDefault="00AC2131" w:rsidP="00AC2131">
                  <w:pPr>
                    <w:pStyle w:val="TableBodyText"/>
                    <w:spacing w:after="0"/>
                    <w:ind w:left="0" w:right="57"/>
                  </w:pPr>
                  <w:r w:rsidRPr="00A02BDF">
                    <w:t>187.0</w:t>
                  </w:r>
                </w:p>
              </w:tc>
              <w:tc>
                <w:tcPr>
                  <w:tcW w:w="517" w:type="pct"/>
                  <w:vAlign w:val="bottom"/>
                </w:tcPr>
                <w:p w:rsidR="00AC2131" w:rsidRPr="00A02BDF" w:rsidRDefault="00AC2131" w:rsidP="00AC2131">
                  <w:pPr>
                    <w:pStyle w:val="TableBodyText"/>
                    <w:spacing w:after="0"/>
                    <w:ind w:left="0" w:right="57"/>
                  </w:pPr>
                  <w:r w:rsidRPr="00A02BDF">
                    <w:t>160.9</w:t>
                  </w:r>
                </w:p>
              </w:tc>
              <w:tc>
                <w:tcPr>
                  <w:tcW w:w="516" w:type="pct"/>
                  <w:vAlign w:val="bottom"/>
                </w:tcPr>
                <w:p w:rsidR="00AC2131" w:rsidRPr="00A02BDF" w:rsidRDefault="00AC2131" w:rsidP="00AC2131">
                  <w:pPr>
                    <w:pStyle w:val="TableBodyText"/>
                    <w:spacing w:after="0"/>
                    <w:ind w:left="0" w:right="57"/>
                  </w:pPr>
                  <w:r w:rsidRPr="00A02BDF">
                    <w:t>135.9</w:t>
                  </w:r>
                </w:p>
              </w:tc>
              <w:tc>
                <w:tcPr>
                  <w:tcW w:w="516" w:type="pct"/>
                  <w:vAlign w:val="bottom"/>
                </w:tcPr>
                <w:p w:rsidR="00AC2131" w:rsidRPr="00A02BDF" w:rsidRDefault="00AC2131" w:rsidP="00AC2131">
                  <w:pPr>
                    <w:pStyle w:val="TableBodyText"/>
                    <w:spacing w:after="0"/>
                    <w:ind w:left="0" w:right="57"/>
                  </w:pPr>
                  <w:r w:rsidRPr="00A02BDF">
                    <w:t>121.5</w:t>
                  </w:r>
                </w:p>
              </w:tc>
              <w:tc>
                <w:tcPr>
                  <w:tcW w:w="516" w:type="pct"/>
                  <w:vAlign w:val="bottom"/>
                </w:tcPr>
                <w:p w:rsidR="00AC2131" w:rsidRPr="00A02BDF" w:rsidRDefault="00AC2131" w:rsidP="00AC2131">
                  <w:pPr>
                    <w:pStyle w:val="TableBodyText"/>
                    <w:spacing w:after="0"/>
                    <w:ind w:left="0" w:right="57"/>
                  </w:pPr>
                  <w:r w:rsidRPr="00A02BDF">
                    <w:t>132.3</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Sheep, beef cattle and grain farming</w:t>
                  </w:r>
                </w:p>
              </w:tc>
              <w:tc>
                <w:tcPr>
                  <w:tcW w:w="516" w:type="pct"/>
                  <w:vAlign w:val="bottom"/>
                </w:tcPr>
                <w:p w:rsidR="00AC2131" w:rsidRPr="00A02BDF" w:rsidRDefault="00AC2131" w:rsidP="00AC2131">
                  <w:pPr>
                    <w:pStyle w:val="TableBodyText"/>
                    <w:spacing w:after="0"/>
                    <w:ind w:left="0" w:right="57"/>
                  </w:pPr>
                  <w:r w:rsidRPr="00A02BDF">
                    <w:t>1057.8</w:t>
                  </w:r>
                </w:p>
              </w:tc>
              <w:tc>
                <w:tcPr>
                  <w:tcW w:w="516" w:type="pct"/>
                  <w:vAlign w:val="bottom"/>
                </w:tcPr>
                <w:p w:rsidR="00AC2131" w:rsidRPr="00A02BDF" w:rsidRDefault="00AC2131" w:rsidP="00AC2131">
                  <w:pPr>
                    <w:pStyle w:val="TableBodyText"/>
                    <w:spacing w:after="0"/>
                    <w:ind w:left="0" w:right="57"/>
                  </w:pPr>
                  <w:r w:rsidRPr="00A02BDF">
                    <w:t>938.2</w:t>
                  </w:r>
                </w:p>
              </w:tc>
              <w:tc>
                <w:tcPr>
                  <w:tcW w:w="517" w:type="pct"/>
                  <w:vAlign w:val="bottom"/>
                </w:tcPr>
                <w:p w:rsidR="00AC2131" w:rsidRPr="00A02BDF" w:rsidRDefault="00AC2131" w:rsidP="00AC2131">
                  <w:pPr>
                    <w:pStyle w:val="TableBodyText"/>
                    <w:spacing w:after="0"/>
                    <w:ind w:left="0" w:right="57"/>
                  </w:pPr>
                  <w:r w:rsidRPr="00A02BDF">
                    <w:t>760.6</w:t>
                  </w:r>
                </w:p>
              </w:tc>
              <w:tc>
                <w:tcPr>
                  <w:tcW w:w="516" w:type="pct"/>
                  <w:vAlign w:val="bottom"/>
                </w:tcPr>
                <w:p w:rsidR="00AC2131" w:rsidRPr="00A02BDF" w:rsidRDefault="00AC2131" w:rsidP="00AC2131">
                  <w:pPr>
                    <w:pStyle w:val="TableBodyText"/>
                    <w:spacing w:after="0"/>
                    <w:ind w:left="0" w:right="57"/>
                  </w:pPr>
                  <w:r w:rsidRPr="00A02BDF">
                    <w:t>660.1</w:t>
                  </w:r>
                </w:p>
              </w:tc>
              <w:tc>
                <w:tcPr>
                  <w:tcW w:w="516" w:type="pct"/>
                  <w:shd w:val="clear" w:color="auto" w:fill="auto"/>
                  <w:vAlign w:val="bottom"/>
                </w:tcPr>
                <w:p w:rsidR="00AC2131" w:rsidRPr="00A02BDF" w:rsidRDefault="00AC2131" w:rsidP="00AC2131">
                  <w:pPr>
                    <w:pStyle w:val="TableBodyText"/>
                    <w:spacing w:after="0"/>
                    <w:ind w:left="0" w:right="57"/>
                  </w:pPr>
                  <w:r w:rsidRPr="00A02BDF">
                    <w:t>523.0</w:t>
                  </w:r>
                </w:p>
              </w:tc>
              <w:tc>
                <w:tcPr>
                  <w:tcW w:w="516" w:type="pct"/>
                  <w:shd w:val="clear" w:color="auto" w:fill="auto"/>
                  <w:vAlign w:val="bottom"/>
                </w:tcPr>
                <w:p w:rsidR="00AC2131" w:rsidRPr="00A02BDF" w:rsidRDefault="00AC2131" w:rsidP="00AC2131">
                  <w:pPr>
                    <w:pStyle w:val="TableBodyText"/>
                    <w:spacing w:after="0"/>
                    <w:ind w:left="0" w:right="57"/>
                  </w:pPr>
                  <w:r w:rsidRPr="00A02BDF">
                    <w:t>609.1</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Other crop growing</w:t>
                  </w:r>
                </w:p>
              </w:tc>
              <w:tc>
                <w:tcPr>
                  <w:tcW w:w="516" w:type="pct"/>
                  <w:vAlign w:val="bottom"/>
                </w:tcPr>
                <w:p w:rsidR="00AC2131" w:rsidRPr="00A02BDF" w:rsidRDefault="00AC2131" w:rsidP="00AC2131">
                  <w:pPr>
                    <w:pStyle w:val="TableBodyText"/>
                    <w:spacing w:after="0"/>
                    <w:ind w:left="0" w:right="57"/>
                  </w:pPr>
                  <w:r w:rsidRPr="00A02BDF">
                    <w:t>66.1</w:t>
                  </w:r>
                </w:p>
              </w:tc>
              <w:tc>
                <w:tcPr>
                  <w:tcW w:w="516" w:type="pct"/>
                  <w:vAlign w:val="bottom"/>
                </w:tcPr>
                <w:p w:rsidR="00AC2131" w:rsidRPr="00A02BDF" w:rsidRDefault="00AC2131" w:rsidP="00AC2131">
                  <w:pPr>
                    <w:pStyle w:val="TableBodyText"/>
                    <w:spacing w:after="0"/>
                    <w:ind w:left="0" w:right="57"/>
                  </w:pPr>
                  <w:r w:rsidRPr="00A02BDF">
                    <w:t>95.2</w:t>
                  </w:r>
                </w:p>
              </w:tc>
              <w:tc>
                <w:tcPr>
                  <w:tcW w:w="517" w:type="pct"/>
                  <w:vAlign w:val="bottom"/>
                </w:tcPr>
                <w:p w:rsidR="00AC2131" w:rsidRPr="00A02BDF" w:rsidRDefault="00AC2131" w:rsidP="00AC2131">
                  <w:pPr>
                    <w:pStyle w:val="TableBodyText"/>
                    <w:spacing w:after="0"/>
                    <w:ind w:left="0" w:right="57"/>
                  </w:pPr>
                  <w:r w:rsidRPr="00A02BDF">
                    <w:t>46.8</w:t>
                  </w:r>
                </w:p>
              </w:tc>
              <w:tc>
                <w:tcPr>
                  <w:tcW w:w="516" w:type="pct"/>
                  <w:vAlign w:val="bottom"/>
                </w:tcPr>
                <w:p w:rsidR="00AC2131" w:rsidRPr="00A02BDF" w:rsidRDefault="00AC2131" w:rsidP="00AC2131">
                  <w:pPr>
                    <w:pStyle w:val="TableBodyText"/>
                    <w:spacing w:after="0"/>
                    <w:ind w:left="0" w:right="57"/>
                  </w:pPr>
                  <w:r w:rsidRPr="00A02BDF">
                    <w:t>92.5</w:t>
                  </w:r>
                </w:p>
              </w:tc>
              <w:tc>
                <w:tcPr>
                  <w:tcW w:w="516" w:type="pct"/>
                  <w:shd w:val="clear" w:color="auto" w:fill="auto"/>
                  <w:vAlign w:val="bottom"/>
                </w:tcPr>
                <w:p w:rsidR="00AC2131" w:rsidRPr="00A02BDF" w:rsidRDefault="00AC2131" w:rsidP="00AC2131">
                  <w:pPr>
                    <w:pStyle w:val="TableBodyText"/>
                    <w:spacing w:after="0"/>
                    <w:ind w:left="0" w:right="57"/>
                  </w:pPr>
                  <w:r w:rsidRPr="00A02BDF">
                    <w:t>87.5</w:t>
                  </w:r>
                </w:p>
              </w:tc>
              <w:tc>
                <w:tcPr>
                  <w:tcW w:w="516" w:type="pct"/>
                  <w:shd w:val="clear" w:color="auto" w:fill="auto"/>
                  <w:vAlign w:val="bottom"/>
                </w:tcPr>
                <w:p w:rsidR="00AC2131" w:rsidRPr="00A02BDF" w:rsidRDefault="00AC2131" w:rsidP="00AC2131">
                  <w:pPr>
                    <w:pStyle w:val="TableBodyText"/>
                    <w:spacing w:after="0"/>
                    <w:ind w:left="0" w:right="57"/>
                  </w:pPr>
                  <w:r w:rsidRPr="00A02BDF">
                    <w:t>81.7</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Dairy cattle farming</w:t>
                  </w:r>
                </w:p>
              </w:tc>
              <w:tc>
                <w:tcPr>
                  <w:tcW w:w="516" w:type="pct"/>
                  <w:vAlign w:val="bottom"/>
                </w:tcPr>
                <w:p w:rsidR="00AC2131" w:rsidRPr="00A02BDF" w:rsidRDefault="00AC2131" w:rsidP="00AC2131">
                  <w:pPr>
                    <w:pStyle w:val="TableBodyText"/>
                    <w:spacing w:after="0"/>
                    <w:ind w:left="0" w:right="57"/>
                  </w:pPr>
                  <w:r w:rsidRPr="00A02BDF">
                    <w:t>144.6</w:t>
                  </w:r>
                </w:p>
              </w:tc>
              <w:tc>
                <w:tcPr>
                  <w:tcW w:w="516" w:type="pct"/>
                  <w:vAlign w:val="bottom"/>
                </w:tcPr>
                <w:p w:rsidR="00AC2131" w:rsidRPr="00A02BDF" w:rsidRDefault="00AC2131" w:rsidP="00AC2131">
                  <w:pPr>
                    <w:pStyle w:val="TableBodyText"/>
                    <w:spacing w:after="0"/>
                    <w:ind w:left="0" w:right="57"/>
                  </w:pPr>
                  <w:r w:rsidRPr="00A02BDF">
                    <w:t>133.9</w:t>
                  </w:r>
                </w:p>
              </w:tc>
              <w:tc>
                <w:tcPr>
                  <w:tcW w:w="517" w:type="pct"/>
                  <w:vAlign w:val="bottom"/>
                </w:tcPr>
                <w:p w:rsidR="00AC2131" w:rsidRPr="00A02BDF" w:rsidRDefault="00AC2131" w:rsidP="00AC2131">
                  <w:pPr>
                    <w:pStyle w:val="TableBodyText"/>
                    <w:spacing w:after="0"/>
                    <w:ind w:left="0" w:right="57"/>
                  </w:pPr>
                  <w:r w:rsidRPr="00A02BDF">
                    <w:t>96.6</w:t>
                  </w:r>
                </w:p>
              </w:tc>
              <w:tc>
                <w:tcPr>
                  <w:tcW w:w="516" w:type="pct"/>
                  <w:vAlign w:val="bottom"/>
                </w:tcPr>
                <w:p w:rsidR="00AC2131" w:rsidRPr="00A02BDF" w:rsidRDefault="00AC2131" w:rsidP="00AC2131">
                  <w:pPr>
                    <w:pStyle w:val="TableBodyText"/>
                    <w:spacing w:after="0"/>
                    <w:ind w:left="0" w:right="57"/>
                  </w:pPr>
                  <w:r w:rsidRPr="00A02BDF">
                    <w:t>77.6</w:t>
                  </w:r>
                </w:p>
              </w:tc>
              <w:tc>
                <w:tcPr>
                  <w:tcW w:w="516" w:type="pct"/>
                  <w:shd w:val="clear" w:color="auto" w:fill="auto"/>
                  <w:vAlign w:val="bottom"/>
                </w:tcPr>
                <w:p w:rsidR="00AC2131" w:rsidRPr="00A02BDF" w:rsidRDefault="00AC2131" w:rsidP="00AC2131">
                  <w:pPr>
                    <w:pStyle w:val="TableBodyText"/>
                    <w:spacing w:after="0"/>
                    <w:ind w:left="0" w:right="57"/>
                  </w:pPr>
                  <w:r w:rsidRPr="00A02BDF">
                    <w:t>50.7</w:t>
                  </w:r>
                </w:p>
              </w:tc>
              <w:tc>
                <w:tcPr>
                  <w:tcW w:w="516" w:type="pct"/>
                  <w:shd w:val="clear" w:color="auto" w:fill="auto"/>
                  <w:vAlign w:val="bottom"/>
                </w:tcPr>
                <w:p w:rsidR="00AC2131" w:rsidRPr="00A02BDF" w:rsidRDefault="00AC2131" w:rsidP="00AC2131">
                  <w:pPr>
                    <w:pStyle w:val="TableBodyText"/>
                    <w:spacing w:after="0"/>
                    <w:ind w:left="0" w:right="57"/>
                  </w:pPr>
                  <w:r w:rsidRPr="00A02BDF">
                    <w:t>63.7</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Other livestock farming</w:t>
                  </w:r>
                </w:p>
              </w:tc>
              <w:tc>
                <w:tcPr>
                  <w:tcW w:w="516" w:type="pct"/>
                  <w:vAlign w:val="bottom"/>
                </w:tcPr>
                <w:p w:rsidR="00AC2131" w:rsidRPr="00A02BDF" w:rsidRDefault="00AC2131" w:rsidP="00AC2131">
                  <w:pPr>
                    <w:pStyle w:val="TableBodyText"/>
                    <w:spacing w:after="0"/>
                    <w:ind w:left="0" w:right="57"/>
                  </w:pPr>
                  <w:r w:rsidRPr="00A02BDF">
                    <w:t>47.6</w:t>
                  </w:r>
                </w:p>
              </w:tc>
              <w:tc>
                <w:tcPr>
                  <w:tcW w:w="516" w:type="pct"/>
                  <w:vAlign w:val="bottom"/>
                </w:tcPr>
                <w:p w:rsidR="00AC2131" w:rsidRPr="00A02BDF" w:rsidRDefault="00AC2131" w:rsidP="00AC2131">
                  <w:pPr>
                    <w:pStyle w:val="TableBodyText"/>
                    <w:spacing w:after="0"/>
                    <w:ind w:left="0" w:right="57"/>
                  </w:pPr>
                  <w:r w:rsidRPr="00A02BDF">
                    <w:t>47.6</w:t>
                  </w:r>
                </w:p>
              </w:tc>
              <w:tc>
                <w:tcPr>
                  <w:tcW w:w="517" w:type="pct"/>
                  <w:vAlign w:val="bottom"/>
                </w:tcPr>
                <w:p w:rsidR="00AC2131" w:rsidRPr="00A02BDF" w:rsidRDefault="00AC2131" w:rsidP="00AC2131">
                  <w:pPr>
                    <w:pStyle w:val="TableBodyText"/>
                    <w:spacing w:after="0"/>
                    <w:ind w:left="0" w:right="57"/>
                  </w:pPr>
                  <w:r w:rsidRPr="00A02BDF">
                    <w:t>43.9</w:t>
                  </w:r>
                </w:p>
              </w:tc>
              <w:tc>
                <w:tcPr>
                  <w:tcW w:w="516" w:type="pct"/>
                  <w:vAlign w:val="bottom"/>
                </w:tcPr>
                <w:p w:rsidR="00AC2131" w:rsidRPr="00A02BDF" w:rsidRDefault="00AC2131" w:rsidP="00AC2131">
                  <w:pPr>
                    <w:pStyle w:val="TableBodyText"/>
                    <w:spacing w:after="0"/>
                    <w:ind w:left="0" w:right="57"/>
                  </w:pPr>
                  <w:r w:rsidRPr="00A02BDF">
                    <w:t>66.2</w:t>
                  </w:r>
                </w:p>
              </w:tc>
              <w:tc>
                <w:tcPr>
                  <w:tcW w:w="516" w:type="pct"/>
                  <w:shd w:val="clear" w:color="auto" w:fill="auto"/>
                  <w:vAlign w:val="bottom"/>
                </w:tcPr>
                <w:p w:rsidR="00AC2131" w:rsidRPr="00A02BDF" w:rsidRDefault="00AC2131" w:rsidP="00AC2131">
                  <w:pPr>
                    <w:pStyle w:val="TableBodyText"/>
                    <w:spacing w:after="0"/>
                    <w:ind w:left="0" w:right="57"/>
                  </w:pPr>
                  <w:r w:rsidRPr="00A02BDF">
                    <w:t>41.6</w:t>
                  </w:r>
                </w:p>
              </w:tc>
              <w:tc>
                <w:tcPr>
                  <w:tcW w:w="516" w:type="pct"/>
                  <w:shd w:val="clear" w:color="auto" w:fill="auto"/>
                  <w:vAlign w:val="bottom"/>
                </w:tcPr>
                <w:p w:rsidR="00AC2131" w:rsidRPr="00A02BDF" w:rsidRDefault="00AC2131" w:rsidP="00AC2131">
                  <w:pPr>
                    <w:pStyle w:val="TableBodyText"/>
                    <w:spacing w:after="0"/>
                    <w:ind w:left="0" w:right="57"/>
                  </w:pPr>
                  <w:r w:rsidRPr="00A02BDF">
                    <w:t>43.6</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Aquaculture and fishing</w:t>
                  </w:r>
                </w:p>
              </w:tc>
              <w:tc>
                <w:tcPr>
                  <w:tcW w:w="516" w:type="pct"/>
                  <w:vAlign w:val="bottom"/>
                </w:tcPr>
                <w:p w:rsidR="00AC2131" w:rsidRPr="00A02BDF" w:rsidRDefault="00AC2131" w:rsidP="00AC2131">
                  <w:pPr>
                    <w:pStyle w:val="TableBodyText"/>
                    <w:spacing w:after="0"/>
                    <w:ind w:left="0" w:right="57"/>
                  </w:pPr>
                  <w:r w:rsidRPr="00A02BDF">
                    <w:t>75.3</w:t>
                  </w:r>
                </w:p>
              </w:tc>
              <w:tc>
                <w:tcPr>
                  <w:tcW w:w="516" w:type="pct"/>
                  <w:vAlign w:val="bottom"/>
                </w:tcPr>
                <w:p w:rsidR="00AC2131" w:rsidRPr="00A02BDF" w:rsidRDefault="00AC2131" w:rsidP="00AC2131">
                  <w:pPr>
                    <w:pStyle w:val="TableBodyText"/>
                    <w:spacing w:after="0"/>
                    <w:ind w:left="0" w:right="57"/>
                  </w:pPr>
                  <w:r w:rsidRPr="00A02BDF">
                    <w:t>83.6</w:t>
                  </w:r>
                </w:p>
              </w:tc>
              <w:tc>
                <w:tcPr>
                  <w:tcW w:w="517" w:type="pct"/>
                  <w:vAlign w:val="bottom"/>
                </w:tcPr>
                <w:p w:rsidR="00AC2131" w:rsidRPr="00A02BDF" w:rsidRDefault="00AC2131" w:rsidP="00AC2131">
                  <w:pPr>
                    <w:pStyle w:val="TableBodyText"/>
                    <w:spacing w:after="0"/>
                    <w:ind w:left="0" w:right="57"/>
                  </w:pPr>
                  <w:r w:rsidRPr="00A02BDF">
                    <w:t>77.8</w:t>
                  </w:r>
                </w:p>
              </w:tc>
              <w:tc>
                <w:tcPr>
                  <w:tcW w:w="516" w:type="pct"/>
                  <w:vAlign w:val="bottom"/>
                </w:tcPr>
                <w:p w:rsidR="00AC2131" w:rsidRPr="00A02BDF" w:rsidRDefault="00AC2131" w:rsidP="00AC2131">
                  <w:pPr>
                    <w:pStyle w:val="TableBodyText"/>
                    <w:spacing w:after="0"/>
                    <w:ind w:left="0" w:right="57"/>
                  </w:pPr>
                  <w:r w:rsidRPr="00A02BDF">
                    <w:t>67.1</w:t>
                  </w:r>
                </w:p>
              </w:tc>
              <w:tc>
                <w:tcPr>
                  <w:tcW w:w="516" w:type="pct"/>
                  <w:shd w:val="clear" w:color="auto" w:fill="auto"/>
                  <w:vAlign w:val="bottom"/>
                </w:tcPr>
                <w:p w:rsidR="00AC2131" w:rsidRPr="00A02BDF" w:rsidRDefault="00AC2131" w:rsidP="00AC2131">
                  <w:pPr>
                    <w:pStyle w:val="TableBodyText"/>
                    <w:spacing w:after="0"/>
                    <w:ind w:left="0" w:right="57"/>
                  </w:pPr>
                  <w:r w:rsidRPr="00A02BDF">
                    <w:t>60.2</w:t>
                  </w:r>
                </w:p>
              </w:tc>
              <w:tc>
                <w:tcPr>
                  <w:tcW w:w="516" w:type="pct"/>
                  <w:shd w:val="clear" w:color="auto" w:fill="auto"/>
                  <w:vAlign w:val="bottom"/>
                </w:tcPr>
                <w:p w:rsidR="00AC2131" w:rsidRPr="00A02BDF" w:rsidRDefault="00AC2131" w:rsidP="00AC2131">
                  <w:pPr>
                    <w:pStyle w:val="TableBodyText"/>
                    <w:spacing w:after="0"/>
                    <w:ind w:left="0" w:right="57"/>
                  </w:pPr>
                  <w:r w:rsidRPr="00A02BDF">
                    <w:t>65.0</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Forestry and logging</w:t>
                  </w:r>
                </w:p>
              </w:tc>
              <w:tc>
                <w:tcPr>
                  <w:tcW w:w="516" w:type="pct"/>
                  <w:vAlign w:val="bottom"/>
                </w:tcPr>
                <w:p w:rsidR="00AC2131" w:rsidRPr="00A02BDF" w:rsidRDefault="00AC2131" w:rsidP="00AC2131">
                  <w:pPr>
                    <w:pStyle w:val="TableBodyText"/>
                    <w:spacing w:after="0"/>
                    <w:ind w:left="0" w:right="57"/>
                  </w:pPr>
                  <w:r w:rsidRPr="00A02BDF">
                    <w:t>-63.5</w:t>
                  </w:r>
                </w:p>
              </w:tc>
              <w:tc>
                <w:tcPr>
                  <w:tcW w:w="516" w:type="pct"/>
                  <w:vAlign w:val="bottom"/>
                </w:tcPr>
                <w:p w:rsidR="00AC2131" w:rsidRPr="00A02BDF" w:rsidRDefault="00AC2131" w:rsidP="00AC2131">
                  <w:pPr>
                    <w:pStyle w:val="TableBodyText"/>
                    <w:spacing w:after="0"/>
                    <w:ind w:left="0" w:right="57"/>
                  </w:pPr>
                  <w:r w:rsidRPr="00A02BDF">
                    <w:t>38.7</w:t>
                  </w:r>
                </w:p>
              </w:tc>
              <w:tc>
                <w:tcPr>
                  <w:tcW w:w="517" w:type="pct"/>
                  <w:vAlign w:val="bottom"/>
                </w:tcPr>
                <w:p w:rsidR="00AC2131" w:rsidRPr="00A02BDF" w:rsidRDefault="00AC2131" w:rsidP="00AC2131">
                  <w:pPr>
                    <w:pStyle w:val="TableBodyText"/>
                    <w:spacing w:after="0"/>
                    <w:ind w:left="0" w:right="57"/>
                  </w:pPr>
                  <w:r w:rsidRPr="00A02BDF">
                    <w:t>46.1</w:t>
                  </w:r>
                </w:p>
              </w:tc>
              <w:tc>
                <w:tcPr>
                  <w:tcW w:w="516" w:type="pct"/>
                  <w:vAlign w:val="bottom"/>
                </w:tcPr>
                <w:p w:rsidR="00AC2131" w:rsidRPr="00A02BDF" w:rsidRDefault="00AC2131" w:rsidP="00AC2131">
                  <w:pPr>
                    <w:pStyle w:val="TableBodyText"/>
                    <w:spacing w:after="0"/>
                    <w:ind w:left="0" w:right="57"/>
                  </w:pPr>
                  <w:r w:rsidRPr="00A02BDF">
                    <w:t>72.3</w:t>
                  </w:r>
                </w:p>
              </w:tc>
              <w:tc>
                <w:tcPr>
                  <w:tcW w:w="516" w:type="pct"/>
                  <w:shd w:val="clear" w:color="auto" w:fill="auto"/>
                  <w:vAlign w:val="bottom"/>
                </w:tcPr>
                <w:p w:rsidR="00AC2131" w:rsidRPr="00A02BDF" w:rsidRDefault="00AC2131" w:rsidP="00AC2131">
                  <w:pPr>
                    <w:pStyle w:val="TableBodyText"/>
                    <w:spacing w:after="0"/>
                    <w:ind w:left="0" w:right="57"/>
                  </w:pPr>
                  <w:r w:rsidRPr="00A02BDF">
                    <w:t>46.3</w:t>
                  </w:r>
                </w:p>
              </w:tc>
              <w:tc>
                <w:tcPr>
                  <w:tcW w:w="516" w:type="pct"/>
                  <w:shd w:val="clear" w:color="auto" w:fill="auto"/>
                  <w:vAlign w:val="bottom"/>
                </w:tcPr>
                <w:p w:rsidR="00AC2131" w:rsidRPr="00A02BDF" w:rsidRDefault="00AC2131" w:rsidP="00AC2131">
                  <w:pPr>
                    <w:pStyle w:val="TableBodyText"/>
                    <w:spacing w:after="0"/>
                    <w:ind w:left="0" w:right="57"/>
                  </w:pPr>
                  <w:r w:rsidRPr="00A02BDF">
                    <w:t>31.5</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Primary production support services</w:t>
                  </w:r>
                </w:p>
              </w:tc>
              <w:tc>
                <w:tcPr>
                  <w:tcW w:w="516" w:type="pct"/>
                  <w:vAlign w:val="bottom"/>
                </w:tcPr>
                <w:p w:rsidR="00AC2131" w:rsidRPr="00A02BDF" w:rsidRDefault="00AC2131" w:rsidP="00AC2131">
                  <w:pPr>
                    <w:pStyle w:val="TableBodyText"/>
                    <w:spacing w:after="0"/>
                    <w:ind w:left="0" w:right="57"/>
                  </w:pPr>
                  <w:r w:rsidRPr="00A02BDF">
                    <w:t>24.6</w:t>
                  </w:r>
                </w:p>
              </w:tc>
              <w:tc>
                <w:tcPr>
                  <w:tcW w:w="516" w:type="pct"/>
                  <w:vAlign w:val="bottom"/>
                </w:tcPr>
                <w:p w:rsidR="00AC2131" w:rsidRPr="00A02BDF" w:rsidRDefault="00AC2131" w:rsidP="00AC2131">
                  <w:pPr>
                    <w:pStyle w:val="TableBodyText"/>
                    <w:spacing w:after="0"/>
                    <w:ind w:left="0" w:right="57"/>
                  </w:pPr>
                  <w:r w:rsidRPr="00A02BDF">
                    <w:t>32.5</w:t>
                  </w:r>
                </w:p>
              </w:tc>
              <w:tc>
                <w:tcPr>
                  <w:tcW w:w="517" w:type="pct"/>
                  <w:vAlign w:val="bottom"/>
                </w:tcPr>
                <w:p w:rsidR="00AC2131" w:rsidRPr="00A02BDF" w:rsidRDefault="00AC2131" w:rsidP="00AC2131">
                  <w:pPr>
                    <w:pStyle w:val="TableBodyText"/>
                    <w:spacing w:after="0"/>
                    <w:ind w:left="0" w:right="57"/>
                  </w:pPr>
                  <w:r w:rsidRPr="00A02BDF">
                    <w:t>33.0</w:t>
                  </w:r>
                </w:p>
              </w:tc>
              <w:tc>
                <w:tcPr>
                  <w:tcW w:w="516" w:type="pct"/>
                  <w:vAlign w:val="bottom"/>
                </w:tcPr>
                <w:p w:rsidR="00AC2131" w:rsidRPr="00A02BDF" w:rsidRDefault="00AC2131" w:rsidP="00AC2131">
                  <w:pPr>
                    <w:pStyle w:val="TableBodyText"/>
                    <w:spacing w:after="0"/>
                    <w:ind w:left="0" w:right="57"/>
                  </w:pPr>
                  <w:r w:rsidRPr="00A02BDF">
                    <w:t>21.9</w:t>
                  </w:r>
                </w:p>
              </w:tc>
              <w:tc>
                <w:tcPr>
                  <w:tcW w:w="516" w:type="pct"/>
                  <w:shd w:val="clear" w:color="auto" w:fill="auto"/>
                  <w:vAlign w:val="bottom"/>
                </w:tcPr>
                <w:p w:rsidR="00AC2131" w:rsidRPr="00A02BDF" w:rsidRDefault="00AC2131" w:rsidP="00AC2131">
                  <w:pPr>
                    <w:pStyle w:val="TableBodyText"/>
                    <w:spacing w:after="0"/>
                    <w:ind w:left="0" w:right="57"/>
                  </w:pPr>
                  <w:r w:rsidRPr="00A02BDF">
                    <w:t>24.3</w:t>
                  </w:r>
                </w:p>
              </w:tc>
              <w:tc>
                <w:tcPr>
                  <w:tcW w:w="516" w:type="pct"/>
                  <w:shd w:val="clear" w:color="auto" w:fill="auto"/>
                  <w:vAlign w:val="bottom"/>
                </w:tcPr>
                <w:p w:rsidR="00AC2131" w:rsidRPr="00A02BDF" w:rsidRDefault="00AC2131" w:rsidP="00AC2131">
                  <w:pPr>
                    <w:pStyle w:val="TableBodyText"/>
                    <w:spacing w:after="0"/>
                    <w:ind w:left="0" w:right="57"/>
                  </w:pPr>
                  <w:r w:rsidRPr="00A02BDF">
                    <w:t>29.0</w:t>
                  </w:r>
                </w:p>
              </w:tc>
            </w:tr>
            <w:tr w:rsidR="00AC2131" w:rsidRPr="002B6A72" w:rsidTr="00AC2131">
              <w:tc>
                <w:tcPr>
                  <w:tcW w:w="1903" w:type="pct"/>
                  <w:shd w:val="clear" w:color="auto" w:fill="auto"/>
                  <w:vAlign w:val="center"/>
                </w:tcPr>
                <w:p w:rsidR="00AC2131" w:rsidRPr="002B6A72" w:rsidRDefault="00AC2131" w:rsidP="00AC2131">
                  <w:pPr>
                    <w:rPr>
                      <w:rFonts w:ascii="Arial" w:hAnsi="Arial" w:cs="Arial"/>
                      <w:sz w:val="18"/>
                      <w:szCs w:val="18"/>
                    </w:rPr>
                  </w:pPr>
                  <w:r w:rsidRPr="002B6A72">
                    <w:rPr>
                      <w:rFonts w:ascii="Arial" w:hAnsi="Arial" w:cs="Arial"/>
                      <w:sz w:val="18"/>
                      <w:szCs w:val="18"/>
                    </w:rPr>
                    <w:t>Unallocated primary production</w:t>
                  </w:r>
                  <w:r>
                    <w:rPr>
                      <w:rStyle w:val="NoteLabel"/>
                    </w:rPr>
                    <w:t>a</w:t>
                  </w:r>
                </w:p>
              </w:tc>
              <w:tc>
                <w:tcPr>
                  <w:tcW w:w="516" w:type="pct"/>
                  <w:vAlign w:val="bottom"/>
                </w:tcPr>
                <w:p w:rsidR="00AC2131" w:rsidRPr="00A02BDF" w:rsidRDefault="00AC2131" w:rsidP="00AC2131">
                  <w:pPr>
                    <w:pStyle w:val="TableBodyText"/>
                    <w:spacing w:after="0"/>
                    <w:ind w:left="0" w:right="57"/>
                  </w:pPr>
                  <w:r w:rsidRPr="00A02BDF">
                    <w:t>297.5</w:t>
                  </w:r>
                </w:p>
              </w:tc>
              <w:tc>
                <w:tcPr>
                  <w:tcW w:w="516" w:type="pct"/>
                  <w:vAlign w:val="bottom"/>
                </w:tcPr>
                <w:p w:rsidR="00AC2131" w:rsidRPr="00A02BDF" w:rsidRDefault="00AC2131" w:rsidP="00AC2131">
                  <w:pPr>
                    <w:pStyle w:val="TableBodyText"/>
                    <w:spacing w:after="0"/>
                    <w:ind w:left="0" w:right="57"/>
                  </w:pPr>
                  <w:r w:rsidRPr="00A02BDF">
                    <w:t>281.1</w:t>
                  </w:r>
                </w:p>
              </w:tc>
              <w:tc>
                <w:tcPr>
                  <w:tcW w:w="517" w:type="pct"/>
                  <w:vAlign w:val="bottom"/>
                </w:tcPr>
                <w:p w:rsidR="00AC2131" w:rsidRPr="00A02BDF" w:rsidRDefault="00AC2131" w:rsidP="00AC2131">
                  <w:pPr>
                    <w:pStyle w:val="TableBodyText"/>
                    <w:spacing w:after="0"/>
                    <w:ind w:left="0" w:right="57"/>
                  </w:pPr>
                  <w:r w:rsidRPr="00A02BDF">
                    <w:t>262.2</w:t>
                  </w:r>
                </w:p>
              </w:tc>
              <w:tc>
                <w:tcPr>
                  <w:tcW w:w="516" w:type="pct"/>
                  <w:vAlign w:val="bottom"/>
                </w:tcPr>
                <w:p w:rsidR="00AC2131" w:rsidRPr="00A02BDF" w:rsidRDefault="00AC2131" w:rsidP="00AC2131">
                  <w:pPr>
                    <w:pStyle w:val="TableBodyText"/>
                    <w:spacing w:after="0"/>
                    <w:ind w:left="0" w:right="57"/>
                  </w:pPr>
                  <w:r w:rsidRPr="00A02BDF">
                    <w:t>354.3</w:t>
                  </w:r>
                </w:p>
              </w:tc>
              <w:tc>
                <w:tcPr>
                  <w:tcW w:w="516" w:type="pct"/>
                  <w:shd w:val="clear" w:color="auto" w:fill="auto"/>
                  <w:vAlign w:val="bottom"/>
                </w:tcPr>
                <w:p w:rsidR="00AC2131" w:rsidRPr="00A02BDF" w:rsidRDefault="00AC2131" w:rsidP="00AC2131">
                  <w:pPr>
                    <w:pStyle w:val="TableBodyText"/>
                    <w:spacing w:after="0"/>
                    <w:ind w:left="0" w:right="57"/>
                  </w:pPr>
                  <w:r w:rsidRPr="00A02BDF">
                    <w:t>250.5</w:t>
                  </w:r>
                </w:p>
              </w:tc>
              <w:tc>
                <w:tcPr>
                  <w:tcW w:w="516" w:type="pct"/>
                  <w:shd w:val="clear" w:color="auto" w:fill="auto"/>
                  <w:vAlign w:val="bottom"/>
                </w:tcPr>
                <w:p w:rsidR="00AC2131" w:rsidRPr="00A02BDF" w:rsidRDefault="00AC2131" w:rsidP="00AC2131">
                  <w:pPr>
                    <w:pStyle w:val="TableBodyText"/>
                    <w:spacing w:after="0"/>
                    <w:ind w:left="0" w:right="57"/>
                  </w:pPr>
                  <w:r w:rsidRPr="00A02BDF">
                    <w:t>240.0</w:t>
                  </w:r>
                </w:p>
              </w:tc>
            </w:tr>
            <w:tr w:rsidR="00AC2131" w:rsidRPr="00A02BDF" w:rsidTr="00AC2131">
              <w:tc>
                <w:tcPr>
                  <w:tcW w:w="1903" w:type="pct"/>
                  <w:shd w:val="clear" w:color="auto" w:fill="auto"/>
                  <w:vAlign w:val="bottom"/>
                </w:tcPr>
                <w:p w:rsidR="00AC2131" w:rsidRPr="00A02BDF" w:rsidRDefault="00AC2131">
                  <w:pPr>
                    <w:rPr>
                      <w:rFonts w:ascii="Arial" w:hAnsi="Arial" w:cs="Arial"/>
                      <w:b/>
                      <w:bCs/>
                      <w:sz w:val="18"/>
                      <w:szCs w:val="18"/>
                    </w:rPr>
                  </w:pPr>
                  <w:r w:rsidRPr="00A02BDF">
                    <w:rPr>
                      <w:rFonts w:ascii="Arial" w:hAnsi="Arial" w:cs="Arial"/>
                      <w:b/>
                      <w:bCs/>
                      <w:sz w:val="18"/>
                      <w:szCs w:val="18"/>
                    </w:rPr>
                    <w:t>Mining</w:t>
                  </w:r>
                </w:p>
              </w:tc>
              <w:tc>
                <w:tcPr>
                  <w:tcW w:w="516" w:type="pct"/>
                  <w:vAlign w:val="bottom"/>
                </w:tcPr>
                <w:p w:rsidR="00AC2131" w:rsidRPr="00A02BDF" w:rsidRDefault="00AC2131" w:rsidP="00AC2131">
                  <w:pPr>
                    <w:pStyle w:val="TableBodyText"/>
                    <w:spacing w:after="0"/>
                    <w:ind w:left="0" w:right="57"/>
                    <w:rPr>
                      <w:b/>
                    </w:rPr>
                  </w:pPr>
                  <w:r w:rsidRPr="00A02BDF">
                    <w:rPr>
                      <w:b/>
                    </w:rPr>
                    <w:t>441.0</w:t>
                  </w:r>
                </w:p>
              </w:tc>
              <w:tc>
                <w:tcPr>
                  <w:tcW w:w="516" w:type="pct"/>
                  <w:vAlign w:val="bottom"/>
                </w:tcPr>
                <w:p w:rsidR="00AC2131" w:rsidRPr="00A02BDF" w:rsidRDefault="00AC2131" w:rsidP="00AC2131">
                  <w:pPr>
                    <w:pStyle w:val="TableBodyText"/>
                    <w:spacing w:after="0"/>
                    <w:ind w:left="0" w:right="57"/>
                    <w:rPr>
                      <w:b/>
                    </w:rPr>
                  </w:pPr>
                  <w:r w:rsidRPr="00A02BDF">
                    <w:rPr>
                      <w:b/>
                    </w:rPr>
                    <w:t>647.2</w:t>
                  </w:r>
                </w:p>
              </w:tc>
              <w:tc>
                <w:tcPr>
                  <w:tcW w:w="517" w:type="pct"/>
                  <w:vAlign w:val="bottom"/>
                </w:tcPr>
                <w:p w:rsidR="00AC2131" w:rsidRPr="00A02BDF" w:rsidRDefault="00AC2131" w:rsidP="00AC2131">
                  <w:pPr>
                    <w:pStyle w:val="TableBodyText"/>
                    <w:spacing w:after="0"/>
                    <w:ind w:left="0" w:right="57"/>
                    <w:rPr>
                      <w:b/>
                    </w:rPr>
                  </w:pPr>
                  <w:r w:rsidRPr="00A02BDF">
                    <w:rPr>
                      <w:b/>
                    </w:rPr>
                    <w:t>1156.5</w:t>
                  </w:r>
                </w:p>
              </w:tc>
              <w:tc>
                <w:tcPr>
                  <w:tcW w:w="516" w:type="pct"/>
                  <w:vAlign w:val="bottom"/>
                </w:tcPr>
                <w:p w:rsidR="00AC2131" w:rsidRPr="00A02BDF" w:rsidRDefault="00AC2131" w:rsidP="00AC2131">
                  <w:pPr>
                    <w:pStyle w:val="TableBodyText"/>
                    <w:spacing w:after="0"/>
                    <w:ind w:left="0" w:right="57"/>
                    <w:rPr>
                      <w:b/>
                    </w:rPr>
                  </w:pPr>
                  <w:r w:rsidRPr="00A02BDF">
                    <w:rPr>
                      <w:b/>
                    </w:rPr>
                    <w:t>745.6</w:t>
                  </w:r>
                </w:p>
              </w:tc>
              <w:tc>
                <w:tcPr>
                  <w:tcW w:w="516" w:type="pct"/>
                  <w:shd w:val="clear" w:color="auto" w:fill="auto"/>
                  <w:vAlign w:val="bottom"/>
                </w:tcPr>
                <w:p w:rsidR="00AC2131" w:rsidRPr="00A02BDF" w:rsidRDefault="00AC2131" w:rsidP="00AC2131">
                  <w:pPr>
                    <w:pStyle w:val="TableBodyText"/>
                    <w:spacing w:after="0"/>
                    <w:ind w:left="0" w:right="57"/>
                    <w:rPr>
                      <w:b/>
                    </w:rPr>
                  </w:pPr>
                  <w:r w:rsidRPr="00A02BDF">
                    <w:rPr>
                      <w:b/>
                    </w:rPr>
                    <w:t>492.2</w:t>
                  </w:r>
                </w:p>
              </w:tc>
              <w:tc>
                <w:tcPr>
                  <w:tcW w:w="516" w:type="pct"/>
                  <w:shd w:val="clear" w:color="auto" w:fill="auto"/>
                  <w:vAlign w:val="bottom"/>
                </w:tcPr>
                <w:p w:rsidR="00AC2131" w:rsidRPr="00A02BDF" w:rsidRDefault="00AC2131" w:rsidP="00AC2131">
                  <w:pPr>
                    <w:pStyle w:val="TableBodyText"/>
                    <w:spacing w:after="0"/>
                    <w:ind w:left="0" w:right="57"/>
                    <w:rPr>
                      <w:b/>
                    </w:rPr>
                  </w:pPr>
                  <w:r w:rsidRPr="00A02BDF">
                    <w:rPr>
                      <w:b/>
                    </w:rPr>
                    <w:t>520.7</w:t>
                  </w:r>
                </w:p>
              </w:tc>
            </w:tr>
            <w:tr w:rsidR="00AC2131" w:rsidRPr="00A02BDF" w:rsidTr="00AC2131">
              <w:tc>
                <w:tcPr>
                  <w:tcW w:w="1903" w:type="pct"/>
                  <w:shd w:val="clear" w:color="auto" w:fill="auto"/>
                  <w:vAlign w:val="bottom"/>
                </w:tcPr>
                <w:p w:rsidR="00AC2131" w:rsidRPr="00A02BDF" w:rsidRDefault="00AC2131">
                  <w:pPr>
                    <w:rPr>
                      <w:rFonts w:ascii="Arial" w:hAnsi="Arial" w:cs="Arial"/>
                      <w:b/>
                      <w:bCs/>
                      <w:sz w:val="18"/>
                      <w:szCs w:val="18"/>
                    </w:rPr>
                  </w:pPr>
                  <w:r w:rsidRPr="00A02BDF">
                    <w:rPr>
                      <w:rFonts w:ascii="Arial" w:hAnsi="Arial" w:cs="Arial"/>
                      <w:b/>
                      <w:bCs/>
                      <w:sz w:val="18"/>
                      <w:szCs w:val="18"/>
                    </w:rPr>
                    <w:t>Manufacturing</w:t>
                  </w:r>
                </w:p>
              </w:tc>
              <w:tc>
                <w:tcPr>
                  <w:tcW w:w="516" w:type="pct"/>
                  <w:vAlign w:val="bottom"/>
                </w:tcPr>
                <w:p w:rsidR="00AC2131" w:rsidRPr="00A02BDF" w:rsidRDefault="00AC2131" w:rsidP="00AC2131">
                  <w:pPr>
                    <w:pStyle w:val="TableBodyText"/>
                    <w:spacing w:after="0"/>
                    <w:ind w:left="0" w:right="57"/>
                    <w:rPr>
                      <w:b/>
                    </w:rPr>
                  </w:pPr>
                  <w:r w:rsidRPr="00A02BDF">
                    <w:rPr>
                      <w:b/>
                    </w:rPr>
                    <w:t>1738.8</w:t>
                  </w:r>
                </w:p>
              </w:tc>
              <w:tc>
                <w:tcPr>
                  <w:tcW w:w="516" w:type="pct"/>
                  <w:vAlign w:val="bottom"/>
                </w:tcPr>
                <w:p w:rsidR="00AC2131" w:rsidRPr="00A02BDF" w:rsidRDefault="00AC2131" w:rsidP="00AC2131">
                  <w:pPr>
                    <w:pStyle w:val="TableBodyText"/>
                    <w:spacing w:after="0"/>
                    <w:ind w:left="0" w:right="57"/>
                    <w:rPr>
                      <w:b/>
                    </w:rPr>
                  </w:pPr>
                  <w:r w:rsidRPr="00A02BDF">
                    <w:rPr>
                      <w:b/>
                    </w:rPr>
                    <w:t>2080.4</w:t>
                  </w:r>
                </w:p>
              </w:tc>
              <w:tc>
                <w:tcPr>
                  <w:tcW w:w="517" w:type="pct"/>
                  <w:vAlign w:val="bottom"/>
                </w:tcPr>
                <w:p w:rsidR="00AC2131" w:rsidRPr="00A02BDF" w:rsidRDefault="00AC2131" w:rsidP="00AC2131">
                  <w:pPr>
                    <w:pStyle w:val="TableBodyText"/>
                    <w:spacing w:after="0"/>
                    <w:ind w:left="0" w:right="57"/>
                    <w:rPr>
                      <w:b/>
                    </w:rPr>
                  </w:pPr>
                  <w:r w:rsidRPr="00A02BDF">
                    <w:rPr>
                      <w:b/>
                    </w:rPr>
                    <w:t>1933.6</w:t>
                  </w:r>
                </w:p>
              </w:tc>
              <w:tc>
                <w:tcPr>
                  <w:tcW w:w="516" w:type="pct"/>
                  <w:vAlign w:val="bottom"/>
                </w:tcPr>
                <w:p w:rsidR="00AC2131" w:rsidRPr="00A02BDF" w:rsidRDefault="00AC2131" w:rsidP="00AC2131">
                  <w:pPr>
                    <w:pStyle w:val="TableBodyText"/>
                    <w:spacing w:after="0"/>
                    <w:ind w:left="0" w:right="57"/>
                    <w:rPr>
                      <w:b/>
                    </w:rPr>
                  </w:pPr>
                  <w:r w:rsidRPr="00A02BDF">
                    <w:rPr>
                      <w:b/>
                    </w:rPr>
                    <w:t>1851.3</w:t>
                  </w:r>
                </w:p>
              </w:tc>
              <w:tc>
                <w:tcPr>
                  <w:tcW w:w="516" w:type="pct"/>
                  <w:shd w:val="clear" w:color="auto" w:fill="auto"/>
                  <w:vAlign w:val="bottom"/>
                </w:tcPr>
                <w:p w:rsidR="00AC2131" w:rsidRPr="00A02BDF" w:rsidRDefault="00AC2131" w:rsidP="00AC2131">
                  <w:pPr>
                    <w:pStyle w:val="TableBodyText"/>
                    <w:spacing w:after="0"/>
                    <w:ind w:left="0" w:right="57"/>
                    <w:rPr>
                      <w:b/>
                    </w:rPr>
                  </w:pPr>
                  <w:r w:rsidRPr="00A02BDF">
                    <w:rPr>
                      <w:b/>
                    </w:rPr>
                    <w:t>1620.3</w:t>
                  </w:r>
                </w:p>
              </w:tc>
              <w:tc>
                <w:tcPr>
                  <w:tcW w:w="516" w:type="pct"/>
                  <w:shd w:val="clear" w:color="auto" w:fill="auto"/>
                  <w:vAlign w:val="bottom"/>
                </w:tcPr>
                <w:p w:rsidR="00AC2131" w:rsidRPr="00A02BDF" w:rsidRDefault="00AC2131" w:rsidP="00AC2131">
                  <w:pPr>
                    <w:pStyle w:val="TableBodyText"/>
                    <w:spacing w:after="0"/>
                    <w:ind w:left="0" w:right="57"/>
                    <w:rPr>
                      <w:b/>
                    </w:rPr>
                  </w:pPr>
                  <w:r w:rsidRPr="00A02BDF">
                    <w:rPr>
                      <w:b/>
                    </w:rPr>
                    <w:t>1755.7</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Food, beverages and tobacco</w:t>
                  </w:r>
                </w:p>
              </w:tc>
              <w:tc>
                <w:tcPr>
                  <w:tcW w:w="516" w:type="pct"/>
                  <w:vAlign w:val="bottom"/>
                </w:tcPr>
                <w:p w:rsidR="00AC2131" w:rsidRPr="00A02BDF" w:rsidRDefault="00AC2131" w:rsidP="00AC2131">
                  <w:pPr>
                    <w:pStyle w:val="TableBodyText"/>
                    <w:spacing w:after="0"/>
                    <w:ind w:left="0" w:right="57"/>
                  </w:pPr>
                  <w:r w:rsidRPr="00A02BDF">
                    <w:t>114.7</w:t>
                  </w:r>
                </w:p>
              </w:tc>
              <w:tc>
                <w:tcPr>
                  <w:tcW w:w="516" w:type="pct"/>
                  <w:vAlign w:val="bottom"/>
                </w:tcPr>
                <w:p w:rsidR="00AC2131" w:rsidRPr="00A02BDF" w:rsidRDefault="00AC2131" w:rsidP="00AC2131">
                  <w:pPr>
                    <w:pStyle w:val="TableBodyText"/>
                    <w:spacing w:after="0"/>
                    <w:ind w:left="0" w:right="57"/>
                  </w:pPr>
                  <w:r w:rsidRPr="00A02BDF">
                    <w:t>157.7</w:t>
                  </w:r>
                </w:p>
              </w:tc>
              <w:tc>
                <w:tcPr>
                  <w:tcW w:w="517" w:type="pct"/>
                  <w:vAlign w:val="bottom"/>
                </w:tcPr>
                <w:p w:rsidR="00AC2131" w:rsidRPr="00A02BDF" w:rsidRDefault="00AC2131" w:rsidP="00AC2131">
                  <w:pPr>
                    <w:pStyle w:val="TableBodyText"/>
                    <w:spacing w:after="0"/>
                    <w:ind w:left="0" w:right="57"/>
                  </w:pPr>
                  <w:r w:rsidRPr="00A02BDF">
                    <w:t>192.6</w:t>
                  </w:r>
                </w:p>
              </w:tc>
              <w:tc>
                <w:tcPr>
                  <w:tcW w:w="516" w:type="pct"/>
                  <w:vAlign w:val="bottom"/>
                </w:tcPr>
                <w:p w:rsidR="00AC2131" w:rsidRPr="00A02BDF" w:rsidRDefault="00AC2131" w:rsidP="00AC2131">
                  <w:pPr>
                    <w:pStyle w:val="TableBodyText"/>
                    <w:spacing w:after="0"/>
                    <w:ind w:left="0" w:right="57"/>
                  </w:pPr>
                  <w:r w:rsidRPr="00A02BDF">
                    <w:t>108.5</w:t>
                  </w:r>
                </w:p>
              </w:tc>
              <w:tc>
                <w:tcPr>
                  <w:tcW w:w="516" w:type="pct"/>
                  <w:shd w:val="clear" w:color="auto" w:fill="auto"/>
                  <w:vAlign w:val="bottom"/>
                </w:tcPr>
                <w:p w:rsidR="00AC2131" w:rsidRPr="00A02BDF" w:rsidRDefault="00AC2131" w:rsidP="00AC2131">
                  <w:pPr>
                    <w:pStyle w:val="TableBodyText"/>
                    <w:spacing w:after="0"/>
                    <w:ind w:left="0" w:right="57"/>
                  </w:pPr>
                  <w:r w:rsidRPr="00A02BDF">
                    <w:t>153.0</w:t>
                  </w:r>
                </w:p>
              </w:tc>
              <w:tc>
                <w:tcPr>
                  <w:tcW w:w="516" w:type="pct"/>
                  <w:shd w:val="clear" w:color="auto" w:fill="auto"/>
                  <w:vAlign w:val="bottom"/>
                </w:tcPr>
                <w:p w:rsidR="00AC2131" w:rsidRPr="00A02BDF" w:rsidRDefault="00AC2131" w:rsidP="00AC2131">
                  <w:pPr>
                    <w:pStyle w:val="TableBodyText"/>
                    <w:spacing w:after="0"/>
                    <w:ind w:left="0" w:right="57"/>
                  </w:pPr>
                  <w:r w:rsidRPr="00A02BDF">
                    <w:t>134.7</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Textile</w:t>
                  </w:r>
                  <w:r>
                    <w:rPr>
                      <w:rFonts w:ascii="Arial" w:hAnsi="Arial" w:cs="Arial"/>
                      <w:sz w:val="18"/>
                      <w:szCs w:val="18"/>
                    </w:rPr>
                    <w:t>s</w:t>
                  </w:r>
                  <w:r w:rsidRPr="002B6A72">
                    <w:rPr>
                      <w:rFonts w:ascii="Arial" w:hAnsi="Arial" w:cs="Arial"/>
                      <w:sz w:val="18"/>
                      <w:szCs w:val="18"/>
                    </w:rPr>
                    <w:t>, leather, clothing and footwear</w:t>
                  </w:r>
                </w:p>
              </w:tc>
              <w:tc>
                <w:tcPr>
                  <w:tcW w:w="516" w:type="pct"/>
                  <w:vAlign w:val="bottom"/>
                </w:tcPr>
                <w:p w:rsidR="00AC2131" w:rsidRPr="00A02BDF" w:rsidRDefault="00AC2131" w:rsidP="00AC2131">
                  <w:pPr>
                    <w:pStyle w:val="TableBodyText"/>
                    <w:spacing w:after="0"/>
                    <w:ind w:left="0" w:right="57"/>
                  </w:pPr>
                  <w:r w:rsidRPr="00A02BDF">
                    <w:t>127.6</w:t>
                  </w:r>
                </w:p>
              </w:tc>
              <w:tc>
                <w:tcPr>
                  <w:tcW w:w="516" w:type="pct"/>
                  <w:vAlign w:val="bottom"/>
                </w:tcPr>
                <w:p w:rsidR="00AC2131" w:rsidRPr="00A02BDF" w:rsidRDefault="00AC2131" w:rsidP="00AC2131">
                  <w:pPr>
                    <w:pStyle w:val="TableBodyText"/>
                    <w:spacing w:after="0"/>
                    <w:ind w:left="0" w:right="57"/>
                  </w:pPr>
                  <w:r w:rsidRPr="00A02BDF">
                    <w:t>139.2</w:t>
                  </w:r>
                </w:p>
              </w:tc>
              <w:tc>
                <w:tcPr>
                  <w:tcW w:w="517" w:type="pct"/>
                  <w:vAlign w:val="bottom"/>
                </w:tcPr>
                <w:p w:rsidR="00AC2131" w:rsidRPr="00A02BDF" w:rsidRDefault="00AC2131" w:rsidP="00AC2131">
                  <w:pPr>
                    <w:pStyle w:val="TableBodyText"/>
                    <w:spacing w:after="0"/>
                    <w:ind w:left="0" w:right="57"/>
                  </w:pPr>
                  <w:r w:rsidRPr="00A02BDF">
                    <w:t>134.8</w:t>
                  </w:r>
                </w:p>
              </w:tc>
              <w:tc>
                <w:tcPr>
                  <w:tcW w:w="516" w:type="pct"/>
                  <w:vAlign w:val="bottom"/>
                </w:tcPr>
                <w:p w:rsidR="00AC2131" w:rsidRPr="00A02BDF" w:rsidRDefault="00AC2131" w:rsidP="00AC2131">
                  <w:pPr>
                    <w:pStyle w:val="TableBodyText"/>
                    <w:spacing w:after="0"/>
                    <w:ind w:left="0" w:right="57"/>
                  </w:pPr>
                  <w:r w:rsidRPr="00A02BDF">
                    <w:t>61.0</w:t>
                  </w:r>
                </w:p>
              </w:tc>
              <w:tc>
                <w:tcPr>
                  <w:tcW w:w="516" w:type="pct"/>
                  <w:shd w:val="clear" w:color="auto" w:fill="auto"/>
                  <w:vAlign w:val="bottom"/>
                </w:tcPr>
                <w:p w:rsidR="00AC2131" w:rsidRPr="00A02BDF" w:rsidRDefault="00AC2131" w:rsidP="00AC2131">
                  <w:pPr>
                    <w:pStyle w:val="TableBodyText"/>
                    <w:spacing w:after="0"/>
                    <w:ind w:left="0" w:right="57"/>
                  </w:pPr>
                  <w:r w:rsidRPr="00A02BDF">
                    <w:t>56.4</w:t>
                  </w:r>
                </w:p>
              </w:tc>
              <w:tc>
                <w:tcPr>
                  <w:tcW w:w="516" w:type="pct"/>
                  <w:shd w:val="clear" w:color="auto" w:fill="auto"/>
                  <w:vAlign w:val="bottom"/>
                </w:tcPr>
                <w:p w:rsidR="00AC2131" w:rsidRPr="00A02BDF" w:rsidRDefault="00AC2131" w:rsidP="00AC2131">
                  <w:pPr>
                    <w:pStyle w:val="TableBodyText"/>
                    <w:spacing w:after="0"/>
                    <w:ind w:left="0" w:right="57"/>
                  </w:pPr>
                  <w:r w:rsidRPr="00A02BDF">
                    <w:t>64.0</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Wood and paper products</w:t>
                  </w:r>
                </w:p>
              </w:tc>
              <w:tc>
                <w:tcPr>
                  <w:tcW w:w="516" w:type="pct"/>
                  <w:vAlign w:val="bottom"/>
                </w:tcPr>
                <w:p w:rsidR="00AC2131" w:rsidRPr="00A02BDF" w:rsidRDefault="00AC2131" w:rsidP="00AC2131">
                  <w:pPr>
                    <w:pStyle w:val="TableBodyText"/>
                    <w:spacing w:after="0"/>
                    <w:ind w:left="0" w:right="57"/>
                  </w:pPr>
                  <w:r w:rsidRPr="00A02BDF">
                    <w:t>72.0</w:t>
                  </w:r>
                </w:p>
              </w:tc>
              <w:tc>
                <w:tcPr>
                  <w:tcW w:w="516" w:type="pct"/>
                  <w:vAlign w:val="bottom"/>
                </w:tcPr>
                <w:p w:rsidR="00AC2131" w:rsidRPr="00A02BDF" w:rsidRDefault="00AC2131" w:rsidP="00AC2131">
                  <w:pPr>
                    <w:pStyle w:val="TableBodyText"/>
                    <w:spacing w:after="0"/>
                    <w:ind w:left="0" w:right="57"/>
                  </w:pPr>
                  <w:r w:rsidRPr="00A02BDF">
                    <w:t>33.6</w:t>
                  </w:r>
                </w:p>
              </w:tc>
              <w:tc>
                <w:tcPr>
                  <w:tcW w:w="517" w:type="pct"/>
                  <w:vAlign w:val="bottom"/>
                </w:tcPr>
                <w:p w:rsidR="00AC2131" w:rsidRPr="00A02BDF" w:rsidRDefault="00AC2131" w:rsidP="00AC2131">
                  <w:pPr>
                    <w:pStyle w:val="TableBodyText"/>
                    <w:spacing w:after="0"/>
                    <w:ind w:left="0" w:right="57"/>
                  </w:pPr>
                  <w:r w:rsidRPr="00A02BDF">
                    <w:t>36.3</w:t>
                  </w:r>
                </w:p>
              </w:tc>
              <w:tc>
                <w:tcPr>
                  <w:tcW w:w="516" w:type="pct"/>
                  <w:vAlign w:val="bottom"/>
                </w:tcPr>
                <w:p w:rsidR="00AC2131" w:rsidRPr="00A02BDF" w:rsidRDefault="00AC2131" w:rsidP="00AC2131">
                  <w:pPr>
                    <w:pStyle w:val="TableBodyText"/>
                    <w:spacing w:after="0"/>
                    <w:ind w:left="0" w:right="57"/>
                  </w:pPr>
                  <w:r w:rsidRPr="00A02BDF">
                    <w:t>17.3</w:t>
                  </w:r>
                </w:p>
              </w:tc>
              <w:tc>
                <w:tcPr>
                  <w:tcW w:w="516" w:type="pct"/>
                  <w:shd w:val="clear" w:color="auto" w:fill="auto"/>
                  <w:vAlign w:val="bottom"/>
                </w:tcPr>
                <w:p w:rsidR="00AC2131" w:rsidRPr="00A02BDF" w:rsidRDefault="00AC2131" w:rsidP="00AC2131">
                  <w:pPr>
                    <w:pStyle w:val="TableBodyText"/>
                    <w:spacing w:after="0"/>
                    <w:ind w:left="0" w:right="57"/>
                  </w:pPr>
                  <w:r w:rsidRPr="00A02BDF">
                    <w:t>30.0</w:t>
                  </w:r>
                </w:p>
              </w:tc>
              <w:tc>
                <w:tcPr>
                  <w:tcW w:w="516" w:type="pct"/>
                  <w:shd w:val="clear" w:color="auto" w:fill="auto"/>
                  <w:vAlign w:val="bottom"/>
                </w:tcPr>
                <w:p w:rsidR="00AC2131" w:rsidRPr="00A02BDF" w:rsidRDefault="00AC2131" w:rsidP="00AC2131">
                  <w:pPr>
                    <w:pStyle w:val="TableBodyText"/>
                    <w:spacing w:after="0"/>
                    <w:ind w:left="0" w:right="57"/>
                  </w:pPr>
                  <w:r w:rsidRPr="00A02BDF">
                    <w:t>22.6</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Printing and recorded media</w:t>
                  </w:r>
                </w:p>
              </w:tc>
              <w:tc>
                <w:tcPr>
                  <w:tcW w:w="516" w:type="pct"/>
                  <w:vAlign w:val="bottom"/>
                </w:tcPr>
                <w:p w:rsidR="00AC2131" w:rsidRPr="00A02BDF" w:rsidRDefault="00AC2131" w:rsidP="00AC2131">
                  <w:pPr>
                    <w:pStyle w:val="TableBodyText"/>
                    <w:spacing w:after="0"/>
                    <w:ind w:left="0" w:right="57"/>
                  </w:pPr>
                  <w:r w:rsidRPr="00A02BDF">
                    <w:t>10.2</w:t>
                  </w:r>
                </w:p>
              </w:tc>
              <w:tc>
                <w:tcPr>
                  <w:tcW w:w="516" w:type="pct"/>
                  <w:vAlign w:val="bottom"/>
                </w:tcPr>
                <w:p w:rsidR="00AC2131" w:rsidRPr="00A02BDF" w:rsidRDefault="00AC2131" w:rsidP="00AC2131">
                  <w:pPr>
                    <w:pStyle w:val="TableBodyText"/>
                    <w:spacing w:after="0"/>
                    <w:ind w:left="0" w:right="57"/>
                  </w:pPr>
                  <w:r w:rsidRPr="00A02BDF">
                    <w:t>18.3</w:t>
                  </w:r>
                </w:p>
              </w:tc>
              <w:tc>
                <w:tcPr>
                  <w:tcW w:w="517" w:type="pct"/>
                  <w:vAlign w:val="bottom"/>
                </w:tcPr>
                <w:p w:rsidR="00AC2131" w:rsidRPr="00A02BDF" w:rsidRDefault="00AC2131" w:rsidP="00AC2131">
                  <w:pPr>
                    <w:pStyle w:val="TableBodyText"/>
                    <w:spacing w:after="0"/>
                    <w:ind w:left="0" w:right="57"/>
                  </w:pPr>
                  <w:r w:rsidRPr="00A02BDF">
                    <w:t>17.9</w:t>
                  </w:r>
                </w:p>
              </w:tc>
              <w:tc>
                <w:tcPr>
                  <w:tcW w:w="516" w:type="pct"/>
                  <w:vAlign w:val="bottom"/>
                </w:tcPr>
                <w:p w:rsidR="00AC2131" w:rsidRPr="00A02BDF" w:rsidRDefault="00AC2131" w:rsidP="00AC2131">
                  <w:pPr>
                    <w:pStyle w:val="TableBodyText"/>
                    <w:spacing w:after="0"/>
                    <w:ind w:left="0" w:right="57"/>
                  </w:pPr>
                  <w:r w:rsidRPr="00A02BDF">
                    <w:t>16.3</w:t>
                  </w:r>
                </w:p>
              </w:tc>
              <w:tc>
                <w:tcPr>
                  <w:tcW w:w="516" w:type="pct"/>
                  <w:shd w:val="clear" w:color="auto" w:fill="auto"/>
                  <w:vAlign w:val="bottom"/>
                </w:tcPr>
                <w:p w:rsidR="00AC2131" w:rsidRPr="00A02BDF" w:rsidRDefault="00AC2131" w:rsidP="00AC2131">
                  <w:pPr>
                    <w:pStyle w:val="TableBodyText"/>
                    <w:spacing w:after="0"/>
                    <w:ind w:left="0" w:right="57"/>
                  </w:pPr>
                  <w:r w:rsidRPr="00A02BDF">
                    <w:t>13.0</w:t>
                  </w:r>
                </w:p>
              </w:tc>
              <w:tc>
                <w:tcPr>
                  <w:tcW w:w="516" w:type="pct"/>
                  <w:shd w:val="clear" w:color="auto" w:fill="auto"/>
                  <w:vAlign w:val="bottom"/>
                </w:tcPr>
                <w:p w:rsidR="00AC2131" w:rsidRPr="00A02BDF" w:rsidRDefault="00AC2131" w:rsidP="00AC2131">
                  <w:pPr>
                    <w:pStyle w:val="TableBodyText"/>
                    <w:spacing w:after="0"/>
                    <w:ind w:left="0" w:right="57"/>
                  </w:pPr>
                  <w:r w:rsidRPr="00A02BDF">
                    <w:t>19.1</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Petroleum, coal, chemical and rubber</w:t>
                  </w:r>
                </w:p>
              </w:tc>
              <w:tc>
                <w:tcPr>
                  <w:tcW w:w="516" w:type="pct"/>
                  <w:vAlign w:val="bottom"/>
                </w:tcPr>
                <w:p w:rsidR="00AC2131" w:rsidRPr="00A02BDF" w:rsidRDefault="00AC2131" w:rsidP="00AC2131">
                  <w:pPr>
                    <w:pStyle w:val="TableBodyText"/>
                    <w:spacing w:after="0"/>
                    <w:ind w:left="0" w:right="57"/>
                  </w:pPr>
                  <w:r w:rsidRPr="00A02BDF">
                    <w:t>249.4</w:t>
                  </w:r>
                </w:p>
              </w:tc>
              <w:tc>
                <w:tcPr>
                  <w:tcW w:w="516" w:type="pct"/>
                  <w:vAlign w:val="bottom"/>
                </w:tcPr>
                <w:p w:rsidR="00AC2131" w:rsidRPr="00A02BDF" w:rsidRDefault="00AC2131" w:rsidP="00AC2131">
                  <w:pPr>
                    <w:pStyle w:val="TableBodyText"/>
                    <w:spacing w:after="0"/>
                    <w:ind w:left="0" w:right="57"/>
                  </w:pPr>
                  <w:r w:rsidRPr="00A02BDF">
                    <w:t>276.9</w:t>
                  </w:r>
                </w:p>
              </w:tc>
              <w:tc>
                <w:tcPr>
                  <w:tcW w:w="517" w:type="pct"/>
                  <w:vAlign w:val="bottom"/>
                </w:tcPr>
                <w:p w:rsidR="00AC2131" w:rsidRPr="00A02BDF" w:rsidRDefault="00AC2131" w:rsidP="00AC2131">
                  <w:pPr>
                    <w:pStyle w:val="TableBodyText"/>
                    <w:spacing w:after="0"/>
                    <w:ind w:left="0" w:right="57"/>
                  </w:pPr>
                  <w:r w:rsidRPr="00A02BDF">
                    <w:t>353.0</w:t>
                  </w:r>
                </w:p>
              </w:tc>
              <w:tc>
                <w:tcPr>
                  <w:tcW w:w="516" w:type="pct"/>
                  <w:vAlign w:val="bottom"/>
                </w:tcPr>
                <w:p w:rsidR="00AC2131" w:rsidRPr="00A02BDF" w:rsidRDefault="00AC2131" w:rsidP="00AC2131">
                  <w:pPr>
                    <w:pStyle w:val="TableBodyText"/>
                    <w:spacing w:after="0"/>
                    <w:ind w:left="0" w:right="57"/>
                  </w:pPr>
                  <w:r w:rsidRPr="00A02BDF">
                    <w:t>279.2</w:t>
                  </w:r>
                </w:p>
              </w:tc>
              <w:tc>
                <w:tcPr>
                  <w:tcW w:w="516" w:type="pct"/>
                  <w:shd w:val="clear" w:color="auto" w:fill="auto"/>
                  <w:vAlign w:val="bottom"/>
                </w:tcPr>
                <w:p w:rsidR="00AC2131" w:rsidRPr="00A02BDF" w:rsidRDefault="00AC2131" w:rsidP="00AC2131">
                  <w:pPr>
                    <w:pStyle w:val="TableBodyText"/>
                    <w:spacing w:after="0"/>
                    <w:ind w:left="0" w:right="57"/>
                  </w:pPr>
                  <w:r w:rsidRPr="00A02BDF">
                    <w:t>293.7</w:t>
                  </w:r>
                </w:p>
              </w:tc>
              <w:tc>
                <w:tcPr>
                  <w:tcW w:w="516" w:type="pct"/>
                  <w:shd w:val="clear" w:color="auto" w:fill="auto"/>
                  <w:vAlign w:val="bottom"/>
                </w:tcPr>
                <w:p w:rsidR="00AC2131" w:rsidRPr="00A02BDF" w:rsidRDefault="00AC2131" w:rsidP="00AC2131">
                  <w:pPr>
                    <w:pStyle w:val="TableBodyText"/>
                    <w:spacing w:after="0"/>
                    <w:ind w:left="0" w:right="57"/>
                  </w:pPr>
                  <w:r w:rsidRPr="00A02BDF">
                    <w:t>298.3</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Non-metallic mineral products</w:t>
                  </w:r>
                </w:p>
              </w:tc>
              <w:tc>
                <w:tcPr>
                  <w:tcW w:w="516" w:type="pct"/>
                  <w:vAlign w:val="bottom"/>
                </w:tcPr>
                <w:p w:rsidR="00AC2131" w:rsidRPr="00A02BDF" w:rsidRDefault="00AC2131" w:rsidP="00AC2131">
                  <w:pPr>
                    <w:pStyle w:val="TableBodyText"/>
                    <w:spacing w:after="0"/>
                    <w:ind w:left="0" w:right="57"/>
                  </w:pPr>
                  <w:r w:rsidRPr="00A02BDF">
                    <w:t>14.4</w:t>
                  </w:r>
                </w:p>
              </w:tc>
              <w:tc>
                <w:tcPr>
                  <w:tcW w:w="516" w:type="pct"/>
                  <w:vAlign w:val="bottom"/>
                </w:tcPr>
                <w:p w:rsidR="00AC2131" w:rsidRPr="00A02BDF" w:rsidRDefault="00AC2131" w:rsidP="00AC2131">
                  <w:pPr>
                    <w:pStyle w:val="TableBodyText"/>
                    <w:spacing w:after="0"/>
                    <w:ind w:left="0" w:right="57"/>
                  </w:pPr>
                  <w:r w:rsidRPr="00A02BDF">
                    <w:t>26.4</w:t>
                  </w:r>
                </w:p>
              </w:tc>
              <w:tc>
                <w:tcPr>
                  <w:tcW w:w="517" w:type="pct"/>
                  <w:vAlign w:val="bottom"/>
                </w:tcPr>
                <w:p w:rsidR="00AC2131" w:rsidRPr="00A02BDF" w:rsidRDefault="00AC2131" w:rsidP="00AC2131">
                  <w:pPr>
                    <w:pStyle w:val="TableBodyText"/>
                    <w:spacing w:after="0"/>
                    <w:ind w:left="0" w:right="57"/>
                  </w:pPr>
                  <w:r w:rsidRPr="00A02BDF">
                    <w:t>27.5</w:t>
                  </w:r>
                </w:p>
              </w:tc>
              <w:tc>
                <w:tcPr>
                  <w:tcW w:w="516" w:type="pct"/>
                  <w:vAlign w:val="bottom"/>
                </w:tcPr>
                <w:p w:rsidR="00AC2131" w:rsidRPr="00A02BDF" w:rsidRDefault="00AC2131" w:rsidP="00AC2131">
                  <w:pPr>
                    <w:pStyle w:val="TableBodyText"/>
                    <w:spacing w:after="0"/>
                    <w:ind w:left="0" w:right="57"/>
                  </w:pPr>
                  <w:r w:rsidRPr="00A02BDF">
                    <w:t>16.7</w:t>
                  </w:r>
                </w:p>
              </w:tc>
              <w:tc>
                <w:tcPr>
                  <w:tcW w:w="516" w:type="pct"/>
                  <w:shd w:val="clear" w:color="auto" w:fill="auto"/>
                  <w:vAlign w:val="bottom"/>
                </w:tcPr>
                <w:p w:rsidR="00AC2131" w:rsidRPr="00A02BDF" w:rsidRDefault="00AC2131" w:rsidP="00AC2131">
                  <w:pPr>
                    <w:pStyle w:val="TableBodyText"/>
                    <w:spacing w:after="0"/>
                    <w:ind w:left="0" w:right="57"/>
                  </w:pPr>
                  <w:r w:rsidRPr="00A02BDF">
                    <w:t>23.5</w:t>
                  </w:r>
                </w:p>
              </w:tc>
              <w:tc>
                <w:tcPr>
                  <w:tcW w:w="516" w:type="pct"/>
                  <w:shd w:val="clear" w:color="auto" w:fill="auto"/>
                  <w:vAlign w:val="bottom"/>
                </w:tcPr>
                <w:p w:rsidR="00AC2131" w:rsidRPr="00A02BDF" w:rsidRDefault="00AC2131" w:rsidP="00AC2131">
                  <w:pPr>
                    <w:pStyle w:val="TableBodyText"/>
                    <w:spacing w:after="0"/>
                    <w:ind w:left="0" w:right="57"/>
                  </w:pPr>
                  <w:r w:rsidRPr="00A02BDF">
                    <w:t>31.9</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Metal and fabricated metal products</w:t>
                  </w:r>
                </w:p>
              </w:tc>
              <w:tc>
                <w:tcPr>
                  <w:tcW w:w="516" w:type="pct"/>
                  <w:vAlign w:val="bottom"/>
                </w:tcPr>
                <w:p w:rsidR="00AC2131" w:rsidRPr="00A02BDF" w:rsidRDefault="00AC2131" w:rsidP="00AC2131">
                  <w:pPr>
                    <w:pStyle w:val="TableBodyText"/>
                    <w:spacing w:after="0"/>
                    <w:ind w:left="0" w:right="57"/>
                  </w:pPr>
                  <w:r w:rsidRPr="00A02BDF">
                    <w:t>120.8</w:t>
                  </w:r>
                </w:p>
              </w:tc>
              <w:tc>
                <w:tcPr>
                  <w:tcW w:w="516" w:type="pct"/>
                  <w:vAlign w:val="bottom"/>
                </w:tcPr>
                <w:p w:rsidR="00AC2131" w:rsidRPr="00A02BDF" w:rsidRDefault="00AC2131" w:rsidP="00AC2131">
                  <w:pPr>
                    <w:pStyle w:val="TableBodyText"/>
                    <w:spacing w:after="0"/>
                    <w:ind w:left="0" w:right="57"/>
                  </w:pPr>
                  <w:r w:rsidRPr="00A02BDF">
                    <w:t>132.9</w:t>
                  </w:r>
                </w:p>
              </w:tc>
              <w:tc>
                <w:tcPr>
                  <w:tcW w:w="517" w:type="pct"/>
                  <w:vAlign w:val="bottom"/>
                </w:tcPr>
                <w:p w:rsidR="00AC2131" w:rsidRPr="00A02BDF" w:rsidRDefault="00AC2131" w:rsidP="00AC2131">
                  <w:pPr>
                    <w:pStyle w:val="TableBodyText"/>
                    <w:spacing w:after="0"/>
                    <w:ind w:left="0" w:right="57"/>
                  </w:pPr>
                  <w:r w:rsidRPr="00A02BDF">
                    <w:t>140.5</w:t>
                  </w:r>
                </w:p>
              </w:tc>
              <w:tc>
                <w:tcPr>
                  <w:tcW w:w="516" w:type="pct"/>
                  <w:vAlign w:val="bottom"/>
                </w:tcPr>
                <w:p w:rsidR="00AC2131" w:rsidRPr="00A02BDF" w:rsidRDefault="00AC2131" w:rsidP="00AC2131">
                  <w:pPr>
                    <w:pStyle w:val="TableBodyText"/>
                    <w:spacing w:after="0"/>
                    <w:ind w:left="0" w:right="57"/>
                  </w:pPr>
                  <w:r w:rsidRPr="00A02BDF">
                    <w:t>288.7</w:t>
                  </w:r>
                </w:p>
              </w:tc>
              <w:tc>
                <w:tcPr>
                  <w:tcW w:w="516" w:type="pct"/>
                  <w:shd w:val="clear" w:color="auto" w:fill="auto"/>
                  <w:vAlign w:val="bottom"/>
                </w:tcPr>
                <w:p w:rsidR="00AC2131" w:rsidRPr="00A02BDF" w:rsidRDefault="00AC2131" w:rsidP="00AC2131">
                  <w:pPr>
                    <w:pStyle w:val="TableBodyText"/>
                    <w:spacing w:after="0"/>
                    <w:ind w:left="0" w:right="57"/>
                  </w:pPr>
                  <w:r w:rsidRPr="00A02BDF">
                    <w:t>195.2</w:t>
                  </w:r>
                </w:p>
              </w:tc>
              <w:tc>
                <w:tcPr>
                  <w:tcW w:w="516" w:type="pct"/>
                  <w:shd w:val="clear" w:color="auto" w:fill="auto"/>
                  <w:vAlign w:val="bottom"/>
                </w:tcPr>
                <w:p w:rsidR="00AC2131" w:rsidRPr="00A02BDF" w:rsidRDefault="00AC2131" w:rsidP="00AC2131">
                  <w:pPr>
                    <w:pStyle w:val="TableBodyText"/>
                    <w:spacing w:after="0"/>
                    <w:ind w:left="0" w:right="57"/>
                  </w:pPr>
                  <w:r w:rsidRPr="00A02BDF">
                    <w:t>425.1</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Motor vehicle</w:t>
                  </w:r>
                  <w:r>
                    <w:rPr>
                      <w:rFonts w:ascii="Arial" w:hAnsi="Arial" w:cs="Arial"/>
                      <w:sz w:val="18"/>
                      <w:szCs w:val="18"/>
                    </w:rPr>
                    <w:t>s</w:t>
                  </w:r>
                  <w:r w:rsidRPr="002B6A72">
                    <w:rPr>
                      <w:rFonts w:ascii="Arial" w:hAnsi="Arial" w:cs="Arial"/>
                      <w:sz w:val="18"/>
                      <w:szCs w:val="18"/>
                    </w:rPr>
                    <w:t xml:space="preserve"> and parts</w:t>
                  </w:r>
                </w:p>
              </w:tc>
              <w:tc>
                <w:tcPr>
                  <w:tcW w:w="516" w:type="pct"/>
                  <w:vAlign w:val="bottom"/>
                </w:tcPr>
                <w:p w:rsidR="00AC2131" w:rsidRPr="00A02BDF" w:rsidRDefault="00AC2131" w:rsidP="00AC2131">
                  <w:pPr>
                    <w:pStyle w:val="TableBodyText"/>
                    <w:spacing w:after="0"/>
                    <w:ind w:left="0" w:right="57"/>
                  </w:pPr>
                  <w:r w:rsidRPr="00A02BDF">
                    <w:t>558.0</w:t>
                  </w:r>
                </w:p>
              </w:tc>
              <w:tc>
                <w:tcPr>
                  <w:tcW w:w="516" w:type="pct"/>
                  <w:vAlign w:val="bottom"/>
                </w:tcPr>
                <w:p w:rsidR="00AC2131" w:rsidRPr="00A02BDF" w:rsidRDefault="00AC2131" w:rsidP="00AC2131">
                  <w:pPr>
                    <w:pStyle w:val="TableBodyText"/>
                    <w:spacing w:after="0"/>
                    <w:ind w:left="0" w:right="57"/>
                  </w:pPr>
                  <w:r w:rsidRPr="00A02BDF">
                    <w:t>747.6</w:t>
                  </w:r>
                </w:p>
              </w:tc>
              <w:tc>
                <w:tcPr>
                  <w:tcW w:w="517" w:type="pct"/>
                  <w:vAlign w:val="bottom"/>
                </w:tcPr>
                <w:p w:rsidR="00AC2131" w:rsidRPr="00A02BDF" w:rsidRDefault="00AC2131" w:rsidP="00AC2131">
                  <w:pPr>
                    <w:pStyle w:val="TableBodyText"/>
                    <w:spacing w:after="0"/>
                    <w:ind w:left="0" w:right="57"/>
                  </w:pPr>
                  <w:r w:rsidRPr="00A02BDF">
                    <w:t>573.2</w:t>
                  </w:r>
                </w:p>
              </w:tc>
              <w:tc>
                <w:tcPr>
                  <w:tcW w:w="516" w:type="pct"/>
                  <w:vAlign w:val="bottom"/>
                </w:tcPr>
                <w:p w:rsidR="00AC2131" w:rsidRPr="00A02BDF" w:rsidRDefault="00AC2131" w:rsidP="00AC2131">
                  <w:pPr>
                    <w:pStyle w:val="TableBodyText"/>
                    <w:spacing w:after="0"/>
                    <w:ind w:left="0" w:right="57"/>
                  </w:pPr>
                  <w:r w:rsidRPr="00A02BDF">
                    <w:t>625.4</w:t>
                  </w:r>
                </w:p>
              </w:tc>
              <w:tc>
                <w:tcPr>
                  <w:tcW w:w="516" w:type="pct"/>
                  <w:shd w:val="clear" w:color="auto" w:fill="auto"/>
                  <w:vAlign w:val="bottom"/>
                </w:tcPr>
                <w:p w:rsidR="00AC2131" w:rsidRPr="00A02BDF" w:rsidRDefault="00AC2131" w:rsidP="00AC2131">
                  <w:pPr>
                    <w:pStyle w:val="TableBodyText"/>
                    <w:spacing w:after="0"/>
                    <w:ind w:left="0" w:right="57"/>
                  </w:pPr>
                  <w:r w:rsidRPr="00A02BDF">
                    <w:t>446.6</w:t>
                  </w:r>
                </w:p>
              </w:tc>
              <w:tc>
                <w:tcPr>
                  <w:tcW w:w="516" w:type="pct"/>
                  <w:shd w:val="clear" w:color="auto" w:fill="auto"/>
                  <w:vAlign w:val="bottom"/>
                </w:tcPr>
                <w:p w:rsidR="00AC2131" w:rsidRPr="00A02BDF" w:rsidRDefault="00AC2131" w:rsidP="00AC2131">
                  <w:pPr>
                    <w:pStyle w:val="TableBodyText"/>
                    <w:spacing w:after="0"/>
                    <w:ind w:left="0" w:right="57"/>
                  </w:pPr>
                  <w:r w:rsidRPr="00A02BDF">
                    <w:t>392.5</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Other transport equipment</w:t>
                  </w:r>
                </w:p>
              </w:tc>
              <w:tc>
                <w:tcPr>
                  <w:tcW w:w="516" w:type="pct"/>
                  <w:vAlign w:val="bottom"/>
                </w:tcPr>
                <w:p w:rsidR="00AC2131" w:rsidRPr="00A02BDF" w:rsidRDefault="00AC2131" w:rsidP="00AC2131">
                  <w:pPr>
                    <w:pStyle w:val="TableBodyText"/>
                    <w:spacing w:after="0"/>
                    <w:ind w:left="0" w:right="57"/>
                  </w:pPr>
                  <w:r w:rsidRPr="00A02BDF">
                    <w:t>32.1</w:t>
                  </w:r>
                </w:p>
              </w:tc>
              <w:tc>
                <w:tcPr>
                  <w:tcW w:w="516" w:type="pct"/>
                  <w:vAlign w:val="bottom"/>
                </w:tcPr>
                <w:p w:rsidR="00AC2131" w:rsidRPr="00A02BDF" w:rsidRDefault="00AC2131" w:rsidP="00AC2131">
                  <w:pPr>
                    <w:pStyle w:val="TableBodyText"/>
                    <w:spacing w:after="0"/>
                    <w:ind w:left="0" w:right="57"/>
                  </w:pPr>
                  <w:r w:rsidRPr="00A02BDF">
                    <w:t>36.1</w:t>
                  </w:r>
                </w:p>
              </w:tc>
              <w:tc>
                <w:tcPr>
                  <w:tcW w:w="517" w:type="pct"/>
                  <w:vAlign w:val="bottom"/>
                </w:tcPr>
                <w:p w:rsidR="00AC2131" w:rsidRPr="00A02BDF" w:rsidRDefault="00AC2131" w:rsidP="00AC2131">
                  <w:pPr>
                    <w:pStyle w:val="TableBodyText"/>
                    <w:spacing w:after="0"/>
                    <w:ind w:left="0" w:right="57"/>
                  </w:pPr>
                  <w:r w:rsidRPr="00A02BDF">
                    <w:t>29.3</w:t>
                  </w:r>
                </w:p>
              </w:tc>
              <w:tc>
                <w:tcPr>
                  <w:tcW w:w="516" w:type="pct"/>
                  <w:vAlign w:val="bottom"/>
                </w:tcPr>
                <w:p w:rsidR="00AC2131" w:rsidRPr="00A02BDF" w:rsidRDefault="00AC2131" w:rsidP="00AC2131">
                  <w:pPr>
                    <w:pStyle w:val="TableBodyText"/>
                    <w:spacing w:after="0"/>
                    <w:ind w:left="0" w:right="57"/>
                  </w:pPr>
                  <w:r w:rsidRPr="00A02BDF">
                    <w:t>22.0</w:t>
                  </w:r>
                </w:p>
              </w:tc>
              <w:tc>
                <w:tcPr>
                  <w:tcW w:w="516" w:type="pct"/>
                  <w:shd w:val="clear" w:color="auto" w:fill="auto"/>
                  <w:vAlign w:val="bottom"/>
                </w:tcPr>
                <w:p w:rsidR="00AC2131" w:rsidRPr="00A02BDF" w:rsidRDefault="00AC2131" w:rsidP="00AC2131">
                  <w:pPr>
                    <w:pStyle w:val="TableBodyText"/>
                    <w:spacing w:after="0"/>
                    <w:ind w:left="0" w:right="57"/>
                  </w:pPr>
                  <w:r w:rsidRPr="00A02BDF">
                    <w:t>21.1</w:t>
                  </w:r>
                </w:p>
              </w:tc>
              <w:tc>
                <w:tcPr>
                  <w:tcW w:w="516" w:type="pct"/>
                  <w:shd w:val="clear" w:color="auto" w:fill="auto"/>
                  <w:vAlign w:val="bottom"/>
                </w:tcPr>
                <w:p w:rsidR="00AC2131" w:rsidRPr="00A02BDF" w:rsidRDefault="00AC2131" w:rsidP="00AC2131">
                  <w:pPr>
                    <w:pStyle w:val="TableBodyText"/>
                    <w:spacing w:after="0"/>
                    <w:ind w:left="0" w:right="57"/>
                  </w:pPr>
                  <w:r w:rsidRPr="00A02BDF">
                    <w:t>19.2</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Machinery &amp; equipment manufacturing</w:t>
                  </w:r>
                </w:p>
              </w:tc>
              <w:tc>
                <w:tcPr>
                  <w:tcW w:w="516" w:type="pct"/>
                  <w:vAlign w:val="bottom"/>
                </w:tcPr>
                <w:p w:rsidR="00AC2131" w:rsidRPr="00A02BDF" w:rsidRDefault="00AC2131" w:rsidP="00AC2131">
                  <w:pPr>
                    <w:pStyle w:val="TableBodyText"/>
                    <w:spacing w:after="0"/>
                    <w:ind w:left="0" w:right="57"/>
                  </w:pPr>
                  <w:r w:rsidRPr="00A02BDF">
                    <w:t>181.1</w:t>
                  </w:r>
                </w:p>
              </w:tc>
              <w:tc>
                <w:tcPr>
                  <w:tcW w:w="516" w:type="pct"/>
                  <w:vAlign w:val="bottom"/>
                </w:tcPr>
                <w:p w:rsidR="00AC2131" w:rsidRPr="00A02BDF" w:rsidRDefault="00AC2131" w:rsidP="00AC2131">
                  <w:pPr>
                    <w:pStyle w:val="TableBodyText"/>
                    <w:spacing w:after="0"/>
                    <w:ind w:left="0" w:right="57"/>
                  </w:pPr>
                  <w:r w:rsidRPr="00A02BDF">
                    <w:t>209.8</w:t>
                  </w:r>
                </w:p>
              </w:tc>
              <w:tc>
                <w:tcPr>
                  <w:tcW w:w="517" w:type="pct"/>
                  <w:vAlign w:val="bottom"/>
                </w:tcPr>
                <w:p w:rsidR="00AC2131" w:rsidRPr="00A02BDF" w:rsidRDefault="00AC2131" w:rsidP="00AC2131">
                  <w:pPr>
                    <w:pStyle w:val="TableBodyText"/>
                    <w:spacing w:after="0"/>
                    <w:ind w:left="0" w:right="57"/>
                  </w:pPr>
                  <w:r w:rsidRPr="00A02BDF">
                    <w:t>166.2</w:t>
                  </w:r>
                </w:p>
              </w:tc>
              <w:tc>
                <w:tcPr>
                  <w:tcW w:w="516" w:type="pct"/>
                  <w:vAlign w:val="bottom"/>
                </w:tcPr>
                <w:p w:rsidR="00AC2131" w:rsidRPr="00A02BDF" w:rsidRDefault="00AC2131" w:rsidP="00AC2131">
                  <w:pPr>
                    <w:pStyle w:val="TableBodyText"/>
                    <w:spacing w:after="0"/>
                    <w:ind w:left="0" w:right="57"/>
                  </w:pPr>
                  <w:r w:rsidRPr="00A02BDF">
                    <w:t>154.0</w:t>
                  </w:r>
                </w:p>
              </w:tc>
              <w:tc>
                <w:tcPr>
                  <w:tcW w:w="516" w:type="pct"/>
                  <w:shd w:val="clear" w:color="auto" w:fill="auto"/>
                  <w:vAlign w:val="bottom"/>
                </w:tcPr>
                <w:p w:rsidR="00AC2131" w:rsidRPr="00A02BDF" w:rsidRDefault="00AC2131" w:rsidP="00AC2131">
                  <w:pPr>
                    <w:pStyle w:val="TableBodyText"/>
                    <w:spacing w:after="0"/>
                    <w:ind w:left="0" w:right="57"/>
                  </w:pPr>
                  <w:r w:rsidRPr="00A02BDF">
                    <w:t>153.4</w:t>
                  </w:r>
                </w:p>
              </w:tc>
              <w:tc>
                <w:tcPr>
                  <w:tcW w:w="516" w:type="pct"/>
                  <w:shd w:val="clear" w:color="auto" w:fill="auto"/>
                  <w:vAlign w:val="bottom"/>
                </w:tcPr>
                <w:p w:rsidR="00AC2131" w:rsidRPr="00A02BDF" w:rsidRDefault="00AC2131" w:rsidP="00AC2131">
                  <w:pPr>
                    <w:pStyle w:val="TableBodyText"/>
                    <w:spacing w:after="0"/>
                    <w:ind w:left="0" w:right="57"/>
                  </w:pPr>
                  <w:r w:rsidRPr="00A02BDF">
                    <w:t>121.2</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Furniture and other manufacturing</w:t>
                  </w:r>
                </w:p>
              </w:tc>
              <w:tc>
                <w:tcPr>
                  <w:tcW w:w="516" w:type="pct"/>
                  <w:vAlign w:val="bottom"/>
                </w:tcPr>
                <w:p w:rsidR="00AC2131" w:rsidRPr="00A02BDF" w:rsidRDefault="00AC2131" w:rsidP="00AC2131">
                  <w:pPr>
                    <w:pStyle w:val="TableBodyText"/>
                    <w:spacing w:after="0"/>
                    <w:ind w:left="0" w:right="57"/>
                  </w:pPr>
                  <w:r w:rsidRPr="00A02BDF">
                    <w:t>24.4</w:t>
                  </w:r>
                </w:p>
              </w:tc>
              <w:tc>
                <w:tcPr>
                  <w:tcW w:w="516" w:type="pct"/>
                  <w:vAlign w:val="bottom"/>
                </w:tcPr>
                <w:p w:rsidR="00AC2131" w:rsidRPr="00A02BDF" w:rsidRDefault="00AC2131" w:rsidP="00AC2131">
                  <w:pPr>
                    <w:pStyle w:val="TableBodyText"/>
                    <w:spacing w:after="0"/>
                    <w:ind w:left="0" w:right="57"/>
                  </w:pPr>
                  <w:r w:rsidRPr="00A02BDF">
                    <w:t>30.6</w:t>
                  </w:r>
                </w:p>
              </w:tc>
              <w:tc>
                <w:tcPr>
                  <w:tcW w:w="517" w:type="pct"/>
                  <w:vAlign w:val="bottom"/>
                </w:tcPr>
                <w:p w:rsidR="00AC2131" w:rsidRPr="00A02BDF" w:rsidRDefault="00AC2131" w:rsidP="00AC2131">
                  <w:pPr>
                    <w:pStyle w:val="TableBodyText"/>
                    <w:spacing w:after="0"/>
                    <w:ind w:left="0" w:right="57"/>
                  </w:pPr>
                  <w:r w:rsidRPr="00A02BDF">
                    <w:t>25.5</w:t>
                  </w:r>
                </w:p>
              </w:tc>
              <w:tc>
                <w:tcPr>
                  <w:tcW w:w="516" w:type="pct"/>
                  <w:vAlign w:val="bottom"/>
                </w:tcPr>
                <w:p w:rsidR="00AC2131" w:rsidRPr="00A02BDF" w:rsidRDefault="00AC2131" w:rsidP="00AC2131">
                  <w:pPr>
                    <w:pStyle w:val="TableBodyText"/>
                    <w:spacing w:after="0"/>
                    <w:ind w:left="0" w:right="57"/>
                  </w:pPr>
                  <w:r w:rsidRPr="00A02BDF">
                    <w:t>32.3</w:t>
                  </w:r>
                </w:p>
              </w:tc>
              <w:tc>
                <w:tcPr>
                  <w:tcW w:w="516" w:type="pct"/>
                  <w:shd w:val="clear" w:color="auto" w:fill="auto"/>
                  <w:vAlign w:val="bottom"/>
                </w:tcPr>
                <w:p w:rsidR="00AC2131" w:rsidRPr="00A02BDF" w:rsidRDefault="00AC2131" w:rsidP="00AC2131">
                  <w:pPr>
                    <w:pStyle w:val="TableBodyText"/>
                    <w:spacing w:after="0"/>
                    <w:ind w:left="0" w:right="57"/>
                  </w:pPr>
                  <w:r w:rsidRPr="00A02BDF">
                    <w:t>31.3</w:t>
                  </w:r>
                </w:p>
              </w:tc>
              <w:tc>
                <w:tcPr>
                  <w:tcW w:w="516" w:type="pct"/>
                  <w:shd w:val="clear" w:color="auto" w:fill="auto"/>
                  <w:vAlign w:val="bottom"/>
                </w:tcPr>
                <w:p w:rsidR="00AC2131" w:rsidRPr="00A02BDF" w:rsidRDefault="00AC2131" w:rsidP="00AC2131">
                  <w:pPr>
                    <w:pStyle w:val="TableBodyText"/>
                    <w:spacing w:after="0"/>
                    <w:ind w:left="0" w:right="57"/>
                  </w:pPr>
                  <w:r w:rsidRPr="00A02BDF">
                    <w:t>29.1</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 xml:space="preserve">Unallocated </w:t>
                  </w:r>
                  <w:r>
                    <w:rPr>
                      <w:rFonts w:ascii="Arial" w:hAnsi="Arial" w:cs="Arial"/>
                      <w:sz w:val="18"/>
                      <w:szCs w:val="18"/>
                    </w:rPr>
                    <w:t>manufacturing</w:t>
                  </w:r>
                  <w:r>
                    <w:rPr>
                      <w:rStyle w:val="NoteLabel"/>
                    </w:rPr>
                    <w:t>a</w:t>
                  </w:r>
                </w:p>
              </w:tc>
              <w:tc>
                <w:tcPr>
                  <w:tcW w:w="516" w:type="pct"/>
                  <w:vAlign w:val="bottom"/>
                </w:tcPr>
                <w:p w:rsidR="00AC2131" w:rsidRPr="00A02BDF" w:rsidRDefault="00AC2131" w:rsidP="00AC2131">
                  <w:pPr>
                    <w:pStyle w:val="TableBodyText"/>
                    <w:spacing w:after="0"/>
                    <w:ind w:left="0" w:right="57"/>
                  </w:pPr>
                  <w:r w:rsidRPr="00A02BDF">
                    <w:t>234.2</w:t>
                  </w:r>
                </w:p>
              </w:tc>
              <w:tc>
                <w:tcPr>
                  <w:tcW w:w="516" w:type="pct"/>
                  <w:vAlign w:val="bottom"/>
                </w:tcPr>
                <w:p w:rsidR="00AC2131" w:rsidRPr="00A02BDF" w:rsidRDefault="00AC2131" w:rsidP="00AC2131">
                  <w:pPr>
                    <w:pStyle w:val="TableBodyText"/>
                    <w:spacing w:after="0"/>
                    <w:ind w:left="0" w:right="57"/>
                  </w:pPr>
                  <w:r w:rsidRPr="00A02BDF">
                    <w:t>271.4</w:t>
                  </w:r>
                </w:p>
              </w:tc>
              <w:tc>
                <w:tcPr>
                  <w:tcW w:w="517" w:type="pct"/>
                  <w:vAlign w:val="bottom"/>
                </w:tcPr>
                <w:p w:rsidR="00AC2131" w:rsidRPr="00A02BDF" w:rsidRDefault="00AC2131" w:rsidP="00AC2131">
                  <w:pPr>
                    <w:pStyle w:val="TableBodyText"/>
                    <w:spacing w:after="0"/>
                    <w:ind w:left="0" w:right="57"/>
                  </w:pPr>
                  <w:r w:rsidRPr="00A02BDF">
                    <w:t>236.8</w:t>
                  </w:r>
                </w:p>
              </w:tc>
              <w:tc>
                <w:tcPr>
                  <w:tcW w:w="516" w:type="pct"/>
                  <w:vAlign w:val="bottom"/>
                </w:tcPr>
                <w:p w:rsidR="00AC2131" w:rsidRPr="00A02BDF" w:rsidRDefault="00AC2131" w:rsidP="00AC2131">
                  <w:pPr>
                    <w:pStyle w:val="TableBodyText"/>
                    <w:spacing w:after="0"/>
                    <w:ind w:left="0" w:right="57"/>
                  </w:pPr>
                  <w:r w:rsidRPr="00A02BDF">
                    <w:t>229.8</w:t>
                  </w:r>
                </w:p>
              </w:tc>
              <w:tc>
                <w:tcPr>
                  <w:tcW w:w="516" w:type="pct"/>
                  <w:shd w:val="clear" w:color="auto" w:fill="auto"/>
                  <w:vAlign w:val="bottom"/>
                </w:tcPr>
                <w:p w:rsidR="00AC2131" w:rsidRPr="00A02BDF" w:rsidRDefault="00AC2131" w:rsidP="00AC2131">
                  <w:pPr>
                    <w:pStyle w:val="TableBodyText"/>
                    <w:spacing w:after="0"/>
                    <w:ind w:left="0" w:right="57"/>
                  </w:pPr>
                  <w:r w:rsidRPr="00A02BDF">
                    <w:t>203.0</w:t>
                  </w:r>
                </w:p>
              </w:tc>
              <w:tc>
                <w:tcPr>
                  <w:tcW w:w="516" w:type="pct"/>
                  <w:shd w:val="clear" w:color="auto" w:fill="auto"/>
                  <w:vAlign w:val="bottom"/>
                </w:tcPr>
                <w:p w:rsidR="00AC2131" w:rsidRPr="00A02BDF" w:rsidRDefault="00AC2131" w:rsidP="00AC2131">
                  <w:pPr>
                    <w:pStyle w:val="TableBodyText"/>
                    <w:spacing w:after="0"/>
                    <w:ind w:left="0" w:right="57"/>
                  </w:pPr>
                  <w:r w:rsidRPr="00A02BDF">
                    <w:t>198.0</w:t>
                  </w:r>
                </w:p>
              </w:tc>
            </w:tr>
            <w:tr w:rsidR="00AC2131" w:rsidRPr="00A02BDF" w:rsidTr="00AC2131">
              <w:tc>
                <w:tcPr>
                  <w:tcW w:w="1903" w:type="pct"/>
                  <w:shd w:val="clear" w:color="auto" w:fill="auto"/>
                  <w:vAlign w:val="bottom"/>
                </w:tcPr>
                <w:p w:rsidR="00AC2131" w:rsidRPr="00A02BDF" w:rsidRDefault="00AC2131">
                  <w:pPr>
                    <w:rPr>
                      <w:rFonts w:ascii="Arial" w:hAnsi="Arial" w:cs="Arial"/>
                      <w:b/>
                      <w:bCs/>
                      <w:sz w:val="18"/>
                      <w:szCs w:val="18"/>
                    </w:rPr>
                  </w:pPr>
                  <w:r w:rsidRPr="00A02BDF">
                    <w:rPr>
                      <w:rFonts w:ascii="Arial" w:hAnsi="Arial" w:cs="Arial"/>
                      <w:b/>
                      <w:bCs/>
                      <w:sz w:val="18"/>
                      <w:szCs w:val="18"/>
                    </w:rPr>
                    <w:t>Services</w:t>
                  </w:r>
                </w:p>
              </w:tc>
              <w:tc>
                <w:tcPr>
                  <w:tcW w:w="516" w:type="pct"/>
                  <w:vAlign w:val="bottom"/>
                </w:tcPr>
                <w:p w:rsidR="00AC2131" w:rsidRPr="00A02BDF" w:rsidRDefault="00AC2131" w:rsidP="00AC2131">
                  <w:pPr>
                    <w:pStyle w:val="TableBodyText"/>
                    <w:spacing w:after="0"/>
                    <w:ind w:left="0" w:right="57"/>
                    <w:rPr>
                      <w:b/>
                    </w:rPr>
                  </w:pPr>
                  <w:r w:rsidRPr="00A02BDF">
                    <w:rPr>
                      <w:b/>
                    </w:rPr>
                    <w:t>3487.7</w:t>
                  </w:r>
                </w:p>
              </w:tc>
              <w:tc>
                <w:tcPr>
                  <w:tcW w:w="516" w:type="pct"/>
                  <w:vAlign w:val="bottom"/>
                </w:tcPr>
                <w:p w:rsidR="00AC2131" w:rsidRPr="00A02BDF" w:rsidRDefault="00AC2131" w:rsidP="00AC2131">
                  <w:pPr>
                    <w:pStyle w:val="TableBodyText"/>
                    <w:spacing w:after="0"/>
                    <w:ind w:left="0" w:right="57"/>
                    <w:rPr>
                      <w:b/>
                    </w:rPr>
                  </w:pPr>
                  <w:r w:rsidRPr="00A02BDF">
                    <w:rPr>
                      <w:b/>
                    </w:rPr>
                    <w:t>4521.3</w:t>
                  </w:r>
                </w:p>
              </w:tc>
              <w:tc>
                <w:tcPr>
                  <w:tcW w:w="517" w:type="pct"/>
                  <w:vAlign w:val="bottom"/>
                </w:tcPr>
                <w:p w:rsidR="00AC2131" w:rsidRPr="00A02BDF" w:rsidRDefault="00AC2131" w:rsidP="00AC2131">
                  <w:pPr>
                    <w:pStyle w:val="TableBodyText"/>
                    <w:spacing w:after="0"/>
                    <w:ind w:left="0" w:right="57"/>
                    <w:rPr>
                      <w:b/>
                    </w:rPr>
                  </w:pPr>
                  <w:r w:rsidRPr="00A02BDF">
                    <w:rPr>
                      <w:b/>
                    </w:rPr>
                    <w:t>4510.4</w:t>
                  </w:r>
                </w:p>
              </w:tc>
              <w:tc>
                <w:tcPr>
                  <w:tcW w:w="516" w:type="pct"/>
                  <w:vAlign w:val="bottom"/>
                </w:tcPr>
                <w:p w:rsidR="00AC2131" w:rsidRPr="00A02BDF" w:rsidRDefault="00AC2131" w:rsidP="00AC2131">
                  <w:pPr>
                    <w:pStyle w:val="TableBodyText"/>
                    <w:spacing w:after="0"/>
                    <w:ind w:left="0" w:right="57"/>
                    <w:rPr>
                      <w:b/>
                    </w:rPr>
                  </w:pPr>
                  <w:r w:rsidRPr="00A02BDF">
                    <w:rPr>
                      <w:b/>
                    </w:rPr>
                    <w:t>5068.9</w:t>
                  </w:r>
                </w:p>
              </w:tc>
              <w:tc>
                <w:tcPr>
                  <w:tcW w:w="516" w:type="pct"/>
                  <w:shd w:val="clear" w:color="auto" w:fill="auto"/>
                  <w:vAlign w:val="bottom"/>
                </w:tcPr>
                <w:p w:rsidR="00AC2131" w:rsidRPr="00A02BDF" w:rsidRDefault="00AC2131" w:rsidP="00AC2131">
                  <w:pPr>
                    <w:pStyle w:val="TableBodyText"/>
                    <w:spacing w:after="0"/>
                    <w:ind w:left="0" w:right="57"/>
                    <w:rPr>
                      <w:b/>
                    </w:rPr>
                  </w:pPr>
                  <w:r w:rsidRPr="00A02BDF">
                    <w:rPr>
                      <w:b/>
                    </w:rPr>
                    <w:t>3680.9</w:t>
                  </w:r>
                </w:p>
              </w:tc>
              <w:tc>
                <w:tcPr>
                  <w:tcW w:w="516" w:type="pct"/>
                  <w:shd w:val="clear" w:color="auto" w:fill="auto"/>
                  <w:vAlign w:val="bottom"/>
                </w:tcPr>
                <w:p w:rsidR="00AC2131" w:rsidRPr="00A02BDF" w:rsidRDefault="00AC2131" w:rsidP="00AC2131">
                  <w:pPr>
                    <w:pStyle w:val="TableBodyText"/>
                    <w:spacing w:after="0"/>
                    <w:ind w:left="0" w:right="57"/>
                    <w:rPr>
                      <w:b/>
                    </w:rPr>
                  </w:pPr>
                  <w:r w:rsidRPr="00A02BDF">
                    <w:rPr>
                      <w:b/>
                    </w:rPr>
                    <w:t>4305.2</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Electricity, gas, water &amp; waste services</w:t>
                  </w:r>
                </w:p>
              </w:tc>
              <w:tc>
                <w:tcPr>
                  <w:tcW w:w="516" w:type="pct"/>
                  <w:vAlign w:val="bottom"/>
                </w:tcPr>
                <w:p w:rsidR="00AC2131" w:rsidRPr="00A02BDF" w:rsidRDefault="00AC2131" w:rsidP="00AC2131">
                  <w:pPr>
                    <w:pStyle w:val="TableBodyText"/>
                    <w:spacing w:after="0"/>
                    <w:ind w:left="0" w:right="57"/>
                  </w:pPr>
                  <w:r w:rsidRPr="00A02BDF">
                    <w:t>107.5</w:t>
                  </w:r>
                </w:p>
              </w:tc>
              <w:tc>
                <w:tcPr>
                  <w:tcW w:w="516" w:type="pct"/>
                  <w:vAlign w:val="bottom"/>
                </w:tcPr>
                <w:p w:rsidR="00AC2131" w:rsidRPr="00A02BDF" w:rsidRDefault="00AC2131" w:rsidP="00AC2131">
                  <w:pPr>
                    <w:pStyle w:val="TableBodyText"/>
                    <w:spacing w:after="0"/>
                    <w:ind w:left="0" w:right="57"/>
                  </w:pPr>
                  <w:r w:rsidRPr="00A02BDF">
                    <w:t>174.3</w:t>
                  </w:r>
                </w:p>
              </w:tc>
              <w:tc>
                <w:tcPr>
                  <w:tcW w:w="517" w:type="pct"/>
                  <w:vAlign w:val="bottom"/>
                </w:tcPr>
                <w:p w:rsidR="00AC2131" w:rsidRPr="00A02BDF" w:rsidRDefault="00AC2131" w:rsidP="00AC2131">
                  <w:pPr>
                    <w:pStyle w:val="TableBodyText"/>
                    <w:spacing w:after="0"/>
                    <w:ind w:left="0" w:right="57"/>
                  </w:pPr>
                  <w:r w:rsidRPr="00A02BDF">
                    <w:t>460.2</w:t>
                  </w:r>
                </w:p>
              </w:tc>
              <w:tc>
                <w:tcPr>
                  <w:tcW w:w="516" w:type="pct"/>
                  <w:vAlign w:val="bottom"/>
                </w:tcPr>
                <w:p w:rsidR="00AC2131" w:rsidRPr="00A02BDF" w:rsidRDefault="00AC2131" w:rsidP="00AC2131">
                  <w:pPr>
                    <w:pStyle w:val="TableBodyText"/>
                    <w:spacing w:after="0"/>
                    <w:ind w:left="0" w:right="57"/>
                  </w:pPr>
                  <w:r w:rsidRPr="00A02BDF">
                    <w:t>1106.1</w:t>
                  </w:r>
                </w:p>
              </w:tc>
              <w:tc>
                <w:tcPr>
                  <w:tcW w:w="516" w:type="pct"/>
                  <w:shd w:val="clear" w:color="auto" w:fill="auto"/>
                  <w:vAlign w:val="bottom"/>
                </w:tcPr>
                <w:p w:rsidR="00AC2131" w:rsidRPr="00A02BDF" w:rsidRDefault="00AC2131" w:rsidP="00AC2131">
                  <w:pPr>
                    <w:pStyle w:val="TableBodyText"/>
                    <w:spacing w:after="0"/>
                    <w:ind w:left="0" w:right="57"/>
                  </w:pPr>
                  <w:r w:rsidRPr="00A02BDF">
                    <w:t>118.2</w:t>
                  </w:r>
                </w:p>
              </w:tc>
              <w:tc>
                <w:tcPr>
                  <w:tcW w:w="516" w:type="pct"/>
                  <w:shd w:val="clear" w:color="auto" w:fill="auto"/>
                  <w:vAlign w:val="bottom"/>
                </w:tcPr>
                <w:p w:rsidR="00AC2131" w:rsidRPr="00A02BDF" w:rsidRDefault="00AC2131" w:rsidP="00AC2131">
                  <w:pPr>
                    <w:pStyle w:val="TableBodyText"/>
                    <w:spacing w:after="0"/>
                    <w:ind w:left="0" w:right="57"/>
                  </w:pPr>
                  <w:r w:rsidRPr="00A02BDF">
                    <w:t>230.4</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Construction</w:t>
                  </w:r>
                </w:p>
              </w:tc>
              <w:tc>
                <w:tcPr>
                  <w:tcW w:w="516" w:type="pct"/>
                  <w:vAlign w:val="bottom"/>
                </w:tcPr>
                <w:p w:rsidR="00AC2131" w:rsidRPr="00A02BDF" w:rsidRDefault="00AC2131" w:rsidP="00AC2131">
                  <w:pPr>
                    <w:pStyle w:val="TableBodyText"/>
                    <w:spacing w:after="0"/>
                    <w:ind w:left="0" w:right="57"/>
                  </w:pPr>
                  <w:r w:rsidRPr="00A02BDF">
                    <w:t>160.1</w:t>
                  </w:r>
                </w:p>
              </w:tc>
              <w:tc>
                <w:tcPr>
                  <w:tcW w:w="516" w:type="pct"/>
                  <w:vAlign w:val="bottom"/>
                </w:tcPr>
                <w:p w:rsidR="00AC2131" w:rsidRPr="00A02BDF" w:rsidRDefault="00AC2131" w:rsidP="00AC2131">
                  <w:pPr>
                    <w:pStyle w:val="TableBodyText"/>
                    <w:spacing w:after="0"/>
                    <w:ind w:left="0" w:right="57"/>
                  </w:pPr>
                  <w:r w:rsidRPr="00A02BDF">
                    <w:t>301.2</w:t>
                  </w:r>
                </w:p>
              </w:tc>
              <w:tc>
                <w:tcPr>
                  <w:tcW w:w="517" w:type="pct"/>
                  <w:vAlign w:val="bottom"/>
                </w:tcPr>
                <w:p w:rsidR="00AC2131" w:rsidRPr="00A02BDF" w:rsidRDefault="00AC2131" w:rsidP="00AC2131">
                  <w:pPr>
                    <w:pStyle w:val="TableBodyText"/>
                    <w:spacing w:after="0"/>
                    <w:ind w:left="0" w:right="57"/>
                  </w:pPr>
                  <w:r w:rsidRPr="00A02BDF">
                    <w:t>208.9</w:t>
                  </w:r>
                </w:p>
              </w:tc>
              <w:tc>
                <w:tcPr>
                  <w:tcW w:w="516" w:type="pct"/>
                  <w:vAlign w:val="bottom"/>
                </w:tcPr>
                <w:p w:rsidR="00AC2131" w:rsidRPr="00A02BDF" w:rsidRDefault="00AC2131" w:rsidP="00AC2131">
                  <w:pPr>
                    <w:pStyle w:val="TableBodyText"/>
                    <w:spacing w:after="0"/>
                    <w:ind w:left="0" w:right="57"/>
                  </w:pPr>
                  <w:r w:rsidRPr="00A02BDF">
                    <w:t>210.5</w:t>
                  </w:r>
                </w:p>
              </w:tc>
              <w:tc>
                <w:tcPr>
                  <w:tcW w:w="516" w:type="pct"/>
                  <w:shd w:val="clear" w:color="auto" w:fill="auto"/>
                  <w:vAlign w:val="bottom"/>
                </w:tcPr>
                <w:p w:rsidR="00AC2131" w:rsidRPr="00A02BDF" w:rsidRDefault="00AC2131" w:rsidP="00AC2131">
                  <w:pPr>
                    <w:pStyle w:val="TableBodyText"/>
                    <w:spacing w:after="0"/>
                    <w:ind w:left="0" w:right="57"/>
                  </w:pPr>
                  <w:r w:rsidRPr="00A02BDF">
                    <w:t>155.5</w:t>
                  </w:r>
                </w:p>
              </w:tc>
              <w:tc>
                <w:tcPr>
                  <w:tcW w:w="516" w:type="pct"/>
                  <w:shd w:val="clear" w:color="auto" w:fill="auto"/>
                  <w:vAlign w:val="bottom"/>
                </w:tcPr>
                <w:p w:rsidR="00AC2131" w:rsidRPr="00A02BDF" w:rsidRDefault="00AC2131" w:rsidP="00AC2131">
                  <w:pPr>
                    <w:pStyle w:val="TableBodyText"/>
                    <w:spacing w:after="0"/>
                    <w:ind w:left="0" w:right="57"/>
                  </w:pPr>
                  <w:r w:rsidRPr="00A02BDF">
                    <w:t>342.4</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Wholesale trade</w:t>
                  </w:r>
                </w:p>
              </w:tc>
              <w:tc>
                <w:tcPr>
                  <w:tcW w:w="516" w:type="pct"/>
                  <w:vAlign w:val="bottom"/>
                </w:tcPr>
                <w:p w:rsidR="00AC2131" w:rsidRPr="00A02BDF" w:rsidRDefault="00AC2131" w:rsidP="00AC2131">
                  <w:pPr>
                    <w:pStyle w:val="TableBodyText"/>
                    <w:spacing w:after="0"/>
                    <w:ind w:left="0" w:right="57"/>
                  </w:pPr>
                  <w:r w:rsidRPr="00A02BDF">
                    <w:t>195.6</w:t>
                  </w:r>
                </w:p>
              </w:tc>
              <w:tc>
                <w:tcPr>
                  <w:tcW w:w="516" w:type="pct"/>
                  <w:vAlign w:val="bottom"/>
                </w:tcPr>
                <w:p w:rsidR="00AC2131" w:rsidRPr="00A02BDF" w:rsidRDefault="00AC2131" w:rsidP="00AC2131">
                  <w:pPr>
                    <w:pStyle w:val="TableBodyText"/>
                    <w:spacing w:after="0"/>
                    <w:ind w:left="0" w:right="57"/>
                  </w:pPr>
                  <w:r w:rsidRPr="00A02BDF">
                    <w:t>328.0</w:t>
                  </w:r>
                </w:p>
              </w:tc>
              <w:tc>
                <w:tcPr>
                  <w:tcW w:w="517" w:type="pct"/>
                  <w:vAlign w:val="bottom"/>
                </w:tcPr>
                <w:p w:rsidR="00AC2131" w:rsidRPr="00A02BDF" w:rsidRDefault="00AC2131" w:rsidP="00AC2131">
                  <w:pPr>
                    <w:pStyle w:val="TableBodyText"/>
                    <w:spacing w:after="0"/>
                    <w:ind w:left="0" w:right="57"/>
                  </w:pPr>
                  <w:r w:rsidRPr="00A02BDF">
                    <w:t>439.1</w:t>
                  </w:r>
                </w:p>
              </w:tc>
              <w:tc>
                <w:tcPr>
                  <w:tcW w:w="516" w:type="pct"/>
                  <w:vAlign w:val="bottom"/>
                </w:tcPr>
                <w:p w:rsidR="00AC2131" w:rsidRPr="00A02BDF" w:rsidRDefault="00AC2131" w:rsidP="00AC2131">
                  <w:pPr>
                    <w:pStyle w:val="TableBodyText"/>
                    <w:spacing w:after="0"/>
                    <w:ind w:left="0" w:right="57"/>
                  </w:pPr>
                  <w:r w:rsidRPr="00A02BDF">
                    <w:t>285.4</w:t>
                  </w:r>
                </w:p>
              </w:tc>
              <w:tc>
                <w:tcPr>
                  <w:tcW w:w="516" w:type="pct"/>
                  <w:shd w:val="clear" w:color="auto" w:fill="auto"/>
                  <w:vAlign w:val="bottom"/>
                </w:tcPr>
                <w:p w:rsidR="00AC2131" w:rsidRPr="00A02BDF" w:rsidRDefault="00AC2131" w:rsidP="00AC2131">
                  <w:pPr>
                    <w:pStyle w:val="TableBodyText"/>
                    <w:spacing w:after="0"/>
                    <w:ind w:left="0" w:right="57"/>
                  </w:pPr>
                  <w:r w:rsidRPr="00A02BDF">
                    <w:t>214.2</w:t>
                  </w:r>
                </w:p>
              </w:tc>
              <w:tc>
                <w:tcPr>
                  <w:tcW w:w="516" w:type="pct"/>
                  <w:shd w:val="clear" w:color="auto" w:fill="auto"/>
                  <w:vAlign w:val="bottom"/>
                </w:tcPr>
                <w:p w:rsidR="00AC2131" w:rsidRPr="00A02BDF" w:rsidRDefault="00AC2131" w:rsidP="00AC2131">
                  <w:pPr>
                    <w:pStyle w:val="TableBodyText"/>
                    <w:spacing w:after="0"/>
                    <w:ind w:left="0" w:right="57"/>
                  </w:pPr>
                  <w:r w:rsidRPr="00A02BDF">
                    <w:t>159.2</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Retail trade</w:t>
                  </w:r>
                </w:p>
              </w:tc>
              <w:tc>
                <w:tcPr>
                  <w:tcW w:w="516" w:type="pct"/>
                  <w:vAlign w:val="bottom"/>
                </w:tcPr>
                <w:p w:rsidR="00AC2131" w:rsidRPr="00A02BDF" w:rsidRDefault="00AC2131" w:rsidP="00AC2131">
                  <w:pPr>
                    <w:pStyle w:val="TableBodyText"/>
                    <w:spacing w:after="0"/>
                    <w:ind w:left="0" w:right="57"/>
                  </w:pPr>
                  <w:r w:rsidRPr="00A02BDF">
                    <w:t>338.0</w:t>
                  </w:r>
                </w:p>
              </w:tc>
              <w:tc>
                <w:tcPr>
                  <w:tcW w:w="516" w:type="pct"/>
                  <w:vAlign w:val="bottom"/>
                </w:tcPr>
                <w:p w:rsidR="00AC2131" w:rsidRPr="00A02BDF" w:rsidRDefault="00AC2131" w:rsidP="00AC2131">
                  <w:pPr>
                    <w:pStyle w:val="TableBodyText"/>
                    <w:spacing w:after="0"/>
                    <w:ind w:left="0" w:right="57"/>
                  </w:pPr>
                  <w:r w:rsidRPr="00A02BDF">
                    <w:t>263.5</w:t>
                  </w:r>
                </w:p>
              </w:tc>
              <w:tc>
                <w:tcPr>
                  <w:tcW w:w="517" w:type="pct"/>
                  <w:vAlign w:val="bottom"/>
                </w:tcPr>
                <w:p w:rsidR="00AC2131" w:rsidRPr="00A02BDF" w:rsidRDefault="00AC2131" w:rsidP="00AC2131">
                  <w:pPr>
                    <w:pStyle w:val="TableBodyText"/>
                    <w:spacing w:after="0"/>
                    <w:ind w:left="0" w:right="57"/>
                  </w:pPr>
                  <w:r w:rsidRPr="00A02BDF">
                    <w:t>197.7</w:t>
                  </w:r>
                </w:p>
              </w:tc>
              <w:tc>
                <w:tcPr>
                  <w:tcW w:w="516" w:type="pct"/>
                  <w:vAlign w:val="bottom"/>
                </w:tcPr>
                <w:p w:rsidR="00AC2131" w:rsidRPr="00A02BDF" w:rsidRDefault="00AC2131" w:rsidP="00AC2131">
                  <w:pPr>
                    <w:pStyle w:val="TableBodyText"/>
                    <w:spacing w:after="0"/>
                    <w:ind w:left="0" w:right="57"/>
                  </w:pPr>
                  <w:r w:rsidRPr="00A02BDF">
                    <w:t>136.1</w:t>
                  </w:r>
                </w:p>
              </w:tc>
              <w:tc>
                <w:tcPr>
                  <w:tcW w:w="516" w:type="pct"/>
                  <w:shd w:val="clear" w:color="auto" w:fill="auto"/>
                  <w:vAlign w:val="bottom"/>
                </w:tcPr>
                <w:p w:rsidR="00AC2131" w:rsidRPr="00A02BDF" w:rsidRDefault="00AC2131" w:rsidP="00AC2131">
                  <w:pPr>
                    <w:pStyle w:val="TableBodyText"/>
                    <w:spacing w:after="0"/>
                    <w:ind w:left="0" w:right="57"/>
                  </w:pPr>
                  <w:r w:rsidRPr="00A02BDF">
                    <w:t>107.5</w:t>
                  </w:r>
                </w:p>
              </w:tc>
              <w:tc>
                <w:tcPr>
                  <w:tcW w:w="516" w:type="pct"/>
                  <w:shd w:val="clear" w:color="auto" w:fill="auto"/>
                  <w:vAlign w:val="bottom"/>
                </w:tcPr>
                <w:p w:rsidR="00AC2131" w:rsidRPr="00A02BDF" w:rsidRDefault="00AC2131" w:rsidP="00AC2131">
                  <w:pPr>
                    <w:pStyle w:val="TableBodyText"/>
                    <w:spacing w:after="0"/>
                    <w:ind w:left="0" w:right="57"/>
                  </w:pPr>
                  <w:r w:rsidRPr="00A02BDF">
                    <w:t>169.0</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Accommodation &amp; food services</w:t>
                  </w:r>
                </w:p>
              </w:tc>
              <w:tc>
                <w:tcPr>
                  <w:tcW w:w="516" w:type="pct"/>
                  <w:vAlign w:val="bottom"/>
                </w:tcPr>
                <w:p w:rsidR="00AC2131" w:rsidRPr="00A02BDF" w:rsidRDefault="00AC2131" w:rsidP="00AC2131">
                  <w:pPr>
                    <w:pStyle w:val="TableBodyText"/>
                    <w:spacing w:after="0"/>
                    <w:ind w:left="0" w:right="57"/>
                  </w:pPr>
                  <w:r w:rsidRPr="00A02BDF">
                    <w:t>80.2</w:t>
                  </w:r>
                </w:p>
              </w:tc>
              <w:tc>
                <w:tcPr>
                  <w:tcW w:w="516" w:type="pct"/>
                  <w:vAlign w:val="bottom"/>
                </w:tcPr>
                <w:p w:rsidR="00AC2131" w:rsidRPr="00A02BDF" w:rsidRDefault="00AC2131" w:rsidP="00AC2131">
                  <w:pPr>
                    <w:pStyle w:val="TableBodyText"/>
                    <w:spacing w:after="0"/>
                    <w:ind w:left="0" w:right="57"/>
                  </w:pPr>
                  <w:r w:rsidRPr="00A02BDF">
                    <w:t>85.8</w:t>
                  </w:r>
                </w:p>
              </w:tc>
              <w:tc>
                <w:tcPr>
                  <w:tcW w:w="517" w:type="pct"/>
                  <w:vAlign w:val="bottom"/>
                </w:tcPr>
                <w:p w:rsidR="00AC2131" w:rsidRPr="00A02BDF" w:rsidRDefault="00AC2131" w:rsidP="00AC2131">
                  <w:pPr>
                    <w:pStyle w:val="TableBodyText"/>
                    <w:spacing w:after="0"/>
                    <w:ind w:left="0" w:right="57"/>
                  </w:pPr>
                  <w:r w:rsidRPr="00A02BDF">
                    <w:t>71.1</w:t>
                  </w:r>
                </w:p>
              </w:tc>
              <w:tc>
                <w:tcPr>
                  <w:tcW w:w="516" w:type="pct"/>
                  <w:vAlign w:val="bottom"/>
                </w:tcPr>
                <w:p w:rsidR="00AC2131" w:rsidRPr="00A02BDF" w:rsidRDefault="00AC2131" w:rsidP="00AC2131">
                  <w:pPr>
                    <w:pStyle w:val="TableBodyText"/>
                    <w:spacing w:after="0"/>
                    <w:ind w:left="0" w:right="57"/>
                  </w:pPr>
                  <w:r w:rsidRPr="00A02BDF">
                    <w:t>67.7</w:t>
                  </w:r>
                </w:p>
              </w:tc>
              <w:tc>
                <w:tcPr>
                  <w:tcW w:w="516" w:type="pct"/>
                  <w:shd w:val="clear" w:color="auto" w:fill="auto"/>
                  <w:vAlign w:val="bottom"/>
                </w:tcPr>
                <w:p w:rsidR="00AC2131" w:rsidRPr="00A02BDF" w:rsidRDefault="00AC2131" w:rsidP="00AC2131">
                  <w:pPr>
                    <w:pStyle w:val="TableBodyText"/>
                    <w:spacing w:after="0"/>
                    <w:ind w:left="0" w:right="57"/>
                  </w:pPr>
                  <w:r w:rsidRPr="00A02BDF">
                    <w:t>65.7</w:t>
                  </w:r>
                </w:p>
              </w:tc>
              <w:tc>
                <w:tcPr>
                  <w:tcW w:w="516" w:type="pct"/>
                  <w:shd w:val="clear" w:color="auto" w:fill="auto"/>
                  <w:vAlign w:val="bottom"/>
                </w:tcPr>
                <w:p w:rsidR="00AC2131" w:rsidRPr="00A02BDF" w:rsidRDefault="00AC2131" w:rsidP="00AC2131">
                  <w:pPr>
                    <w:pStyle w:val="TableBodyText"/>
                    <w:spacing w:after="0"/>
                    <w:ind w:left="0" w:right="57"/>
                  </w:pPr>
                  <w:r w:rsidRPr="00A02BDF">
                    <w:t>124.4</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Transport, postal &amp; warehousing</w:t>
                  </w:r>
                </w:p>
              </w:tc>
              <w:tc>
                <w:tcPr>
                  <w:tcW w:w="516" w:type="pct"/>
                  <w:vAlign w:val="bottom"/>
                </w:tcPr>
                <w:p w:rsidR="00AC2131" w:rsidRPr="00A02BDF" w:rsidRDefault="00AC2131" w:rsidP="00AC2131">
                  <w:pPr>
                    <w:pStyle w:val="TableBodyText"/>
                    <w:spacing w:after="0"/>
                    <w:ind w:left="0" w:right="57"/>
                  </w:pPr>
                  <w:r w:rsidRPr="00A02BDF">
                    <w:t>128.1</w:t>
                  </w:r>
                </w:p>
              </w:tc>
              <w:tc>
                <w:tcPr>
                  <w:tcW w:w="516" w:type="pct"/>
                  <w:vAlign w:val="bottom"/>
                </w:tcPr>
                <w:p w:rsidR="00AC2131" w:rsidRPr="00A02BDF" w:rsidRDefault="00AC2131" w:rsidP="00AC2131">
                  <w:pPr>
                    <w:pStyle w:val="TableBodyText"/>
                    <w:spacing w:after="0"/>
                    <w:ind w:left="0" w:right="57"/>
                  </w:pPr>
                  <w:r w:rsidRPr="00A02BDF">
                    <w:t>275.8</w:t>
                  </w:r>
                </w:p>
              </w:tc>
              <w:tc>
                <w:tcPr>
                  <w:tcW w:w="517" w:type="pct"/>
                  <w:vAlign w:val="bottom"/>
                </w:tcPr>
                <w:p w:rsidR="00AC2131" w:rsidRPr="00A02BDF" w:rsidRDefault="00AC2131" w:rsidP="00AC2131">
                  <w:pPr>
                    <w:pStyle w:val="TableBodyText"/>
                    <w:spacing w:after="0"/>
                    <w:ind w:left="0" w:right="57"/>
                  </w:pPr>
                  <w:r w:rsidRPr="00A02BDF">
                    <w:t>266.4</w:t>
                  </w:r>
                </w:p>
              </w:tc>
              <w:tc>
                <w:tcPr>
                  <w:tcW w:w="516" w:type="pct"/>
                  <w:vAlign w:val="bottom"/>
                </w:tcPr>
                <w:p w:rsidR="00AC2131" w:rsidRPr="00A02BDF" w:rsidRDefault="00AC2131" w:rsidP="00AC2131">
                  <w:pPr>
                    <w:pStyle w:val="TableBodyText"/>
                    <w:spacing w:after="0"/>
                    <w:ind w:left="0" w:right="57"/>
                  </w:pPr>
                  <w:r w:rsidRPr="00A02BDF">
                    <w:t>245.6</w:t>
                  </w:r>
                </w:p>
              </w:tc>
              <w:tc>
                <w:tcPr>
                  <w:tcW w:w="516" w:type="pct"/>
                  <w:shd w:val="clear" w:color="auto" w:fill="auto"/>
                  <w:vAlign w:val="bottom"/>
                </w:tcPr>
                <w:p w:rsidR="00AC2131" w:rsidRPr="00A02BDF" w:rsidRDefault="00AC2131" w:rsidP="00AC2131">
                  <w:pPr>
                    <w:pStyle w:val="TableBodyText"/>
                    <w:spacing w:after="0"/>
                    <w:ind w:left="0" w:right="57"/>
                  </w:pPr>
                  <w:r w:rsidRPr="00A02BDF">
                    <w:t>172.2</w:t>
                  </w:r>
                </w:p>
              </w:tc>
              <w:tc>
                <w:tcPr>
                  <w:tcW w:w="516" w:type="pct"/>
                  <w:shd w:val="clear" w:color="auto" w:fill="auto"/>
                  <w:vAlign w:val="bottom"/>
                </w:tcPr>
                <w:p w:rsidR="00AC2131" w:rsidRPr="00A02BDF" w:rsidRDefault="00AC2131" w:rsidP="00AC2131">
                  <w:pPr>
                    <w:pStyle w:val="TableBodyText"/>
                    <w:spacing w:after="0"/>
                    <w:ind w:left="0" w:right="57"/>
                  </w:pPr>
                  <w:r w:rsidRPr="00A02BDF">
                    <w:t>185.7</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Information &amp; telecommunications</w:t>
                  </w:r>
                </w:p>
              </w:tc>
              <w:tc>
                <w:tcPr>
                  <w:tcW w:w="516" w:type="pct"/>
                  <w:vAlign w:val="bottom"/>
                </w:tcPr>
                <w:p w:rsidR="00AC2131" w:rsidRPr="00A02BDF" w:rsidRDefault="00AC2131" w:rsidP="00AC2131">
                  <w:pPr>
                    <w:pStyle w:val="TableBodyText"/>
                    <w:spacing w:after="0"/>
                    <w:ind w:left="0" w:right="57"/>
                  </w:pPr>
                  <w:r w:rsidRPr="00A02BDF">
                    <w:t>141.2</w:t>
                  </w:r>
                </w:p>
              </w:tc>
              <w:tc>
                <w:tcPr>
                  <w:tcW w:w="516" w:type="pct"/>
                  <w:vAlign w:val="bottom"/>
                </w:tcPr>
                <w:p w:rsidR="00AC2131" w:rsidRPr="00A02BDF" w:rsidRDefault="00AC2131" w:rsidP="00AC2131">
                  <w:pPr>
                    <w:pStyle w:val="TableBodyText"/>
                    <w:spacing w:after="0"/>
                    <w:ind w:left="0" w:right="57"/>
                  </w:pPr>
                  <w:r w:rsidRPr="00A02BDF">
                    <w:t>209.4</w:t>
                  </w:r>
                </w:p>
              </w:tc>
              <w:tc>
                <w:tcPr>
                  <w:tcW w:w="517" w:type="pct"/>
                  <w:vAlign w:val="bottom"/>
                </w:tcPr>
                <w:p w:rsidR="00AC2131" w:rsidRPr="00A02BDF" w:rsidRDefault="00AC2131" w:rsidP="00AC2131">
                  <w:pPr>
                    <w:pStyle w:val="TableBodyText"/>
                    <w:spacing w:after="0"/>
                    <w:ind w:left="0" w:right="57"/>
                  </w:pPr>
                  <w:r w:rsidRPr="00A02BDF">
                    <w:t>263.2</w:t>
                  </w:r>
                </w:p>
              </w:tc>
              <w:tc>
                <w:tcPr>
                  <w:tcW w:w="516" w:type="pct"/>
                  <w:vAlign w:val="bottom"/>
                </w:tcPr>
                <w:p w:rsidR="00AC2131" w:rsidRPr="00A02BDF" w:rsidRDefault="00AC2131" w:rsidP="00AC2131">
                  <w:pPr>
                    <w:pStyle w:val="TableBodyText"/>
                    <w:spacing w:after="0"/>
                    <w:ind w:left="0" w:right="57"/>
                  </w:pPr>
                  <w:r w:rsidRPr="00A02BDF">
                    <w:t>293.6</w:t>
                  </w:r>
                </w:p>
              </w:tc>
              <w:tc>
                <w:tcPr>
                  <w:tcW w:w="516" w:type="pct"/>
                  <w:shd w:val="clear" w:color="auto" w:fill="auto"/>
                  <w:vAlign w:val="bottom"/>
                </w:tcPr>
                <w:p w:rsidR="00AC2131" w:rsidRPr="00A02BDF" w:rsidRDefault="00AC2131" w:rsidP="00AC2131">
                  <w:pPr>
                    <w:pStyle w:val="TableBodyText"/>
                    <w:spacing w:after="0"/>
                    <w:ind w:left="0" w:right="57"/>
                  </w:pPr>
                  <w:r w:rsidRPr="00A02BDF">
                    <w:t>354.7</w:t>
                  </w:r>
                </w:p>
              </w:tc>
              <w:tc>
                <w:tcPr>
                  <w:tcW w:w="516" w:type="pct"/>
                  <w:shd w:val="clear" w:color="auto" w:fill="auto"/>
                  <w:vAlign w:val="bottom"/>
                </w:tcPr>
                <w:p w:rsidR="00AC2131" w:rsidRPr="00A02BDF" w:rsidRDefault="00AC2131" w:rsidP="00AC2131">
                  <w:pPr>
                    <w:pStyle w:val="TableBodyText"/>
                    <w:spacing w:after="0"/>
                    <w:ind w:left="0" w:right="57"/>
                  </w:pPr>
                  <w:r w:rsidRPr="00A02BDF">
                    <w:t>148.5</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Financial and insurance services</w:t>
                  </w:r>
                </w:p>
              </w:tc>
              <w:tc>
                <w:tcPr>
                  <w:tcW w:w="516" w:type="pct"/>
                  <w:vAlign w:val="bottom"/>
                </w:tcPr>
                <w:p w:rsidR="00AC2131" w:rsidRPr="00A02BDF" w:rsidRDefault="00AC2131" w:rsidP="00AC2131">
                  <w:pPr>
                    <w:pStyle w:val="TableBodyText"/>
                    <w:spacing w:after="0"/>
                    <w:ind w:left="0" w:right="57"/>
                  </w:pPr>
                  <w:r w:rsidRPr="00A02BDF">
                    <w:t>923.5</w:t>
                  </w:r>
                </w:p>
              </w:tc>
              <w:tc>
                <w:tcPr>
                  <w:tcW w:w="516" w:type="pct"/>
                  <w:vAlign w:val="bottom"/>
                </w:tcPr>
                <w:p w:rsidR="00AC2131" w:rsidRPr="00A02BDF" w:rsidRDefault="00AC2131" w:rsidP="00AC2131">
                  <w:pPr>
                    <w:pStyle w:val="TableBodyText"/>
                    <w:spacing w:after="0"/>
                    <w:ind w:left="0" w:right="57"/>
                  </w:pPr>
                  <w:r w:rsidRPr="00A02BDF">
                    <w:t>1003.5</w:t>
                  </w:r>
                </w:p>
              </w:tc>
              <w:tc>
                <w:tcPr>
                  <w:tcW w:w="517" w:type="pct"/>
                  <w:vAlign w:val="bottom"/>
                </w:tcPr>
                <w:p w:rsidR="00AC2131" w:rsidRPr="00A02BDF" w:rsidRDefault="00AC2131" w:rsidP="00AC2131">
                  <w:pPr>
                    <w:pStyle w:val="TableBodyText"/>
                    <w:spacing w:after="0"/>
                    <w:ind w:left="0" w:right="57"/>
                  </w:pPr>
                  <w:r w:rsidRPr="00A02BDF">
                    <w:t>901.3</w:t>
                  </w:r>
                </w:p>
              </w:tc>
              <w:tc>
                <w:tcPr>
                  <w:tcW w:w="516" w:type="pct"/>
                  <w:vAlign w:val="bottom"/>
                </w:tcPr>
                <w:p w:rsidR="00AC2131" w:rsidRPr="00A02BDF" w:rsidRDefault="00AC2131" w:rsidP="00AC2131">
                  <w:pPr>
                    <w:pStyle w:val="TableBodyText"/>
                    <w:spacing w:after="0"/>
                    <w:ind w:left="0" w:right="57"/>
                  </w:pPr>
                  <w:r w:rsidRPr="00A02BDF">
                    <w:t>1036.2</w:t>
                  </w:r>
                </w:p>
              </w:tc>
              <w:tc>
                <w:tcPr>
                  <w:tcW w:w="516" w:type="pct"/>
                  <w:shd w:val="clear" w:color="auto" w:fill="auto"/>
                  <w:vAlign w:val="bottom"/>
                </w:tcPr>
                <w:p w:rsidR="00AC2131" w:rsidRPr="00A02BDF" w:rsidRDefault="00AC2131" w:rsidP="00AC2131">
                  <w:pPr>
                    <w:pStyle w:val="TableBodyText"/>
                    <w:spacing w:after="0"/>
                    <w:ind w:left="0" w:right="57"/>
                  </w:pPr>
                  <w:r w:rsidRPr="00A02BDF">
                    <w:t>929.4</w:t>
                  </w:r>
                </w:p>
              </w:tc>
              <w:tc>
                <w:tcPr>
                  <w:tcW w:w="516" w:type="pct"/>
                  <w:shd w:val="clear" w:color="auto" w:fill="auto"/>
                  <w:vAlign w:val="bottom"/>
                </w:tcPr>
                <w:p w:rsidR="00AC2131" w:rsidRPr="00A02BDF" w:rsidRDefault="00AC2131" w:rsidP="00AC2131">
                  <w:pPr>
                    <w:pStyle w:val="TableBodyText"/>
                    <w:spacing w:after="0"/>
                    <w:ind w:left="0" w:right="57"/>
                  </w:pPr>
                  <w:r w:rsidRPr="00A02BDF">
                    <w:t>960.5</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Property, professional &amp; admin.</w:t>
                  </w:r>
                </w:p>
              </w:tc>
              <w:tc>
                <w:tcPr>
                  <w:tcW w:w="516" w:type="pct"/>
                  <w:vAlign w:val="bottom"/>
                </w:tcPr>
                <w:p w:rsidR="00AC2131" w:rsidRPr="00A02BDF" w:rsidRDefault="00AC2131" w:rsidP="00AC2131">
                  <w:pPr>
                    <w:pStyle w:val="TableBodyText"/>
                    <w:spacing w:after="0"/>
                    <w:ind w:left="0" w:right="57"/>
                  </w:pPr>
                  <w:r w:rsidRPr="00A02BDF">
                    <w:t>684.8</w:t>
                  </w:r>
                </w:p>
              </w:tc>
              <w:tc>
                <w:tcPr>
                  <w:tcW w:w="516" w:type="pct"/>
                  <w:vAlign w:val="bottom"/>
                </w:tcPr>
                <w:p w:rsidR="00AC2131" w:rsidRPr="00A02BDF" w:rsidRDefault="00AC2131" w:rsidP="00AC2131">
                  <w:pPr>
                    <w:pStyle w:val="TableBodyText"/>
                    <w:spacing w:after="0"/>
                    <w:ind w:left="0" w:right="57"/>
                  </w:pPr>
                  <w:r w:rsidRPr="00A02BDF">
                    <w:t>908.2</w:t>
                  </w:r>
                </w:p>
              </w:tc>
              <w:tc>
                <w:tcPr>
                  <w:tcW w:w="517" w:type="pct"/>
                  <w:vAlign w:val="bottom"/>
                </w:tcPr>
                <w:p w:rsidR="00AC2131" w:rsidRPr="00A02BDF" w:rsidRDefault="00AC2131" w:rsidP="00AC2131">
                  <w:pPr>
                    <w:pStyle w:val="TableBodyText"/>
                    <w:spacing w:after="0"/>
                    <w:ind w:left="0" w:right="57"/>
                  </w:pPr>
                  <w:r w:rsidRPr="00A02BDF">
                    <w:t>936.9</w:t>
                  </w:r>
                </w:p>
              </w:tc>
              <w:tc>
                <w:tcPr>
                  <w:tcW w:w="516" w:type="pct"/>
                  <w:vAlign w:val="bottom"/>
                </w:tcPr>
                <w:p w:rsidR="00AC2131" w:rsidRPr="00A02BDF" w:rsidRDefault="00AC2131" w:rsidP="00AC2131">
                  <w:pPr>
                    <w:pStyle w:val="TableBodyText"/>
                    <w:spacing w:after="0"/>
                    <w:ind w:left="0" w:right="57"/>
                  </w:pPr>
                  <w:r w:rsidRPr="00A02BDF">
                    <w:t>858.6</w:t>
                  </w:r>
                </w:p>
              </w:tc>
              <w:tc>
                <w:tcPr>
                  <w:tcW w:w="516" w:type="pct"/>
                  <w:shd w:val="clear" w:color="auto" w:fill="auto"/>
                  <w:vAlign w:val="bottom"/>
                </w:tcPr>
                <w:p w:rsidR="00AC2131" w:rsidRPr="00A02BDF" w:rsidRDefault="00AC2131" w:rsidP="00AC2131">
                  <w:pPr>
                    <w:pStyle w:val="TableBodyText"/>
                    <w:spacing w:after="0"/>
                    <w:ind w:left="0" w:right="57"/>
                  </w:pPr>
                  <w:r w:rsidRPr="00A02BDF">
                    <w:t>714.3</w:t>
                  </w:r>
                </w:p>
              </w:tc>
              <w:tc>
                <w:tcPr>
                  <w:tcW w:w="516" w:type="pct"/>
                  <w:shd w:val="clear" w:color="auto" w:fill="auto"/>
                  <w:vAlign w:val="bottom"/>
                </w:tcPr>
                <w:p w:rsidR="00AC2131" w:rsidRPr="00A02BDF" w:rsidRDefault="00AC2131" w:rsidP="00AC2131">
                  <w:pPr>
                    <w:pStyle w:val="TableBodyText"/>
                    <w:spacing w:after="0"/>
                    <w:ind w:left="0" w:right="57"/>
                  </w:pPr>
                  <w:r w:rsidRPr="00A02BDF">
                    <w:t>979.0</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Public administration and safety</w:t>
                  </w:r>
                </w:p>
              </w:tc>
              <w:tc>
                <w:tcPr>
                  <w:tcW w:w="516" w:type="pct"/>
                  <w:vAlign w:val="bottom"/>
                </w:tcPr>
                <w:p w:rsidR="00AC2131" w:rsidRPr="00A02BDF" w:rsidRDefault="00AC2131" w:rsidP="00AC2131">
                  <w:pPr>
                    <w:pStyle w:val="TableBodyText"/>
                    <w:spacing w:after="0"/>
                    <w:ind w:left="0" w:right="57"/>
                  </w:pPr>
                  <w:r w:rsidRPr="00A02BDF">
                    <w:t>18.8</w:t>
                  </w:r>
                </w:p>
              </w:tc>
              <w:tc>
                <w:tcPr>
                  <w:tcW w:w="516" w:type="pct"/>
                  <w:vAlign w:val="bottom"/>
                </w:tcPr>
                <w:p w:rsidR="00AC2131" w:rsidRPr="00A02BDF" w:rsidRDefault="00AC2131" w:rsidP="00AC2131">
                  <w:pPr>
                    <w:pStyle w:val="TableBodyText"/>
                    <w:spacing w:after="0"/>
                    <w:ind w:left="0" w:right="57"/>
                  </w:pPr>
                  <w:r w:rsidRPr="00A02BDF">
                    <w:t>27.4</w:t>
                  </w:r>
                </w:p>
              </w:tc>
              <w:tc>
                <w:tcPr>
                  <w:tcW w:w="517" w:type="pct"/>
                  <w:vAlign w:val="bottom"/>
                </w:tcPr>
                <w:p w:rsidR="00AC2131" w:rsidRPr="00A02BDF" w:rsidRDefault="00AC2131" w:rsidP="00AC2131">
                  <w:pPr>
                    <w:pStyle w:val="TableBodyText"/>
                    <w:spacing w:after="0"/>
                    <w:ind w:left="0" w:right="57"/>
                  </w:pPr>
                  <w:r w:rsidRPr="00A02BDF">
                    <w:t>21.3</w:t>
                  </w:r>
                </w:p>
              </w:tc>
              <w:tc>
                <w:tcPr>
                  <w:tcW w:w="516" w:type="pct"/>
                  <w:vAlign w:val="bottom"/>
                </w:tcPr>
                <w:p w:rsidR="00AC2131" w:rsidRPr="00A02BDF" w:rsidRDefault="00AC2131" w:rsidP="00AC2131">
                  <w:pPr>
                    <w:pStyle w:val="TableBodyText"/>
                    <w:spacing w:after="0"/>
                    <w:ind w:left="0" w:right="57"/>
                  </w:pPr>
                  <w:r w:rsidRPr="00A02BDF">
                    <w:t>15.9</w:t>
                  </w:r>
                </w:p>
              </w:tc>
              <w:tc>
                <w:tcPr>
                  <w:tcW w:w="516" w:type="pct"/>
                  <w:shd w:val="clear" w:color="auto" w:fill="auto"/>
                  <w:vAlign w:val="bottom"/>
                </w:tcPr>
                <w:p w:rsidR="00AC2131" w:rsidRPr="00A02BDF" w:rsidRDefault="00AC2131" w:rsidP="00AC2131">
                  <w:pPr>
                    <w:pStyle w:val="TableBodyText"/>
                    <w:spacing w:after="0"/>
                    <w:ind w:left="0" w:right="57"/>
                  </w:pPr>
                  <w:r w:rsidRPr="00A02BDF">
                    <w:t>13.9</w:t>
                  </w:r>
                </w:p>
              </w:tc>
              <w:tc>
                <w:tcPr>
                  <w:tcW w:w="516" w:type="pct"/>
                  <w:shd w:val="clear" w:color="auto" w:fill="auto"/>
                  <w:vAlign w:val="bottom"/>
                </w:tcPr>
                <w:p w:rsidR="00AC2131" w:rsidRPr="00A02BDF" w:rsidRDefault="00AC2131" w:rsidP="00AC2131">
                  <w:pPr>
                    <w:pStyle w:val="TableBodyText"/>
                    <w:spacing w:after="0"/>
                    <w:ind w:left="0" w:right="57"/>
                  </w:pPr>
                  <w:r w:rsidRPr="00A02BDF">
                    <w:t>13.8</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Education and training</w:t>
                  </w:r>
                </w:p>
              </w:tc>
              <w:tc>
                <w:tcPr>
                  <w:tcW w:w="516" w:type="pct"/>
                  <w:vAlign w:val="bottom"/>
                </w:tcPr>
                <w:p w:rsidR="00AC2131" w:rsidRPr="00A02BDF" w:rsidRDefault="00AC2131" w:rsidP="00AC2131">
                  <w:pPr>
                    <w:pStyle w:val="TableBodyText"/>
                    <w:spacing w:after="0"/>
                    <w:ind w:left="0" w:right="57"/>
                  </w:pPr>
                  <w:r w:rsidRPr="00A02BDF">
                    <w:t>36.0</w:t>
                  </w:r>
                </w:p>
              </w:tc>
              <w:tc>
                <w:tcPr>
                  <w:tcW w:w="516" w:type="pct"/>
                  <w:vAlign w:val="bottom"/>
                </w:tcPr>
                <w:p w:rsidR="00AC2131" w:rsidRPr="00A02BDF" w:rsidRDefault="00AC2131" w:rsidP="00AC2131">
                  <w:pPr>
                    <w:pStyle w:val="TableBodyText"/>
                    <w:spacing w:after="0"/>
                    <w:ind w:left="0" w:right="57"/>
                  </w:pPr>
                  <w:r w:rsidRPr="00A02BDF">
                    <w:t>41.7</w:t>
                  </w:r>
                </w:p>
              </w:tc>
              <w:tc>
                <w:tcPr>
                  <w:tcW w:w="517" w:type="pct"/>
                  <w:vAlign w:val="bottom"/>
                </w:tcPr>
                <w:p w:rsidR="00AC2131" w:rsidRPr="00A02BDF" w:rsidRDefault="00AC2131" w:rsidP="00AC2131">
                  <w:pPr>
                    <w:pStyle w:val="TableBodyText"/>
                    <w:spacing w:after="0"/>
                    <w:ind w:left="0" w:right="57"/>
                  </w:pPr>
                  <w:r w:rsidRPr="00A02BDF">
                    <w:t>30.2</w:t>
                  </w:r>
                </w:p>
              </w:tc>
              <w:tc>
                <w:tcPr>
                  <w:tcW w:w="516" w:type="pct"/>
                  <w:vAlign w:val="bottom"/>
                </w:tcPr>
                <w:p w:rsidR="00AC2131" w:rsidRPr="00A02BDF" w:rsidRDefault="00AC2131" w:rsidP="00AC2131">
                  <w:pPr>
                    <w:pStyle w:val="TableBodyText"/>
                    <w:spacing w:after="0"/>
                    <w:ind w:left="0" w:right="57"/>
                  </w:pPr>
                  <w:r w:rsidRPr="00A02BDF">
                    <w:t>32.7</w:t>
                  </w:r>
                </w:p>
              </w:tc>
              <w:tc>
                <w:tcPr>
                  <w:tcW w:w="516" w:type="pct"/>
                  <w:shd w:val="clear" w:color="auto" w:fill="auto"/>
                  <w:vAlign w:val="bottom"/>
                </w:tcPr>
                <w:p w:rsidR="00AC2131" w:rsidRPr="00A02BDF" w:rsidRDefault="00AC2131" w:rsidP="00AC2131">
                  <w:pPr>
                    <w:pStyle w:val="TableBodyText"/>
                    <w:spacing w:after="0"/>
                    <w:ind w:left="0" w:right="57"/>
                  </w:pPr>
                  <w:r w:rsidRPr="00A02BDF">
                    <w:t>27.4</w:t>
                  </w:r>
                </w:p>
              </w:tc>
              <w:tc>
                <w:tcPr>
                  <w:tcW w:w="516" w:type="pct"/>
                  <w:shd w:val="clear" w:color="auto" w:fill="auto"/>
                  <w:vAlign w:val="bottom"/>
                </w:tcPr>
                <w:p w:rsidR="00AC2131" w:rsidRPr="00A02BDF" w:rsidRDefault="00AC2131" w:rsidP="00AC2131">
                  <w:pPr>
                    <w:pStyle w:val="TableBodyText"/>
                    <w:spacing w:after="0"/>
                    <w:ind w:left="0" w:right="57"/>
                  </w:pPr>
                  <w:r w:rsidRPr="00A02BDF">
                    <w:t>36.9</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Health care and social assistance</w:t>
                  </w:r>
                </w:p>
              </w:tc>
              <w:tc>
                <w:tcPr>
                  <w:tcW w:w="516" w:type="pct"/>
                  <w:vAlign w:val="bottom"/>
                </w:tcPr>
                <w:p w:rsidR="00AC2131" w:rsidRPr="00A02BDF" w:rsidRDefault="00AC2131" w:rsidP="00AC2131">
                  <w:pPr>
                    <w:pStyle w:val="TableBodyText"/>
                    <w:spacing w:after="0"/>
                    <w:ind w:left="0" w:right="57"/>
                  </w:pPr>
                  <w:r w:rsidRPr="00A02BDF">
                    <w:t>178.7</w:t>
                  </w:r>
                </w:p>
              </w:tc>
              <w:tc>
                <w:tcPr>
                  <w:tcW w:w="516" w:type="pct"/>
                  <w:vAlign w:val="bottom"/>
                </w:tcPr>
                <w:p w:rsidR="00AC2131" w:rsidRPr="00A02BDF" w:rsidRDefault="00AC2131" w:rsidP="00AC2131">
                  <w:pPr>
                    <w:pStyle w:val="TableBodyText"/>
                    <w:spacing w:after="0"/>
                    <w:ind w:left="0" w:right="57"/>
                  </w:pPr>
                  <w:r w:rsidRPr="00A02BDF">
                    <w:t>217.7</w:t>
                  </w:r>
                </w:p>
              </w:tc>
              <w:tc>
                <w:tcPr>
                  <w:tcW w:w="517" w:type="pct"/>
                  <w:vAlign w:val="bottom"/>
                </w:tcPr>
                <w:p w:rsidR="00AC2131" w:rsidRPr="00A02BDF" w:rsidRDefault="00AC2131" w:rsidP="00AC2131">
                  <w:pPr>
                    <w:pStyle w:val="TableBodyText"/>
                    <w:spacing w:after="0"/>
                    <w:ind w:left="0" w:right="57"/>
                  </w:pPr>
                  <w:r w:rsidRPr="00A02BDF">
                    <w:t>179.2</w:t>
                  </w:r>
                </w:p>
              </w:tc>
              <w:tc>
                <w:tcPr>
                  <w:tcW w:w="516" w:type="pct"/>
                  <w:vAlign w:val="bottom"/>
                </w:tcPr>
                <w:p w:rsidR="00AC2131" w:rsidRPr="00A02BDF" w:rsidRDefault="00AC2131" w:rsidP="00AC2131">
                  <w:pPr>
                    <w:pStyle w:val="TableBodyText"/>
                    <w:spacing w:after="0"/>
                    <w:ind w:left="0" w:right="57"/>
                  </w:pPr>
                  <w:r w:rsidRPr="00A02BDF">
                    <w:t>184.3</w:t>
                  </w:r>
                </w:p>
              </w:tc>
              <w:tc>
                <w:tcPr>
                  <w:tcW w:w="516" w:type="pct"/>
                  <w:shd w:val="clear" w:color="auto" w:fill="auto"/>
                  <w:vAlign w:val="bottom"/>
                </w:tcPr>
                <w:p w:rsidR="00AC2131" w:rsidRPr="00A02BDF" w:rsidRDefault="00AC2131" w:rsidP="00AC2131">
                  <w:pPr>
                    <w:pStyle w:val="TableBodyText"/>
                    <w:spacing w:after="0"/>
                    <w:ind w:left="0" w:right="57"/>
                  </w:pPr>
                  <w:r w:rsidRPr="00A02BDF">
                    <w:t>172.6</w:t>
                  </w:r>
                </w:p>
              </w:tc>
              <w:tc>
                <w:tcPr>
                  <w:tcW w:w="516" w:type="pct"/>
                  <w:shd w:val="clear" w:color="auto" w:fill="auto"/>
                  <w:vAlign w:val="bottom"/>
                </w:tcPr>
                <w:p w:rsidR="00AC2131" w:rsidRPr="00A02BDF" w:rsidRDefault="00AC2131" w:rsidP="00AC2131">
                  <w:pPr>
                    <w:pStyle w:val="TableBodyText"/>
                    <w:spacing w:after="0"/>
                    <w:ind w:left="0" w:right="57"/>
                  </w:pPr>
                  <w:r w:rsidRPr="00A02BDF">
                    <w:t>240.5</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Arts and recreation services</w:t>
                  </w:r>
                </w:p>
              </w:tc>
              <w:tc>
                <w:tcPr>
                  <w:tcW w:w="516" w:type="pct"/>
                  <w:vAlign w:val="bottom"/>
                </w:tcPr>
                <w:p w:rsidR="00AC2131" w:rsidRPr="00A02BDF" w:rsidRDefault="00AC2131" w:rsidP="00AC2131">
                  <w:pPr>
                    <w:pStyle w:val="TableBodyText"/>
                    <w:spacing w:after="0"/>
                    <w:ind w:left="0" w:right="57"/>
                  </w:pPr>
                  <w:r w:rsidRPr="00A02BDF">
                    <w:t>276.2</w:t>
                  </w:r>
                </w:p>
              </w:tc>
              <w:tc>
                <w:tcPr>
                  <w:tcW w:w="516" w:type="pct"/>
                  <w:vAlign w:val="bottom"/>
                </w:tcPr>
                <w:p w:rsidR="00AC2131" w:rsidRPr="00A02BDF" w:rsidRDefault="00AC2131" w:rsidP="00AC2131">
                  <w:pPr>
                    <w:pStyle w:val="TableBodyText"/>
                    <w:spacing w:after="0"/>
                    <w:ind w:left="0" w:right="57"/>
                  </w:pPr>
                  <w:r w:rsidRPr="00A02BDF">
                    <w:t>406.4</w:t>
                  </w:r>
                </w:p>
              </w:tc>
              <w:tc>
                <w:tcPr>
                  <w:tcW w:w="517" w:type="pct"/>
                  <w:vAlign w:val="bottom"/>
                </w:tcPr>
                <w:p w:rsidR="00AC2131" w:rsidRPr="00A02BDF" w:rsidRDefault="00AC2131" w:rsidP="00AC2131">
                  <w:pPr>
                    <w:pStyle w:val="TableBodyText"/>
                    <w:spacing w:after="0"/>
                    <w:ind w:left="0" w:right="57"/>
                  </w:pPr>
                  <w:r w:rsidRPr="00A02BDF">
                    <w:t>301.3</w:t>
                  </w:r>
                </w:p>
              </w:tc>
              <w:tc>
                <w:tcPr>
                  <w:tcW w:w="516" w:type="pct"/>
                  <w:vAlign w:val="bottom"/>
                </w:tcPr>
                <w:p w:rsidR="00AC2131" w:rsidRPr="00A02BDF" w:rsidRDefault="00AC2131" w:rsidP="00AC2131">
                  <w:pPr>
                    <w:pStyle w:val="TableBodyText"/>
                    <w:spacing w:after="0"/>
                    <w:ind w:left="0" w:right="57"/>
                  </w:pPr>
                  <w:r w:rsidRPr="00A02BDF">
                    <w:t>349.2</w:t>
                  </w:r>
                </w:p>
              </w:tc>
              <w:tc>
                <w:tcPr>
                  <w:tcW w:w="516" w:type="pct"/>
                  <w:shd w:val="clear" w:color="auto" w:fill="auto"/>
                  <w:vAlign w:val="bottom"/>
                </w:tcPr>
                <w:p w:rsidR="00AC2131" w:rsidRPr="00A02BDF" w:rsidRDefault="00AC2131" w:rsidP="00AC2131">
                  <w:pPr>
                    <w:pStyle w:val="TableBodyText"/>
                    <w:spacing w:after="0"/>
                    <w:ind w:left="0" w:right="57"/>
                  </w:pPr>
                  <w:r w:rsidRPr="00A02BDF">
                    <w:t>406.1</w:t>
                  </w:r>
                </w:p>
              </w:tc>
              <w:tc>
                <w:tcPr>
                  <w:tcW w:w="516" w:type="pct"/>
                  <w:shd w:val="clear" w:color="auto" w:fill="auto"/>
                  <w:vAlign w:val="bottom"/>
                </w:tcPr>
                <w:p w:rsidR="00AC2131" w:rsidRPr="00A02BDF" w:rsidRDefault="00AC2131" w:rsidP="00AC2131">
                  <w:pPr>
                    <w:pStyle w:val="TableBodyText"/>
                    <w:spacing w:after="0"/>
                    <w:ind w:left="0" w:right="57"/>
                  </w:pPr>
                  <w:r w:rsidRPr="00A02BDF">
                    <w:t>452.6</w:t>
                  </w:r>
                </w:p>
              </w:tc>
            </w:tr>
            <w:tr w:rsidR="00AC2131" w:rsidRPr="002B6A72" w:rsidTr="00AC2131">
              <w:tc>
                <w:tcPr>
                  <w:tcW w:w="1903" w:type="pct"/>
                  <w:shd w:val="clear" w:color="auto" w:fill="auto"/>
                  <w:vAlign w:val="center"/>
                </w:tcPr>
                <w:p w:rsidR="00AC2131" w:rsidRPr="002B6A72" w:rsidRDefault="00AC2131">
                  <w:pPr>
                    <w:rPr>
                      <w:rFonts w:ascii="Arial" w:hAnsi="Arial" w:cs="Arial"/>
                      <w:sz w:val="18"/>
                      <w:szCs w:val="18"/>
                    </w:rPr>
                  </w:pPr>
                  <w:r w:rsidRPr="002B6A72">
                    <w:rPr>
                      <w:rFonts w:ascii="Arial" w:hAnsi="Arial" w:cs="Arial"/>
                      <w:sz w:val="18"/>
                      <w:szCs w:val="18"/>
                    </w:rPr>
                    <w:t>Other services</w:t>
                  </w:r>
                </w:p>
              </w:tc>
              <w:tc>
                <w:tcPr>
                  <w:tcW w:w="516" w:type="pct"/>
                  <w:vAlign w:val="bottom"/>
                </w:tcPr>
                <w:p w:rsidR="00AC2131" w:rsidRPr="00A02BDF" w:rsidRDefault="00AC2131" w:rsidP="00AC2131">
                  <w:pPr>
                    <w:pStyle w:val="TableBodyText"/>
                    <w:spacing w:after="0"/>
                    <w:ind w:left="0" w:right="57"/>
                  </w:pPr>
                  <w:r w:rsidRPr="00A02BDF">
                    <w:t>58.8</w:t>
                  </w:r>
                </w:p>
              </w:tc>
              <w:tc>
                <w:tcPr>
                  <w:tcW w:w="516" w:type="pct"/>
                  <w:vAlign w:val="bottom"/>
                </w:tcPr>
                <w:p w:rsidR="00AC2131" w:rsidRPr="00A02BDF" w:rsidRDefault="00AC2131" w:rsidP="00AC2131">
                  <w:pPr>
                    <w:pStyle w:val="TableBodyText"/>
                    <w:spacing w:after="0"/>
                    <w:ind w:left="0" w:right="57"/>
                  </w:pPr>
                  <w:r w:rsidRPr="00A02BDF">
                    <w:t>83.7</w:t>
                  </w:r>
                </w:p>
              </w:tc>
              <w:tc>
                <w:tcPr>
                  <w:tcW w:w="517" w:type="pct"/>
                  <w:vAlign w:val="bottom"/>
                </w:tcPr>
                <w:p w:rsidR="00AC2131" w:rsidRPr="00A02BDF" w:rsidRDefault="00AC2131" w:rsidP="00AC2131">
                  <w:pPr>
                    <w:pStyle w:val="TableBodyText"/>
                    <w:spacing w:after="0"/>
                    <w:ind w:left="0" w:right="57"/>
                  </w:pPr>
                  <w:r w:rsidRPr="00A02BDF">
                    <w:t>64.1</w:t>
                  </w:r>
                </w:p>
              </w:tc>
              <w:tc>
                <w:tcPr>
                  <w:tcW w:w="516" w:type="pct"/>
                  <w:vAlign w:val="bottom"/>
                </w:tcPr>
                <w:p w:rsidR="00AC2131" w:rsidRPr="00A02BDF" w:rsidRDefault="00AC2131" w:rsidP="00AC2131">
                  <w:pPr>
                    <w:pStyle w:val="TableBodyText"/>
                    <w:spacing w:after="0"/>
                    <w:ind w:left="0" w:right="57"/>
                  </w:pPr>
                  <w:r w:rsidRPr="00A02BDF">
                    <w:t>68.0</w:t>
                  </w:r>
                </w:p>
              </w:tc>
              <w:tc>
                <w:tcPr>
                  <w:tcW w:w="516" w:type="pct"/>
                  <w:shd w:val="clear" w:color="auto" w:fill="auto"/>
                  <w:vAlign w:val="bottom"/>
                </w:tcPr>
                <w:p w:rsidR="00AC2131" w:rsidRPr="00A02BDF" w:rsidRDefault="00AC2131" w:rsidP="00AC2131">
                  <w:pPr>
                    <w:pStyle w:val="TableBodyText"/>
                    <w:spacing w:after="0"/>
                    <w:ind w:left="0" w:right="57"/>
                  </w:pPr>
                  <w:r w:rsidRPr="00A02BDF">
                    <w:t>58.5</w:t>
                  </w:r>
                </w:p>
              </w:tc>
              <w:tc>
                <w:tcPr>
                  <w:tcW w:w="516" w:type="pct"/>
                  <w:shd w:val="clear" w:color="auto" w:fill="auto"/>
                  <w:vAlign w:val="bottom"/>
                </w:tcPr>
                <w:p w:rsidR="00AC2131" w:rsidRPr="00A02BDF" w:rsidRDefault="00AC2131" w:rsidP="00AC2131">
                  <w:pPr>
                    <w:pStyle w:val="TableBodyText"/>
                    <w:spacing w:after="0"/>
                    <w:ind w:left="0" w:right="57"/>
                  </w:pPr>
                  <w:r w:rsidRPr="00A02BDF">
                    <w:t>105.5</w:t>
                  </w:r>
                </w:p>
              </w:tc>
            </w:tr>
            <w:tr w:rsidR="00AC2131" w:rsidRPr="002B6A72" w:rsidTr="00AC2131">
              <w:tc>
                <w:tcPr>
                  <w:tcW w:w="1903" w:type="pct"/>
                  <w:shd w:val="clear" w:color="auto" w:fill="auto"/>
                  <w:vAlign w:val="center"/>
                </w:tcPr>
                <w:p w:rsidR="00AC2131" w:rsidRPr="0001641F" w:rsidRDefault="00AC2131">
                  <w:pPr>
                    <w:rPr>
                      <w:rFonts w:ascii="Arial" w:hAnsi="Arial" w:cs="Arial"/>
                      <w:sz w:val="18"/>
                      <w:szCs w:val="18"/>
                    </w:rPr>
                  </w:pPr>
                  <w:r w:rsidRPr="0001641F">
                    <w:rPr>
                      <w:rFonts w:ascii="Arial" w:hAnsi="Arial" w:cs="Arial"/>
                      <w:sz w:val="18"/>
                      <w:szCs w:val="18"/>
                    </w:rPr>
                    <w:t>Unallocated services</w:t>
                  </w:r>
                  <w:r>
                    <w:rPr>
                      <w:rStyle w:val="NoteLabel"/>
                    </w:rPr>
                    <w:t>a</w:t>
                  </w:r>
                </w:p>
              </w:tc>
              <w:tc>
                <w:tcPr>
                  <w:tcW w:w="516" w:type="pct"/>
                  <w:vAlign w:val="bottom"/>
                </w:tcPr>
                <w:p w:rsidR="00AC2131" w:rsidRPr="00A02BDF" w:rsidRDefault="00AC2131" w:rsidP="00AC2131">
                  <w:pPr>
                    <w:pStyle w:val="TableBodyText"/>
                    <w:spacing w:after="0"/>
                    <w:ind w:left="0" w:right="57"/>
                  </w:pPr>
                  <w:r w:rsidRPr="00A02BDF">
                    <w:t>160.2</w:t>
                  </w:r>
                </w:p>
              </w:tc>
              <w:tc>
                <w:tcPr>
                  <w:tcW w:w="516" w:type="pct"/>
                  <w:vAlign w:val="bottom"/>
                </w:tcPr>
                <w:p w:rsidR="00AC2131" w:rsidRPr="00A02BDF" w:rsidRDefault="00AC2131" w:rsidP="00AC2131">
                  <w:pPr>
                    <w:pStyle w:val="TableBodyText"/>
                    <w:spacing w:after="0"/>
                    <w:ind w:left="0" w:right="57"/>
                  </w:pPr>
                  <w:r w:rsidRPr="00A02BDF">
                    <w:t>194.7</w:t>
                  </w:r>
                </w:p>
              </w:tc>
              <w:tc>
                <w:tcPr>
                  <w:tcW w:w="517" w:type="pct"/>
                  <w:vAlign w:val="bottom"/>
                </w:tcPr>
                <w:p w:rsidR="00AC2131" w:rsidRPr="00A02BDF" w:rsidRDefault="00AC2131" w:rsidP="00AC2131">
                  <w:pPr>
                    <w:pStyle w:val="TableBodyText"/>
                    <w:spacing w:after="0"/>
                    <w:ind w:left="0" w:right="57"/>
                  </w:pPr>
                  <w:r w:rsidRPr="00A02BDF">
                    <w:t>169.3</w:t>
                  </w:r>
                </w:p>
              </w:tc>
              <w:tc>
                <w:tcPr>
                  <w:tcW w:w="516" w:type="pct"/>
                  <w:vAlign w:val="bottom"/>
                </w:tcPr>
                <w:p w:rsidR="00AC2131" w:rsidRPr="00A02BDF" w:rsidRDefault="00AC2131" w:rsidP="00AC2131">
                  <w:pPr>
                    <w:pStyle w:val="TableBodyText"/>
                    <w:spacing w:after="0"/>
                    <w:ind w:left="0" w:right="57"/>
                  </w:pPr>
                  <w:r w:rsidRPr="00A02BDF">
                    <w:t>179.0</w:t>
                  </w:r>
                </w:p>
              </w:tc>
              <w:tc>
                <w:tcPr>
                  <w:tcW w:w="516" w:type="pct"/>
                  <w:shd w:val="clear" w:color="auto" w:fill="auto"/>
                  <w:vAlign w:val="bottom"/>
                </w:tcPr>
                <w:p w:rsidR="00AC2131" w:rsidRPr="00A02BDF" w:rsidRDefault="00AC2131" w:rsidP="00AC2131">
                  <w:pPr>
                    <w:pStyle w:val="TableBodyText"/>
                    <w:spacing w:after="0"/>
                    <w:ind w:left="0" w:right="57"/>
                  </w:pPr>
                  <w:r w:rsidRPr="00A02BDF">
                    <w:t>170.8</w:t>
                  </w:r>
                </w:p>
              </w:tc>
              <w:tc>
                <w:tcPr>
                  <w:tcW w:w="516" w:type="pct"/>
                  <w:shd w:val="clear" w:color="auto" w:fill="auto"/>
                  <w:vAlign w:val="bottom"/>
                </w:tcPr>
                <w:p w:rsidR="00AC2131" w:rsidRPr="00A02BDF" w:rsidRDefault="00AC2131" w:rsidP="00AC2131">
                  <w:pPr>
                    <w:pStyle w:val="TableBodyText"/>
                    <w:spacing w:after="0"/>
                    <w:ind w:left="0" w:right="57"/>
                  </w:pPr>
                  <w:r w:rsidRPr="00A02BDF">
                    <w:t>156.8</w:t>
                  </w:r>
                </w:p>
              </w:tc>
            </w:tr>
            <w:tr w:rsidR="00AC2131" w:rsidRPr="00A02BDF" w:rsidTr="00AC2131">
              <w:tc>
                <w:tcPr>
                  <w:tcW w:w="1903" w:type="pct"/>
                  <w:shd w:val="clear" w:color="auto" w:fill="auto"/>
                  <w:vAlign w:val="center"/>
                </w:tcPr>
                <w:p w:rsidR="00AC2131" w:rsidRPr="00A02BDF" w:rsidRDefault="00AC2131" w:rsidP="00AC2131">
                  <w:pPr>
                    <w:rPr>
                      <w:rFonts w:ascii="Arial" w:hAnsi="Arial" w:cs="Arial"/>
                      <w:b/>
                      <w:bCs/>
                      <w:sz w:val="18"/>
                      <w:szCs w:val="18"/>
                    </w:rPr>
                  </w:pPr>
                  <w:r w:rsidRPr="00A02BDF">
                    <w:rPr>
                      <w:rFonts w:ascii="Arial" w:hAnsi="Arial" w:cs="Arial"/>
                      <w:b/>
                      <w:bCs/>
                      <w:sz w:val="18"/>
                      <w:szCs w:val="18"/>
                    </w:rPr>
                    <w:t>Unallocated other</w:t>
                  </w:r>
                  <w:r>
                    <w:rPr>
                      <w:rStyle w:val="NoteLabel"/>
                    </w:rPr>
                    <w:t>a</w:t>
                  </w:r>
                </w:p>
              </w:tc>
              <w:tc>
                <w:tcPr>
                  <w:tcW w:w="516" w:type="pct"/>
                  <w:vAlign w:val="bottom"/>
                </w:tcPr>
                <w:p w:rsidR="00AC2131" w:rsidRPr="00A02BDF" w:rsidRDefault="00AC2131" w:rsidP="00AC2131">
                  <w:pPr>
                    <w:pStyle w:val="TableBodyText"/>
                    <w:spacing w:after="0"/>
                    <w:ind w:left="0" w:right="57"/>
                    <w:rPr>
                      <w:b/>
                    </w:rPr>
                  </w:pPr>
                  <w:r w:rsidRPr="00A02BDF">
                    <w:rPr>
                      <w:b/>
                    </w:rPr>
                    <w:t>849.8</w:t>
                  </w:r>
                </w:p>
              </w:tc>
              <w:tc>
                <w:tcPr>
                  <w:tcW w:w="516" w:type="pct"/>
                  <w:vAlign w:val="bottom"/>
                </w:tcPr>
                <w:p w:rsidR="00AC2131" w:rsidRPr="00A02BDF" w:rsidRDefault="00AC2131" w:rsidP="00AC2131">
                  <w:pPr>
                    <w:pStyle w:val="TableBodyText"/>
                    <w:spacing w:after="0"/>
                    <w:ind w:left="0" w:right="57"/>
                    <w:rPr>
                      <w:b/>
                    </w:rPr>
                  </w:pPr>
                  <w:r w:rsidRPr="00A02BDF">
                    <w:rPr>
                      <w:b/>
                    </w:rPr>
                    <w:t>721.8</w:t>
                  </w:r>
                </w:p>
              </w:tc>
              <w:tc>
                <w:tcPr>
                  <w:tcW w:w="517" w:type="pct"/>
                  <w:vAlign w:val="bottom"/>
                </w:tcPr>
                <w:p w:rsidR="00AC2131" w:rsidRPr="00A02BDF" w:rsidRDefault="00AC2131" w:rsidP="00AC2131">
                  <w:pPr>
                    <w:pStyle w:val="TableBodyText"/>
                    <w:spacing w:after="0"/>
                    <w:ind w:left="0" w:right="57"/>
                    <w:rPr>
                      <w:b/>
                    </w:rPr>
                  </w:pPr>
                  <w:r w:rsidRPr="00A02BDF">
                    <w:rPr>
                      <w:b/>
                    </w:rPr>
                    <w:t>929.1</w:t>
                  </w:r>
                </w:p>
              </w:tc>
              <w:tc>
                <w:tcPr>
                  <w:tcW w:w="516" w:type="pct"/>
                  <w:vAlign w:val="bottom"/>
                </w:tcPr>
                <w:p w:rsidR="00AC2131" w:rsidRPr="00A02BDF" w:rsidRDefault="00AC2131" w:rsidP="00AC2131">
                  <w:pPr>
                    <w:pStyle w:val="TableBodyText"/>
                    <w:spacing w:after="0"/>
                    <w:ind w:left="0" w:right="57"/>
                    <w:rPr>
                      <w:b/>
                    </w:rPr>
                  </w:pPr>
                  <w:r w:rsidRPr="00A02BDF">
                    <w:rPr>
                      <w:b/>
                    </w:rPr>
                    <w:t>962.2</w:t>
                  </w:r>
                </w:p>
              </w:tc>
              <w:tc>
                <w:tcPr>
                  <w:tcW w:w="516" w:type="pct"/>
                  <w:shd w:val="clear" w:color="auto" w:fill="auto"/>
                  <w:vAlign w:val="bottom"/>
                </w:tcPr>
                <w:p w:rsidR="00AC2131" w:rsidRPr="00A02BDF" w:rsidRDefault="00AC2131" w:rsidP="00AC2131">
                  <w:pPr>
                    <w:pStyle w:val="TableBodyText"/>
                    <w:spacing w:after="0"/>
                    <w:ind w:left="0" w:right="57"/>
                    <w:rPr>
                      <w:b/>
                    </w:rPr>
                  </w:pPr>
                  <w:r w:rsidRPr="00A02BDF">
                    <w:rPr>
                      <w:b/>
                    </w:rPr>
                    <w:t>770.3</w:t>
                  </w:r>
                </w:p>
              </w:tc>
              <w:tc>
                <w:tcPr>
                  <w:tcW w:w="516" w:type="pct"/>
                  <w:shd w:val="clear" w:color="auto" w:fill="auto"/>
                  <w:vAlign w:val="bottom"/>
                </w:tcPr>
                <w:p w:rsidR="00AC2131" w:rsidRPr="00A02BDF" w:rsidRDefault="00AC2131" w:rsidP="00AC2131">
                  <w:pPr>
                    <w:pStyle w:val="TableBodyText"/>
                    <w:spacing w:after="0"/>
                    <w:ind w:left="0" w:right="57"/>
                    <w:rPr>
                      <w:b/>
                    </w:rPr>
                  </w:pPr>
                  <w:r w:rsidRPr="00A02BDF">
                    <w:rPr>
                      <w:b/>
                    </w:rPr>
                    <w:t>1211.0</w:t>
                  </w:r>
                </w:p>
              </w:tc>
            </w:tr>
            <w:tr w:rsidR="00AC2131" w:rsidRPr="00A02BDF" w:rsidTr="00AC2131">
              <w:tc>
                <w:tcPr>
                  <w:tcW w:w="1903" w:type="pct"/>
                  <w:tcBorders>
                    <w:bottom w:val="single" w:sz="6" w:space="0" w:color="BFBFBF"/>
                  </w:tcBorders>
                  <w:shd w:val="clear" w:color="auto" w:fill="auto"/>
                  <w:vAlign w:val="center"/>
                </w:tcPr>
                <w:p w:rsidR="00AC2131" w:rsidRPr="00A02BDF" w:rsidRDefault="00AC2131">
                  <w:pPr>
                    <w:rPr>
                      <w:rFonts w:ascii="Arial" w:hAnsi="Arial" w:cs="Arial"/>
                      <w:b/>
                      <w:bCs/>
                      <w:sz w:val="18"/>
                      <w:szCs w:val="18"/>
                    </w:rPr>
                  </w:pPr>
                  <w:r w:rsidRPr="00A02BDF">
                    <w:rPr>
                      <w:rFonts w:ascii="Arial" w:hAnsi="Arial" w:cs="Arial"/>
                      <w:b/>
                      <w:bCs/>
                      <w:sz w:val="18"/>
                      <w:szCs w:val="18"/>
                    </w:rPr>
                    <w:t>Total</w:t>
                  </w:r>
                </w:p>
              </w:tc>
              <w:tc>
                <w:tcPr>
                  <w:tcW w:w="516" w:type="pct"/>
                  <w:tcBorders>
                    <w:bottom w:val="single" w:sz="6" w:space="0" w:color="BFBFBF"/>
                  </w:tcBorders>
                  <w:vAlign w:val="bottom"/>
                </w:tcPr>
                <w:p w:rsidR="00AC2131" w:rsidRPr="00A02BDF" w:rsidRDefault="00AC2131" w:rsidP="00AC2131">
                  <w:pPr>
                    <w:pStyle w:val="TableBodyText"/>
                    <w:spacing w:after="0"/>
                    <w:ind w:left="0" w:right="57"/>
                    <w:rPr>
                      <w:b/>
                    </w:rPr>
                  </w:pPr>
                  <w:r w:rsidRPr="00A02BDF">
                    <w:rPr>
                      <w:b/>
                    </w:rPr>
                    <w:t>8352.4</w:t>
                  </w:r>
                </w:p>
              </w:tc>
              <w:tc>
                <w:tcPr>
                  <w:tcW w:w="516" w:type="pct"/>
                  <w:tcBorders>
                    <w:bottom w:val="single" w:sz="6" w:space="0" w:color="BFBFBF"/>
                  </w:tcBorders>
                  <w:vAlign w:val="bottom"/>
                </w:tcPr>
                <w:p w:rsidR="00AC2131" w:rsidRPr="00A02BDF" w:rsidRDefault="00AC2131" w:rsidP="00AC2131">
                  <w:pPr>
                    <w:pStyle w:val="TableBodyText"/>
                    <w:spacing w:after="0"/>
                    <w:ind w:left="0" w:right="57"/>
                    <w:rPr>
                      <w:b/>
                    </w:rPr>
                  </w:pPr>
                  <w:r w:rsidRPr="00A02BDF">
                    <w:rPr>
                      <w:b/>
                    </w:rPr>
                    <w:t>9808.3</w:t>
                  </w:r>
                </w:p>
              </w:tc>
              <w:tc>
                <w:tcPr>
                  <w:tcW w:w="517" w:type="pct"/>
                  <w:tcBorders>
                    <w:bottom w:val="single" w:sz="6" w:space="0" w:color="BFBFBF"/>
                  </w:tcBorders>
                  <w:vAlign w:val="bottom"/>
                </w:tcPr>
                <w:p w:rsidR="00AC2131" w:rsidRPr="00A02BDF" w:rsidRDefault="00AC2131" w:rsidP="00AC2131">
                  <w:pPr>
                    <w:pStyle w:val="TableBodyText"/>
                    <w:spacing w:after="0"/>
                    <w:ind w:left="0" w:right="57"/>
                    <w:rPr>
                      <w:b/>
                    </w:rPr>
                  </w:pPr>
                  <w:r w:rsidRPr="00A02BDF">
                    <w:rPr>
                      <w:b/>
                    </w:rPr>
                    <w:t>10057.5</w:t>
                  </w:r>
                </w:p>
              </w:tc>
              <w:tc>
                <w:tcPr>
                  <w:tcW w:w="516" w:type="pct"/>
                  <w:tcBorders>
                    <w:bottom w:val="single" w:sz="6" w:space="0" w:color="BFBFBF"/>
                  </w:tcBorders>
                  <w:vAlign w:val="bottom"/>
                </w:tcPr>
                <w:p w:rsidR="00AC2131" w:rsidRPr="00A02BDF" w:rsidRDefault="00AC2131" w:rsidP="00AC2131">
                  <w:pPr>
                    <w:pStyle w:val="TableBodyText"/>
                    <w:spacing w:after="0"/>
                    <w:ind w:left="0" w:right="57"/>
                    <w:rPr>
                      <w:b/>
                    </w:rPr>
                  </w:pPr>
                  <w:r w:rsidRPr="00A02BDF">
                    <w:rPr>
                      <w:b/>
                    </w:rPr>
                    <w:t>10176.0</w:t>
                  </w:r>
                </w:p>
              </w:tc>
              <w:tc>
                <w:tcPr>
                  <w:tcW w:w="516" w:type="pct"/>
                  <w:tcBorders>
                    <w:bottom w:val="single" w:sz="6" w:space="0" w:color="BFBFBF"/>
                  </w:tcBorders>
                  <w:shd w:val="clear" w:color="auto" w:fill="auto"/>
                  <w:vAlign w:val="bottom"/>
                </w:tcPr>
                <w:p w:rsidR="00AC2131" w:rsidRPr="00A02BDF" w:rsidRDefault="00AC2131" w:rsidP="00AC2131">
                  <w:pPr>
                    <w:pStyle w:val="TableBodyText"/>
                    <w:spacing w:after="0"/>
                    <w:ind w:left="0" w:right="57"/>
                    <w:rPr>
                      <w:b/>
                    </w:rPr>
                  </w:pPr>
                  <w:r w:rsidRPr="00A02BDF">
                    <w:rPr>
                      <w:b/>
                    </w:rPr>
                    <w:t>7769.5</w:t>
                  </w:r>
                </w:p>
              </w:tc>
              <w:tc>
                <w:tcPr>
                  <w:tcW w:w="516" w:type="pct"/>
                  <w:tcBorders>
                    <w:bottom w:val="single" w:sz="6" w:space="0" w:color="BFBFBF"/>
                  </w:tcBorders>
                  <w:shd w:val="clear" w:color="auto" w:fill="auto"/>
                  <w:vAlign w:val="bottom"/>
                </w:tcPr>
                <w:p w:rsidR="00AC2131" w:rsidRPr="00A02BDF" w:rsidRDefault="00AC2131" w:rsidP="00AC2131">
                  <w:pPr>
                    <w:pStyle w:val="TableBodyText"/>
                    <w:spacing w:after="0"/>
                    <w:ind w:left="0" w:right="57"/>
                    <w:rPr>
                      <w:b/>
                    </w:rPr>
                  </w:pPr>
                  <w:r w:rsidRPr="00A02BDF">
                    <w:rPr>
                      <w:b/>
                    </w:rPr>
                    <w:t>9088.4</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Note"/>
              <w:rPr>
                <w:i/>
              </w:rPr>
            </w:pPr>
            <w:r>
              <w:rPr>
                <w:rFonts w:cs="Arial"/>
                <w:szCs w:val="18"/>
              </w:rPr>
              <w:t xml:space="preserve">– Nil. </w:t>
            </w:r>
            <w:r w:rsidRPr="00C74A79">
              <w:rPr>
                <w:rFonts w:cs="Arial"/>
                <w:szCs w:val="18"/>
              </w:rPr>
              <w:t>Figures may not add to totals due to rounding.</w:t>
            </w:r>
            <w:r>
              <w:rPr>
                <w:rFonts w:cs="Arial"/>
                <w:szCs w:val="18"/>
              </w:rPr>
              <w:t xml:space="preserve"> </w:t>
            </w:r>
            <w:r w:rsidRPr="008E77FE">
              <w:rPr>
                <w:rStyle w:val="NoteLabel"/>
              </w:rPr>
              <w:t>a</w:t>
            </w:r>
            <w:r>
              <w:rPr>
                <w:rStyle w:val="NoteLabel"/>
              </w:rPr>
              <w:t> </w:t>
            </w:r>
            <w:r w:rsidRPr="0001641F">
              <w:t>Unallocated includes budgetary measures where details of beneficiaries are unknown.</w:t>
            </w:r>
            <w:r>
              <w:t xml:space="preserve"> </w:t>
            </w: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w:t>
            </w:r>
            <w:r>
              <w:rPr>
                <w:b w:val="0"/>
                <w:noProof/>
              </w:rPr>
              <w:t>3</w:t>
            </w:r>
            <w:r>
              <w:tab/>
            </w:r>
            <w:r w:rsidRPr="00BE7B87">
              <w:t xml:space="preserve">Net combined assistance by industry grouping, </w:t>
            </w:r>
            <w:r>
              <w:br/>
            </w:r>
            <w:r w:rsidRPr="00BE7B87">
              <w:t>2008</w:t>
            </w:r>
            <w:r>
              <w:noBreakHyphen/>
            </w:r>
            <w:r w:rsidRPr="00BE7B87">
              <w:t>09 to 2013</w:t>
            </w:r>
            <w:r>
              <w:noBreakHyphen/>
            </w:r>
            <w:r w:rsidRPr="00BE7B87">
              <w:t>14</w:t>
            </w:r>
            <w:r w:rsidRPr="006B64DF">
              <w:rPr>
                <w:rStyle w:val="NoteLabel"/>
                <w:b/>
              </w:rPr>
              <w:t>a</w:t>
            </w:r>
          </w:p>
          <w:p w:rsidR="00AC2131" w:rsidRPr="00784A05" w:rsidRDefault="00AC2131" w:rsidP="00AC2131">
            <w:pPr>
              <w:pStyle w:val="Subtitle"/>
            </w:pPr>
            <w:r w:rsidRPr="00BE7B87">
              <w:t>$ million (nominal)</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82"/>
              <w:gridCol w:w="851"/>
              <w:gridCol w:w="851"/>
              <w:gridCol w:w="851"/>
              <w:gridCol w:w="850"/>
              <w:gridCol w:w="850"/>
              <w:gridCol w:w="852"/>
            </w:tblGrid>
            <w:tr w:rsidR="00AC2131" w:rsidTr="00AC2131">
              <w:tc>
                <w:tcPr>
                  <w:tcW w:w="1992" w:type="pct"/>
                  <w:tcBorders>
                    <w:top w:val="single" w:sz="6" w:space="0" w:color="BFBFBF"/>
                    <w:bottom w:val="single" w:sz="6" w:space="0" w:color="BFBFBF"/>
                  </w:tcBorders>
                  <w:shd w:val="clear" w:color="auto" w:fill="auto"/>
                  <w:tcMar>
                    <w:top w:w="28" w:type="dxa"/>
                  </w:tcMar>
                </w:tcPr>
                <w:p w:rsidR="00AC2131" w:rsidRPr="00BE7B87" w:rsidRDefault="00AC2131" w:rsidP="00AC2131">
                  <w:pPr>
                    <w:pStyle w:val="TableColumnHeading"/>
                    <w:jc w:val="left"/>
                    <w:rPr>
                      <w:szCs w:val="18"/>
                    </w:rPr>
                  </w:pPr>
                  <w:r w:rsidRPr="00BE7B87">
                    <w:rPr>
                      <w:szCs w:val="18"/>
                    </w:rPr>
                    <w:t>Industry grouping</w:t>
                  </w:r>
                </w:p>
              </w:tc>
              <w:tc>
                <w:tcPr>
                  <w:tcW w:w="501" w:type="pct"/>
                  <w:tcBorders>
                    <w:top w:val="single" w:sz="6" w:space="0" w:color="BFBFBF"/>
                    <w:bottom w:val="single" w:sz="6" w:space="0" w:color="BFBFBF"/>
                  </w:tcBorders>
                </w:tcPr>
                <w:p w:rsidR="00AC2131" w:rsidRPr="00BE7B87" w:rsidRDefault="00AC2131" w:rsidP="00AC2131">
                  <w:pPr>
                    <w:pStyle w:val="TableColumnHeading"/>
                    <w:ind w:left="0" w:right="57"/>
                    <w:rPr>
                      <w:szCs w:val="18"/>
                    </w:rPr>
                  </w:pPr>
                  <w:r w:rsidRPr="00BE7B87">
                    <w:rPr>
                      <w:szCs w:val="18"/>
                    </w:rPr>
                    <w:t>2008-09</w:t>
                  </w:r>
                </w:p>
              </w:tc>
              <w:tc>
                <w:tcPr>
                  <w:tcW w:w="501" w:type="pct"/>
                  <w:tcBorders>
                    <w:top w:val="single" w:sz="6" w:space="0" w:color="BFBFBF"/>
                    <w:bottom w:val="single" w:sz="6" w:space="0" w:color="BFBFBF"/>
                  </w:tcBorders>
                </w:tcPr>
                <w:p w:rsidR="00AC2131" w:rsidRPr="00BE7B87" w:rsidRDefault="00AC2131" w:rsidP="00AC2131">
                  <w:pPr>
                    <w:pStyle w:val="TableColumnHeading"/>
                    <w:ind w:left="0" w:right="57"/>
                    <w:rPr>
                      <w:szCs w:val="18"/>
                    </w:rPr>
                  </w:pPr>
                  <w:r w:rsidRPr="00BE7B87">
                    <w:rPr>
                      <w:szCs w:val="18"/>
                    </w:rPr>
                    <w:t>2009-10</w:t>
                  </w:r>
                </w:p>
              </w:tc>
              <w:tc>
                <w:tcPr>
                  <w:tcW w:w="501" w:type="pct"/>
                  <w:tcBorders>
                    <w:top w:val="single" w:sz="6" w:space="0" w:color="BFBFBF"/>
                    <w:bottom w:val="single" w:sz="6" w:space="0" w:color="BFBFBF"/>
                  </w:tcBorders>
                </w:tcPr>
                <w:p w:rsidR="00AC2131" w:rsidRPr="00BE7B87" w:rsidRDefault="00AC2131" w:rsidP="00AC2131">
                  <w:pPr>
                    <w:pStyle w:val="TableColumnHeading"/>
                    <w:ind w:left="0" w:right="57"/>
                    <w:rPr>
                      <w:szCs w:val="18"/>
                    </w:rPr>
                  </w:pPr>
                  <w:r w:rsidRPr="00BE7B87">
                    <w:rPr>
                      <w:szCs w:val="18"/>
                    </w:rPr>
                    <w:t>2010-11</w:t>
                  </w:r>
                </w:p>
              </w:tc>
              <w:tc>
                <w:tcPr>
                  <w:tcW w:w="501" w:type="pct"/>
                  <w:tcBorders>
                    <w:top w:val="single" w:sz="6" w:space="0" w:color="BFBFBF"/>
                    <w:bottom w:val="single" w:sz="6" w:space="0" w:color="BFBFBF"/>
                  </w:tcBorders>
                </w:tcPr>
                <w:p w:rsidR="00AC2131" w:rsidRPr="00BE7B87" w:rsidRDefault="00AC2131" w:rsidP="00AC2131">
                  <w:pPr>
                    <w:pStyle w:val="TableColumnHeading"/>
                    <w:ind w:left="0" w:right="57"/>
                    <w:rPr>
                      <w:szCs w:val="18"/>
                    </w:rPr>
                  </w:pPr>
                  <w:r w:rsidRPr="00BE7B87">
                    <w:rPr>
                      <w:szCs w:val="18"/>
                    </w:rPr>
                    <w:t>2011-12</w:t>
                  </w:r>
                </w:p>
              </w:tc>
              <w:tc>
                <w:tcPr>
                  <w:tcW w:w="501" w:type="pct"/>
                  <w:tcBorders>
                    <w:top w:val="single" w:sz="6" w:space="0" w:color="BFBFBF"/>
                    <w:bottom w:val="single" w:sz="6" w:space="0" w:color="BFBFBF"/>
                  </w:tcBorders>
                  <w:shd w:val="clear" w:color="auto" w:fill="auto"/>
                  <w:tcMar>
                    <w:top w:w="28" w:type="dxa"/>
                  </w:tcMar>
                </w:tcPr>
                <w:p w:rsidR="00AC2131" w:rsidRPr="00BE7B87" w:rsidRDefault="00AC2131" w:rsidP="00AC2131">
                  <w:pPr>
                    <w:pStyle w:val="TableColumnHeading"/>
                    <w:ind w:left="0" w:right="57"/>
                    <w:rPr>
                      <w:szCs w:val="18"/>
                    </w:rPr>
                  </w:pPr>
                  <w:r w:rsidRPr="00BE7B87">
                    <w:rPr>
                      <w:szCs w:val="18"/>
                    </w:rPr>
                    <w:t>2012-13</w:t>
                  </w:r>
                </w:p>
              </w:tc>
              <w:tc>
                <w:tcPr>
                  <w:tcW w:w="502" w:type="pct"/>
                  <w:tcBorders>
                    <w:top w:val="single" w:sz="6" w:space="0" w:color="BFBFBF"/>
                    <w:bottom w:val="single" w:sz="6" w:space="0" w:color="BFBFBF"/>
                  </w:tcBorders>
                  <w:shd w:val="clear" w:color="auto" w:fill="auto"/>
                  <w:tcMar>
                    <w:top w:w="28" w:type="dxa"/>
                  </w:tcMar>
                </w:tcPr>
                <w:p w:rsidR="00AC2131" w:rsidRPr="00BE7B87" w:rsidRDefault="00AC2131" w:rsidP="00AC2131">
                  <w:pPr>
                    <w:pStyle w:val="TableColumnHeading"/>
                    <w:ind w:left="0" w:right="57"/>
                    <w:rPr>
                      <w:szCs w:val="18"/>
                    </w:rPr>
                  </w:pPr>
                  <w:r w:rsidRPr="00BE7B87">
                    <w:rPr>
                      <w:szCs w:val="18"/>
                    </w:rPr>
                    <w:t>2013-14</w:t>
                  </w:r>
                </w:p>
              </w:tc>
            </w:tr>
            <w:tr w:rsidR="00AC2131" w:rsidRPr="00013DC6" w:rsidTr="00AC2131">
              <w:tc>
                <w:tcPr>
                  <w:tcW w:w="1992" w:type="pct"/>
                  <w:tcBorders>
                    <w:top w:val="single" w:sz="6" w:space="0" w:color="BFBFBF"/>
                  </w:tcBorders>
                  <w:vAlign w:val="bottom"/>
                </w:tcPr>
                <w:p w:rsidR="00AC2131" w:rsidRPr="00013DC6" w:rsidRDefault="00AC2131">
                  <w:pPr>
                    <w:rPr>
                      <w:rFonts w:ascii="Arial" w:hAnsi="Arial" w:cs="Arial"/>
                      <w:b/>
                      <w:bCs/>
                      <w:sz w:val="18"/>
                      <w:szCs w:val="18"/>
                    </w:rPr>
                  </w:pPr>
                  <w:r w:rsidRPr="00013DC6">
                    <w:rPr>
                      <w:rFonts w:ascii="Arial" w:hAnsi="Arial" w:cs="Arial"/>
                      <w:b/>
                      <w:bCs/>
                      <w:sz w:val="18"/>
                      <w:szCs w:val="18"/>
                    </w:rPr>
                    <w:t>Primary production</w:t>
                  </w:r>
                </w:p>
              </w:tc>
              <w:tc>
                <w:tcPr>
                  <w:tcW w:w="501" w:type="pct"/>
                  <w:tcBorders>
                    <w:top w:val="single" w:sz="6" w:space="0" w:color="BFBFBF"/>
                  </w:tcBorders>
                  <w:vAlign w:val="bottom"/>
                </w:tcPr>
                <w:p w:rsidR="00AC2131" w:rsidRPr="00013DC6" w:rsidRDefault="00AC2131" w:rsidP="00AC2131">
                  <w:pPr>
                    <w:pStyle w:val="TableBodyText"/>
                    <w:spacing w:after="0"/>
                    <w:ind w:left="0" w:right="57"/>
                    <w:rPr>
                      <w:b/>
                    </w:rPr>
                  </w:pPr>
                  <w:r w:rsidRPr="00013DC6">
                    <w:rPr>
                      <w:b/>
                    </w:rPr>
                    <w:t>1960.4</w:t>
                  </w:r>
                </w:p>
              </w:tc>
              <w:tc>
                <w:tcPr>
                  <w:tcW w:w="501" w:type="pct"/>
                  <w:tcBorders>
                    <w:top w:val="single" w:sz="6" w:space="0" w:color="BFBFBF"/>
                  </w:tcBorders>
                  <w:vAlign w:val="bottom"/>
                </w:tcPr>
                <w:p w:rsidR="00AC2131" w:rsidRPr="00013DC6" w:rsidRDefault="00AC2131" w:rsidP="00AC2131">
                  <w:pPr>
                    <w:pStyle w:val="TableBodyText"/>
                    <w:spacing w:after="0"/>
                    <w:ind w:left="0" w:right="57"/>
                    <w:rPr>
                      <w:b/>
                    </w:rPr>
                  </w:pPr>
                  <w:r w:rsidRPr="00013DC6">
                    <w:rPr>
                      <w:b/>
                    </w:rPr>
                    <w:t>1979.9</w:t>
                  </w:r>
                </w:p>
              </w:tc>
              <w:tc>
                <w:tcPr>
                  <w:tcW w:w="501" w:type="pct"/>
                  <w:tcBorders>
                    <w:top w:val="single" w:sz="6" w:space="0" w:color="BFBFBF"/>
                  </w:tcBorders>
                  <w:vAlign w:val="bottom"/>
                </w:tcPr>
                <w:p w:rsidR="00AC2131" w:rsidRPr="00013DC6" w:rsidRDefault="00AC2131" w:rsidP="00AC2131">
                  <w:pPr>
                    <w:pStyle w:val="TableBodyText"/>
                    <w:spacing w:after="0"/>
                    <w:ind w:left="0" w:right="57"/>
                    <w:rPr>
                      <w:b/>
                    </w:rPr>
                  </w:pPr>
                  <w:r w:rsidRPr="00013DC6">
                    <w:rPr>
                      <w:b/>
                    </w:rPr>
                    <w:t>1664.2</w:t>
                  </w:r>
                </w:p>
              </w:tc>
              <w:tc>
                <w:tcPr>
                  <w:tcW w:w="501" w:type="pct"/>
                  <w:tcBorders>
                    <w:top w:val="single" w:sz="6" w:space="0" w:color="BFBFBF"/>
                  </w:tcBorders>
                  <w:vAlign w:val="bottom"/>
                </w:tcPr>
                <w:p w:rsidR="00AC2131" w:rsidRPr="00013DC6" w:rsidRDefault="00AC2131" w:rsidP="00AC2131">
                  <w:pPr>
                    <w:pStyle w:val="TableBodyText"/>
                    <w:spacing w:after="0"/>
                    <w:ind w:left="0" w:right="57"/>
                    <w:rPr>
                      <w:b/>
                    </w:rPr>
                  </w:pPr>
                  <w:r w:rsidRPr="00013DC6">
                    <w:rPr>
                      <w:b/>
                    </w:rPr>
                    <w:t>1677.9</w:t>
                  </w:r>
                </w:p>
              </w:tc>
              <w:tc>
                <w:tcPr>
                  <w:tcW w:w="501" w:type="pct"/>
                  <w:tcBorders>
                    <w:top w:val="single" w:sz="6" w:space="0" w:color="BFBFBF"/>
                  </w:tcBorders>
                  <w:vAlign w:val="bottom"/>
                </w:tcPr>
                <w:p w:rsidR="00AC2131" w:rsidRPr="00013DC6" w:rsidRDefault="00AC2131" w:rsidP="00AC2131">
                  <w:pPr>
                    <w:pStyle w:val="TableBodyText"/>
                    <w:spacing w:after="0"/>
                    <w:ind w:left="0" w:right="57"/>
                    <w:rPr>
                      <w:b/>
                    </w:rPr>
                  </w:pPr>
                  <w:r w:rsidRPr="00013DC6">
                    <w:rPr>
                      <w:b/>
                    </w:rPr>
                    <w:t>1377.1</w:t>
                  </w:r>
                </w:p>
              </w:tc>
              <w:tc>
                <w:tcPr>
                  <w:tcW w:w="502" w:type="pct"/>
                  <w:tcBorders>
                    <w:top w:val="single" w:sz="6" w:space="0" w:color="BFBFBF"/>
                  </w:tcBorders>
                  <w:vAlign w:val="bottom"/>
                </w:tcPr>
                <w:p w:rsidR="00AC2131" w:rsidRPr="00013DC6" w:rsidRDefault="00AC2131" w:rsidP="00AC2131">
                  <w:pPr>
                    <w:pStyle w:val="TableBodyText"/>
                    <w:spacing w:after="0"/>
                    <w:ind w:left="0" w:right="57"/>
                    <w:rPr>
                      <w:b/>
                    </w:rPr>
                  </w:pPr>
                  <w:r w:rsidRPr="00013DC6">
                    <w:rPr>
                      <w:b/>
                    </w:rPr>
                    <w:t>1524.0</w:t>
                  </w:r>
                </w:p>
              </w:tc>
            </w:tr>
            <w:tr w:rsidR="00AC2131" w:rsidTr="00AC2131">
              <w:tc>
                <w:tcPr>
                  <w:tcW w:w="1992" w:type="pct"/>
                  <w:vAlign w:val="center"/>
                </w:tcPr>
                <w:p w:rsidR="00AC2131" w:rsidRPr="00BE7B87" w:rsidRDefault="00AC2131">
                  <w:pPr>
                    <w:rPr>
                      <w:rFonts w:ascii="Arial" w:hAnsi="Arial" w:cs="Arial"/>
                      <w:sz w:val="18"/>
                      <w:szCs w:val="18"/>
                    </w:rPr>
                  </w:pPr>
                  <w:r w:rsidRPr="00BE7B87">
                    <w:rPr>
                      <w:rFonts w:ascii="Arial" w:hAnsi="Arial" w:cs="Arial"/>
                      <w:sz w:val="18"/>
                      <w:szCs w:val="18"/>
                    </w:rPr>
                    <w:t>Horticulture and fruit growing</w:t>
                  </w:r>
                </w:p>
              </w:tc>
              <w:tc>
                <w:tcPr>
                  <w:tcW w:w="501" w:type="pct"/>
                  <w:vAlign w:val="bottom"/>
                </w:tcPr>
                <w:p w:rsidR="00AC2131" w:rsidRPr="00013DC6" w:rsidRDefault="00AC2131" w:rsidP="00AC2131">
                  <w:pPr>
                    <w:pStyle w:val="TableBodyText"/>
                    <w:spacing w:after="0"/>
                    <w:ind w:left="0" w:right="57"/>
                  </w:pPr>
                  <w:r w:rsidRPr="00013DC6">
                    <w:t>321.1</w:t>
                  </w:r>
                </w:p>
              </w:tc>
              <w:tc>
                <w:tcPr>
                  <w:tcW w:w="501" w:type="pct"/>
                  <w:vAlign w:val="bottom"/>
                </w:tcPr>
                <w:p w:rsidR="00AC2131" w:rsidRPr="00013DC6" w:rsidRDefault="00AC2131" w:rsidP="00AC2131">
                  <w:pPr>
                    <w:pStyle w:val="TableBodyText"/>
                    <w:spacing w:after="0"/>
                    <w:ind w:left="0" w:right="57"/>
                  </w:pPr>
                  <w:r w:rsidRPr="00013DC6">
                    <w:t>331.2</w:t>
                  </w:r>
                </w:p>
              </w:tc>
              <w:tc>
                <w:tcPr>
                  <w:tcW w:w="501" w:type="pct"/>
                  <w:vAlign w:val="bottom"/>
                </w:tcPr>
                <w:p w:rsidR="00AC2131" w:rsidRPr="00013DC6" w:rsidRDefault="00AC2131" w:rsidP="00AC2131">
                  <w:pPr>
                    <w:pStyle w:val="TableBodyText"/>
                    <w:spacing w:after="0"/>
                    <w:ind w:left="0" w:right="57"/>
                  </w:pPr>
                  <w:r w:rsidRPr="00013DC6">
                    <w:t>306.2</w:t>
                  </w:r>
                </w:p>
              </w:tc>
              <w:tc>
                <w:tcPr>
                  <w:tcW w:w="501" w:type="pct"/>
                  <w:vAlign w:val="bottom"/>
                </w:tcPr>
                <w:p w:rsidR="00AC2131" w:rsidRPr="00013DC6" w:rsidRDefault="00AC2131" w:rsidP="00AC2131">
                  <w:pPr>
                    <w:pStyle w:val="TableBodyText"/>
                    <w:spacing w:after="0"/>
                    <w:ind w:left="0" w:right="57"/>
                  </w:pPr>
                  <w:r w:rsidRPr="00013DC6">
                    <w:t>275.5</w:t>
                  </w:r>
                </w:p>
              </w:tc>
              <w:tc>
                <w:tcPr>
                  <w:tcW w:w="501" w:type="pct"/>
                  <w:vAlign w:val="bottom"/>
                </w:tcPr>
                <w:p w:rsidR="00AC2131" w:rsidRPr="00013DC6" w:rsidRDefault="00AC2131" w:rsidP="00AC2131">
                  <w:pPr>
                    <w:pStyle w:val="TableBodyText"/>
                    <w:spacing w:after="0"/>
                    <w:ind w:left="0" w:right="57"/>
                  </w:pPr>
                  <w:r w:rsidRPr="00013DC6">
                    <w:t>301.5</w:t>
                  </w:r>
                </w:p>
              </w:tc>
              <w:tc>
                <w:tcPr>
                  <w:tcW w:w="502" w:type="pct"/>
                  <w:vAlign w:val="bottom"/>
                </w:tcPr>
                <w:p w:rsidR="00AC2131" w:rsidRPr="00013DC6" w:rsidRDefault="00AC2131" w:rsidP="00AC2131">
                  <w:pPr>
                    <w:pStyle w:val="TableBodyText"/>
                    <w:spacing w:after="0"/>
                    <w:ind w:left="0" w:right="57"/>
                  </w:pPr>
                  <w:r w:rsidRPr="00013DC6">
                    <w:t>369.7</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Sheep, beef cattle and grain farming</w:t>
                  </w:r>
                </w:p>
              </w:tc>
              <w:tc>
                <w:tcPr>
                  <w:tcW w:w="501" w:type="pct"/>
                  <w:vAlign w:val="bottom"/>
                </w:tcPr>
                <w:p w:rsidR="00AC2131" w:rsidRPr="00013DC6" w:rsidRDefault="00AC2131" w:rsidP="00AC2131">
                  <w:pPr>
                    <w:pStyle w:val="TableBodyText"/>
                    <w:spacing w:after="0"/>
                    <w:ind w:left="0" w:right="57"/>
                  </w:pPr>
                  <w:r w:rsidRPr="00013DC6">
                    <w:t>1042.8</w:t>
                  </w:r>
                </w:p>
              </w:tc>
              <w:tc>
                <w:tcPr>
                  <w:tcW w:w="501" w:type="pct"/>
                  <w:vAlign w:val="bottom"/>
                </w:tcPr>
                <w:p w:rsidR="00AC2131" w:rsidRPr="00013DC6" w:rsidRDefault="00AC2131" w:rsidP="00AC2131">
                  <w:pPr>
                    <w:pStyle w:val="TableBodyText"/>
                    <w:spacing w:after="0"/>
                    <w:ind w:left="0" w:right="57"/>
                  </w:pPr>
                  <w:r w:rsidRPr="00013DC6">
                    <w:t>925.8</w:t>
                  </w:r>
                </w:p>
              </w:tc>
              <w:tc>
                <w:tcPr>
                  <w:tcW w:w="501" w:type="pct"/>
                  <w:vAlign w:val="bottom"/>
                </w:tcPr>
                <w:p w:rsidR="00AC2131" w:rsidRPr="00013DC6" w:rsidRDefault="00AC2131" w:rsidP="00AC2131">
                  <w:pPr>
                    <w:pStyle w:val="TableBodyText"/>
                    <w:spacing w:after="0"/>
                    <w:ind w:left="0" w:right="57"/>
                  </w:pPr>
                  <w:r w:rsidRPr="00013DC6">
                    <w:t>745.4</w:t>
                  </w:r>
                </w:p>
              </w:tc>
              <w:tc>
                <w:tcPr>
                  <w:tcW w:w="501" w:type="pct"/>
                  <w:vAlign w:val="bottom"/>
                </w:tcPr>
                <w:p w:rsidR="00AC2131" w:rsidRPr="00013DC6" w:rsidRDefault="00AC2131" w:rsidP="00AC2131">
                  <w:pPr>
                    <w:pStyle w:val="TableBodyText"/>
                    <w:spacing w:after="0"/>
                    <w:ind w:left="0" w:right="57"/>
                  </w:pPr>
                  <w:r w:rsidRPr="00013DC6">
                    <w:t>643.0</w:t>
                  </w:r>
                </w:p>
              </w:tc>
              <w:tc>
                <w:tcPr>
                  <w:tcW w:w="501" w:type="pct"/>
                  <w:shd w:val="clear" w:color="auto" w:fill="auto"/>
                  <w:vAlign w:val="bottom"/>
                </w:tcPr>
                <w:p w:rsidR="00AC2131" w:rsidRPr="00013DC6" w:rsidRDefault="00AC2131" w:rsidP="00AC2131">
                  <w:pPr>
                    <w:pStyle w:val="TableBodyText"/>
                    <w:spacing w:after="0"/>
                    <w:ind w:left="0" w:right="57"/>
                  </w:pPr>
                  <w:r w:rsidRPr="00013DC6">
                    <w:t>506.8</w:t>
                  </w:r>
                </w:p>
              </w:tc>
              <w:tc>
                <w:tcPr>
                  <w:tcW w:w="502" w:type="pct"/>
                  <w:shd w:val="clear" w:color="auto" w:fill="auto"/>
                  <w:vAlign w:val="bottom"/>
                </w:tcPr>
                <w:p w:rsidR="00AC2131" w:rsidRPr="00013DC6" w:rsidRDefault="00AC2131" w:rsidP="00AC2131">
                  <w:pPr>
                    <w:pStyle w:val="TableBodyText"/>
                    <w:spacing w:after="0"/>
                    <w:ind w:left="0" w:right="57"/>
                  </w:pPr>
                  <w:r w:rsidRPr="00013DC6">
                    <w:t>593.3</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Other crop growing</w:t>
                  </w:r>
                </w:p>
              </w:tc>
              <w:tc>
                <w:tcPr>
                  <w:tcW w:w="501" w:type="pct"/>
                  <w:vAlign w:val="bottom"/>
                </w:tcPr>
                <w:p w:rsidR="00AC2131" w:rsidRPr="00013DC6" w:rsidRDefault="00AC2131" w:rsidP="00AC2131">
                  <w:pPr>
                    <w:pStyle w:val="TableBodyText"/>
                    <w:spacing w:after="0"/>
                    <w:ind w:left="0" w:right="57"/>
                  </w:pPr>
                  <w:r w:rsidRPr="00013DC6">
                    <w:t>64.3</w:t>
                  </w:r>
                </w:p>
              </w:tc>
              <w:tc>
                <w:tcPr>
                  <w:tcW w:w="501" w:type="pct"/>
                  <w:vAlign w:val="bottom"/>
                </w:tcPr>
                <w:p w:rsidR="00AC2131" w:rsidRPr="00013DC6" w:rsidRDefault="00AC2131" w:rsidP="00AC2131">
                  <w:pPr>
                    <w:pStyle w:val="TableBodyText"/>
                    <w:spacing w:after="0"/>
                    <w:ind w:left="0" w:right="57"/>
                  </w:pPr>
                  <w:r w:rsidRPr="00013DC6">
                    <w:t>92.9</w:t>
                  </w:r>
                </w:p>
              </w:tc>
              <w:tc>
                <w:tcPr>
                  <w:tcW w:w="501" w:type="pct"/>
                  <w:vAlign w:val="bottom"/>
                </w:tcPr>
                <w:p w:rsidR="00AC2131" w:rsidRPr="00013DC6" w:rsidRDefault="00AC2131" w:rsidP="00AC2131">
                  <w:pPr>
                    <w:pStyle w:val="TableBodyText"/>
                    <w:spacing w:after="0"/>
                    <w:ind w:left="0" w:right="57"/>
                  </w:pPr>
                  <w:r w:rsidRPr="00013DC6">
                    <w:t>44.9</w:t>
                  </w:r>
                </w:p>
              </w:tc>
              <w:tc>
                <w:tcPr>
                  <w:tcW w:w="501" w:type="pct"/>
                  <w:vAlign w:val="bottom"/>
                </w:tcPr>
                <w:p w:rsidR="00AC2131" w:rsidRPr="00013DC6" w:rsidRDefault="00AC2131" w:rsidP="00AC2131">
                  <w:pPr>
                    <w:pStyle w:val="TableBodyText"/>
                    <w:spacing w:after="0"/>
                    <w:ind w:left="0" w:right="57"/>
                  </w:pPr>
                  <w:r w:rsidRPr="00013DC6">
                    <w:t>90.3</w:t>
                  </w:r>
                </w:p>
              </w:tc>
              <w:tc>
                <w:tcPr>
                  <w:tcW w:w="501" w:type="pct"/>
                  <w:shd w:val="clear" w:color="auto" w:fill="auto"/>
                  <w:vAlign w:val="bottom"/>
                </w:tcPr>
                <w:p w:rsidR="00AC2131" w:rsidRPr="00013DC6" w:rsidRDefault="00AC2131" w:rsidP="00AC2131">
                  <w:pPr>
                    <w:pStyle w:val="TableBodyText"/>
                    <w:spacing w:after="0"/>
                    <w:ind w:left="0" w:right="57"/>
                  </w:pPr>
                  <w:r w:rsidRPr="00013DC6">
                    <w:t>85.3</w:t>
                  </w:r>
                </w:p>
              </w:tc>
              <w:tc>
                <w:tcPr>
                  <w:tcW w:w="502" w:type="pct"/>
                  <w:shd w:val="clear" w:color="auto" w:fill="auto"/>
                  <w:vAlign w:val="bottom"/>
                </w:tcPr>
                <w:p w:rsidR="00AC2131" w:rsidRPr="00013DC6" w:rsidRDefault="00AC2131" w:rsidP="00AC2131">
                  <w:pPr>
                    <w:pStyle w:val="TableBodyText"/>
                    <w:spacing w:after="0"/>
                    <w:ind w:left="0" w:right="57"/>
                  </w:pPr>
                  <w:r w:rsidRPr="00013DC6">
                    <w:t>79.5</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Dairy cattle farming</w:t>
                  </w:r>
                </w:p>
              </w:tc>
              <w:tc>
                <w:tcPr>
                  <w:tcW w:w="501" w:type="pct"/>
                  <w:vAlign w:val="bottom"/>
                </w:tcPr>
                <w:p w:rsidR="00AC2131" w:rsidRPr="00013DC6" w:rsidRDefault="00AC2131" w:rsidP="00AC2131">
                  <w:pPr>
                    <w:pStyle w:val="TableBodyText"/>
                    <w:spacing w:after="0"/>
                    <w:ind w:left="0" w:right="57"/>
                  </w:pPr>
                  <w:r w:rsidRPr="00013DC6">
                    <w:t>141.9</w:t>
                  </w:r>
                </w:p>
              </w:tc>
              <w:tc>
                <w:tcPr>
                  <w:tcW w:w="501" w:type="pct"/>
                  <w:vAlign w:val="bottom"/>
                </w:tcPr>
                <w:p w:rsidR="00AC2131" w:rsidRPr="00013DC6" w:rsidRDefault="00AC2131" w:rsidP="00AC2131">
                  <w:pPr>
                    <w:pStyle w:val="TableBodyText"/>
                    <w:spacing w:after="0"/>
                    <w:ind w:left="0" w:right="57"/>
                  </w:pPr>
                  <w:r w:rsidRPr="00013DC6">
                    <w:t>132.1</w:t>
                  </w:r>
                </w:p>
              </w:tc>
              <w:tc>
                <w:tcPr>
                  <w:tcW w:w="501" w:type="pct"/>
                  <w:vAlign w:val="bottom"/>
                </w:tcPr>
                <w:p w:rsidR="00AC2131" w:rsidRPr="00013DC6" w:rsidRDefault="00AC2131" w:rsidP="00AC2131">
                  <w:pPr>
                    <w:pStyle w:val="TableBodyText"/>
                    <w:spacing w:after="0"/>
                    <w:ind w:left="0" w:right="57"/>
                  </w:pPr>
                  <w:r w:rsidRPr="00013DC6">
                    <w:t>94.6</w:t>
                  </w:r>
                </w:p>
              </w:tc>
              <w:tc>
                <w:tcPr>
                  <w:tcW w:w="501" w:type="pct"/>
                  <w:vAlign w:val="bottom"/>
                </w:tcPr>
                <w:p w:rsidR="00AC2131" w:rsidRPr="00013DC6" w:rsidRDefault="00AC2131" w:rsidP="00AC2131">
                  <w:pPr>
                    <w:pStyle w:val="TableBodyText"/>
                    <w:spacing w:after="0"/>
                    <w:ind w:left="0" w:right="57"/>
                  </w:pPr>
                  <w:r w:rsidRPr="00013DC6">
                    <w:t>76.1</w:t>
                  </w:r>
                </w:p>
              </w:tc>
              <w:tc>
                <w:tcPr>
                  <w:tcW w:w="501" w:type="pct"/>
                  <w:shd w:val="clear" w:color="auto" w:fill="auto"/>
                  <w:vAlign w:val="bottom"/>
                </w:tcPr>
                <w:p w:rsidR="00AC2131" w:rsidRPr="00013DC6" w:rsidRDefault="00AC2131" w:rsidP="00AC2131">
                  <w:pPr>
                    <w:pStyle w:val="TableBodyText"/>
                    <w:spacing w:after="0"/>
                    <w:ind w:left="0" w:right="57"/>
                  </w:pPr>
                  <w:r w:rsidRPr="00013DC6">
                    <w:t>48.7</w:t>
                  </w:r>
                </w:p>
              </w:tc>
              <w:tc>
                <w:tcPr>
                  <w:tcW w:w="502" w:type="pct"/>
                  <w:shd w:val="clear" w:color="auto" w:fill="auto"/>
                  <w:vAlign w:val="bottom"/>
                </w:tcPr>
                <w:p w:rsidR="00AC2131" w:rsidRPr="00013DC6" w:rsidRDefault="00AC2131" w:rsidP="00AC2131">
                  <w:pPr>
                    <w:pStyle w:val="TableBodyText"/>
                    <w:spacing w:after="0"/>
                    <w:ind w:left="0" w:right="57"/>
                  </w:pPr>
                  <w:r w:rsidRPr="00013DC6">
                    <w:t>61.0</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Other livestock farming</w:t>
                  </w:r>
                </w:p>
              </w:tc>
              <w:tc>
                <w:tcPr>
                  <w:tcW w:w="501" w:type="pct"/>
                  <w:vAlign w:val="bottom"/>
                </w:tcPr>
                <w:p w:rsidR="00AC2131" w:rsidRPr="00013DC6" w:rsidRDefault="00AC2131" w:rsidP="00AC2131">
                  <w:pPr>
                    <w:pStyle w:val="TableBodyText"/>
                    <w:spacing w:after="0"/>
                    <w:ind w:left="0" w:right="57"/>
                  </w:pPr>
                  <w:r w:rsidRPr="00013DC6">
                    <w:t>43.7</w:t>
                  </w:r>
                </w:p>
              </w:tc>
              <w:tc>
                <w:tcPr>
                  <w:tcW w:w="501" w:type="pct"/>
                  <w:vAlign w:val="bottom"/>
                </w:tcPr>
                <w:p w:rsidR="00AC2131" w:rsidRPr="00013DC6" w:rsidRDefault="00AC2131" w:rsidP="00AC2131">
                  <w:pPr>
                    <w:pStyle w:val="TableBodyText"/>
                    <w:spacing w:after="0"/>
                    <w:ind w:left="0" w:right="57"/>
                  </w:pPr>
                  <w:r w:rsidRPr="00013DC6">
                    <w:t>44.0</w:t>
                  </w:r>
                </w:p>
              </w:tc>
              <w:tc>
                <w:tcPr>
                  <w:tcW w:w="501" w:type="pct"/>
                  <w:vAlign w:val="bottom"/>
                </w:tcPr>
                <w:p w:rsidR="00AC2131" w:rsidRPr="00013DC6" w:rsidRDefault="00AC2131" w:rsidP="00AC2131">
                  <w:pPr>
                    <w:pStyle w:val="TableBodyText"/>
                    <w:spacing w:after="0"/>
                    <w:ind w:left="0" w:right="57"/>
                  </w:pPr>
                  <w:r w:rsidRPr="00013DC6">
                    <w:t>40.0</w:t>
                  </w:r>
                </w:p>
              </w:tc>
              <w:tc>
                <w:tcPr>
                  <w:tcW w:w="501" w:type="pct"/>
                  <w:vAlign w:val="bottom"/>
                </w:tcPr>
                <w:p w:rsidR="00AC2131" w:rsidRPr="00013DC6" w:rsidRDefault="00AC2131" w:rsidP="00AC2131">
                  <w:pPr>
                    <w:pStyle w:val="TableBodyText"/>
                    <w:spacing w:after="0"/>
                    <w:ind w:left="0" w:right="57"/>
                  </w:pPr>
                  <w:r w:rsidRPr="00013DC6">
                    <w:t>62.0</w:t>
                  </w:r>
                </w:p>
              </w:tc>
              <w:tc>
                <w:tcPr>
                  <w:tcW w:w="501" w:type="pct"/>
                  <w:shd w:val="clear" w:color="auto" w:fill="auto"/>
                  <w:vAlign w:val="bottom"/>
                </w:tcPr>
                <w:p w:rsidR="00AC2131" w:rsidRPr="00013DC6" w:rsidRDefault="00AC2131" w:rsidP="00AC2131">
                  <w:pPr>
                    <w:pStyle w:val="TableBodyText"/>
                    <w:spacing w:after="0"/>
                    <w:ind w:left="0" w:right="57"/>
                  </w:pPr>
                  <w:r w:rsidRPr="00013DC6">
                    <w:t>37.4</w:t>
                  </w:r>
                </w:p>
              </w:tc>
              <w:tc>
                <w:tcPr>
                  <w:tcW w:w="502" w:type="pct"/>
                  <w:shd w:val="clear" w:color="auto" w:fill="auto"/>
                  <w:vAlign w:val="bottom"/>
                </w:tcPr>
                <w:p w:rsidR="00AC2131" w:rsidRPr="00013DC6" w:rsidRDefault="00AC2131" w:rsidP="00AC2131">
                  <w:pPr>
                    <w:pStyle w:val="TableBodyText"/>
                    <w:spacing w:after="0"/>
                    <w:ind w:left="0" w:right="57"/>
                  </w:pPr>
                  <w:r w:rsidRPr="00013DC6">
                    <w:t>39.2</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Aquaculture and fishing</w:t>
                  </w:r>
                </w:p>
              </w:tc>
              <w:tc>
                <w:tcPr>
                  <w:tcW w:w="501" w:type="pct"/>
                  <w:vAlign w:val="bottom"/>
                </w:tcPr>
                <w:p w:rsidR="00AC2131" w:rsidRPr="00013DC6" w:rsidRDefault="00AC2131" w:rsidP="00AC2131">
                  <w:pPr>
                    <w:pStyle w:val="TableBodyText"/>
                    <w:spacing w:after="0"/>
                    <w:ind w:left="0" w:right="57"/>
                  </w:pPr>
                  <w:r w:rsidRPr="00013DC6">
                    <w:t>59.9</w:t>
                  </w:r>
                </w:p>
              </w:tc>
              <w:tc>
                <w:tcPr>
                  <w:tcW w:w="501" w:type="pct"/>
                  <w:vAlign w:val="bottom"/>
                </w:tcPr>
                <w:p w:rsidR="00AC2131" w:rsidRPr="00013DC6" w:rsidRDefault="00AC2131" w:rsidP="00AC2131">
                  <w:pPr>
                    <w:pStyle w:val="TableBodyText"/>
                    <w:spacing w:after="0"/>
                    <w:ind w:left="0" w:right="57"/>
                  </w:pPr>
                  <w:r w:rsidRPr="00013DC6">
                    <w:t>70.8</w:t>
                  </w:r>
                </w:p>
              </w:tc>
              <w:tc>
                <w:tcPr>
                  <w:tcW w:w="501" w:type="pct"/>
                  <w:vAlign w:val="bottom"/>
                </w:tcPr>
                <w:p w:rsidR="00AC2131" w:rsidRPr="00013DC6" w:rsidRDefault="00AC2131" w:rsidP="00AC2131">
                  <w:pPr>
                    <w:pStyle w:val="TableBodyText"/>
                    <w:spacing w:after="0"/>
                    <w:ind w:left="0" w:right="57"/>
                  </w:pPr>
                  <w:r w:rsidRPr="00013DC6">
                    <w:t>65.6</w:t>
                  </w:r>
                </w:p>
              </w:tc>
              <w:tc>
                <w:tcPr>
                  <w:tcW w:w="501" w:type="pct"/>
                  <w:vAlign w:val="bottom"/>
                </w:tcPr>
                <w:p w:rsidR="00AC2131" w:rsidRPr="00013DC6" w:rsidRDefault="00AC2131" w:rsidP="00AC2131">
                  <w:pPr>
                    <w:pStyle w:val="TableBodyText"/>
                    <w:spacing w:after="0"/>
                    <w:ind w:left="0" w:right="57"/>
                  </w:pPr>
                  <w:r w:rsidRPr="00013DC6">
                    <w:t>54.1</w:t>
                  </w:r>
                </w:p>
              </w:tc>
              <w:tc>
                <w:tcPr>
                  <w:tcW w:w="501" w:type="pct"/>
                  <w:shd w:val="clear" w:color="auto" w:fill="auto"/>
                  <w:vAlign w:val="bottom"/>
                </w:tcPr>
                <w:p w:rsidR="00AC2131" w:rsidRPr="00013DC6" w:rsidRDefault="00AC2131" w:rsidP="00AC2131">
                  <w:pPr>
                    <w:pStyle w:val="TableBodyText"/>
                    <w:spacing w:after="0"/>
                    <w:ind w:left="0" w:right="57"/>
                  </w:pPr>
                  <w:r w:rsidRPr="00013DC6">
                    <w:t>46.6</w:t>
                  </w:r>
                </w:p>
              </w:tc>
              <w:tc>
                <w:tcPr>
                  <w:tcW w:w="502" w:type="pct"/>
                  <w:shd w:val="clear" w:color="auto" w:fill="auto"/>
                  <w:vAlign w:val="bottom"/>
                </w:tcPr>
                <w:p w:rsidR="00AC2131" w:rsidRPr="00013DC6" w:rsidRDefault="00AC2131" w:rsidP="00AC2131">
                  <w:pPr>
                    <w:pStyle w:val="TableBodyText"/>
                    <w:spacing w:after="0"/>
                    <w:ind w:left="0" w:right="57"/>
                  </w:pPr>
                  <w:r w:rsidRPr="00013DC6">
                    <w:t>51.0</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Forestry and logging</w:t>
                  </w:r>
                </w:p>
              </w:tc>
              <w:tc>
                <w:tcPr>
                  <w:tcW w:w="501" w:type="pct"/>
                  <w:vAlign w:val="bottom"/>
                </w:tcPr>
                <w:p w:rsidR="00AC2131" w:rsidRPr="00013DC6" w:rsidRDefault="00AC2131" w:rsidP="00AC2131">
                  <w:pPr>
                    <w:pStyle w:val="TableBodyText"/>
                    <w:spacing w:after="0"/>
                    <w:ind w:left="0" w:right="57"/>
                  </w:pPr>
                  <w:r w:rsidRPr="00013DC6">
                    <w:t>-21.5</w:t>
                  </w:r>
                </w:p>
              </w:tc>
              <w:tc>
                <w:tcPr>
                  <w:tcW w:w="501" w:type="pct"/>
                  <w:vAlign w:val="bottom"/>
                </w:tcPr>
                <w:p w:rsidR="00AC2131" w:rsidRPr="00013DC6" w:rsidRDefault="00AC2131" w:rsidP="00AC2131">
                  <w:pPr>
                    <w:pStyle w:val="TableBodyText"/>
                    <w:spacing w:after="0"/>
                    <w:ind w:left="0" w:right="57"/>
                  </w:pPr>
                  <w:r w:rsidRPr="00013DC6">
                    <w:t>84.1</w:t>
                  </w:r>
                </w:p>
              </w:tc>
              <w:tc>
                <w:tcPr>
                  <w:tcW w:w="501" w:type="pct"/>
                  <w:vAlign w:val="bottom"/>
                </w:tcPr>
                <w:p w:rsidR="00AC2131" w:rsidRPr="00013DC6" w:rsidRDefault="00AC2131" w:rsidP="00AC2131">
                  <w:pPr>
                    <w:pStyle w:val="TableBodyText"/>
                    <w:spacing w:after="0"/>
                    <w:ind w:left="0" w:right="57"/>
                  </w:pPr>
                  <w:r w:rsidRPr="00013DC6">
                    <w:t>88.1</w:t>
                  </w:r>
                </w:p>
              </w:tc>
              <w:tc>
                <w:tcPr>
                  <w:tcW w:w="501" w:type="pct"/>
                  <w:vAlign w:val="bottom"/>
                </w:tcPr>
                <w:p w:rsidR="00AC2131" w:rsidRPr="00013DC6" w:rsidRDefault="00AC2131" w:rsidP="00AC2131">
                  <w:pPr>
                    <w:pStyle w:val="TableBodyText"/>
                    <w:spacing w:after="0"/>
                    <w:ind w:left="0" w:right="57"/>
                  </w:pPr>
                  <w:r w:rsidRPr="00013DC6">
                    <w:t>117.0</w:t>
                  </w:r>
                </w:p>
              </w:tc>
              <w:tc>
                <w:tcPr>
                  <w:tcW w:w="501" w:type="pct"/>
                  <w:shd w:val="clear" w:color="auto" w:fill="auto"/>
                  <w:vAlign w:val="bottom"/>
                </w:tcPr>
                <w:p w:rsidR="00AC2131" w:rsidRPr="00013DC6" w:rsidRDefault="00AC2131" w:rsidP="00AC2131">
                  <w:pPr>
                    <w:pStyle w:val="TableBodyText"/>
                    <w:spacing w:after="0"/>
                    <w:ind w:left="0" w:right="57"/>
                  </w:pPr>
                  <w:r w:rsidRPr="00013DC6">
                    <w:t>92.9</w:t>
                  </w:r>
                </w:p>
              </w:tc>
              <w:tc>
                <w:tcPr>
                  <w:tcW w:w="502" w:type="pct"/>
                  <w:shd w:val="clear" w:color="auto" w:fill="auto"/>
                  <w:vAlign w:val="bottom"/>
                </w:tcPr>
                <w:p w:rsidR="00AC2131" w:rsidRPr="00013DC6" w:rsidRDefault="00AC2131" w:rsidP="00AC2131">
                  <w:pPr>
                    <w:pStyle w:val="TableBodyText"/>
                    <w:spacing w:after="0"/>
                    <w:ind w:left="0" w:right="57"/>
                  </w:pPr>
                  <w:r w:rsidRPr="00013DC6">
                    <w:t>79.5</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Primary production support services</w:t>
                  </w:r>
                </w:p>
              </w:tc>
              <w:tc>
                <w:tcPr>
                  <w:tcW w:w="501" w:type="pct"/>
                  <w:vAlign w:val="bottom"/>
                </w:tcPr>
                <w:p w:rsidR="00AC2131" w:rsidRPr="00013DC6" w:rsidRDefault="00AC2131" w:rsidP="00AC2131">
                  <w:pPr>
                    <w:pStyle w:val="TableBodyText"/>
                    <w:spacing w:after="0"/>
                    <w:ind w:left="0" w:right="57"/>
                  </w:pPr>
                  <w:r w:rsidRPr="00013DC6">
                    <w:t>10.8</w:t>
                  </w:r>
                </w:p>
              </w:tc>
              <w:tc>
                <w:tcPr>
                  <w:tcW w:w="501" w:type="pct"/>
                  <w:vAlign w:val="bottom"/>
                </w:tcPr>
                <w:p w:rsidR="00AC2131" w:rsidRPr="00013DC6" w:rsidRDefault="00AC2131" w:rsidP="00AC2131">
                  <w:pPr>
                    <w:pStyle w:val="TableBodyText"/>
                    <w:spacing w:after="0"/>
                    <w:ind w:left="0" w:right="57"/>
                  </w:pPr>
                  <w:r w:rsidRPr="00013DC6">
                    <w:t>17.8</w:t>
                  </w:r>
                </w:p>
              </w:tc>
              <w:tc>
                <w:tcPr>
                  <w:tcW w:w="501" w:type="pct"/>
                  <w:vAlign w:val="bottom"/>
                </w:tcPr>
                <w:p w:rsidR="00AC2131" w:rsidRPr="00013DC6" w:rsidRDefault="00AC2131" w:rsidP="00AC2131">
                  <w:pPr>
                    <w:pStyle w:val="TableBodyText"/>
                    <w:spacing w:after="0"/>
                    <w:ind w:left="0" w:right="57"/>
                  </w:pPr>
                  <w:r w:rsidRPr="00013DC6">
                    <w:t>17.3</w:t>
                  </w:r>
                </w:p>
              </w:tc>
              <w:tc>
                <w:tcPr>
                  <w:tcW w:w="501" w:type="pct"/>
                  <w:vAlign w:val="bottom"/>
                </w:tcPr>
                <w:p w:rsidR="00AC2131" w:rsidRPr="00013DC6" w:rsidRDefault="00AC2131" w:rsidP="00AC2131">
                  <w:pPr>
                    <w:pStyle w:val="TableBodyText"/>
                    <w:spacing w:after="0"/>
                    <w:ind w:left="0" w:right="57"/>
                  </w:pPr>
                  <w:r w:rsidRPr="00013DC6">
                    <w:t>5.5</w:t>
                  </w:r>
                </w:p>
              </w:tc>
              <w:tc>
                <w:tcPr>
                  <w:tcW w:w="501" w:type="pct"/>
                  <w:shd w:val="clear" w:color="auto" w:fill="auto"/>
                  <w:vAlign w:val="bottom"/>
                </w:tcPr>
                <w:p w:rsidR="00AC2131" w:rsidRPr="00013DC6" w:rsidRDefault="00AC2131" w:rsidP="00AC2131">
                  <w:pPr>
                    <w:pStyle w:val="TableBodyText"/>
                    <w:spacing w:after="0"/>
                    <w:ind w:left="0" w:right="57"/>
                  </w:pPr>
                  <w:r w:rsidRPr="00013DC6">
                    <w:t>7.4</w:t>
                  </w:r>
                </w:p>
              </w:tc>
              <w:tc>
                <w:tcPr>
                  <w:tcW w:w="502" w:type="pct"/>
                  <w:shd w:val="clear" w:color="auto" w:fill="auto"/>
                  <w:vAlign w:val="bottom"/>
                </w:tcPr>
                <w:p w:rsidR="00AC2131" w:rsidRPr="00013DC6" w:rsidRDefault="00AC2131" w:rsidP="00AC2131">
                  <w:pPr>
                    <w:pStyle w:val="TableBodyText"/>
                    <w:spacing w:after="0"/>
                    <w:ind w:left="0" w:right="57"/>
                  </w:pPr>
                  <w:r w:rsidRPr="00013DC6">
                    <w:t>10.9</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Unallocated primary production</w:t>
                  </w:r>
                  <w:r w:rsidRPr="008405D4">
                    <w:rPr>
                      <w:rStyle w:val="NoteLabel"/>
                    </w:rPr>
                    <w:t>b</w:t>
                  </w:r>
                </w:p>
              </w:tc>
              <w:tc>
                <w:tcPr>
                  <w:tcW w:w="501" w:type="pct"/>
                  <w:vAlign w:val="bottom"/>
                </w:tcPr>
                <w:p w:rsidR="00AC2131" w:rsidRPr="00013DC6" w:rsidRDefault="00AC2131" w:rsidP="00AC2131">
                  <w:pPr>
                    <w:pStyle w:val="TableBodyText"/>
                    <w:spacing w:after="0"/>
                    <w:ind w:left="0" w:right="57"/>
                  </w:pPr>
                  <w:r w:rsidRPr="00013DC6">
                    <w:t>297.5</w:t>
                  </w:r>
                </w:p>
              </w:tc>
              <w:tc>
                <w:tcPr>
                  <w:tcW w:w="501" w:type="pct"/>
                  <w:vAlign w:val="bottom"/>
                </w:tcPr>
                <w:p w:rsidR="00AC2131" w:rsidRPr="00013DC6" w:rsidRDefault="00AC2131" w:rsidP="00AC2131">
                  <w:pPr>
                    <w:pStyle w:val="TableBodyText"/>
                    <w:spacing w:after="0"/>
                    <w:ind w:left="0" w:right="57"/>
                  </w:pPr>
                  <w:r w:rsidRPr="00013DC6">
                    <w:t>281.1</w:t>
                  </w:r>
                </w:p>
              </w:tc>
              <w:tc>
                <w:tcPr>
                  <w:tcW w:w="501" w:type="pct"/>
                  <w:vAlign w:val="bottom"/>
                </w:tcPr>
                <w:p w:rsidR="00AC2131" w:rsidRPr="00013DC6" w:rsidRDefault="00AC2131" w:rsidP="00AC2131">
                  <w:pPr>
                    <w:pStyle w:val="TableBodyText"/>
                    <w:spacing w:after="0"/>
                    <w:ind w:left="0" w:right="57"/>
                  </w:pPr>
                  <w:r w:rsidRPr="00013DC6">
                    <w:t>262.2</w:t>
                  </w:r>
                </w:p>
              </w:tc>
              <w:tc>
                <w:tcPr>
                  <w:tcW w:w="501" w:type="pct"/>
                  <w:vAlign w:val="bottom"/>
                </w:tcPr>
                <w:p w:rsidR="00AC2131" w:rsidRPr="00013DC6" w:rsidRDefault="00AC2131" w:rsidP="00AC2131">
                  <w:pPr>
                    <w:pStyle w:val="TableBodyText"/>
                    <w:spacing w:after="0"/>
                    <w:ind w:left="0" w:right="57"/>
                  </w:pPr>
                  <w:r w:rsidRPr="00013DC6">
                    <w:t>354.3</w:t>
                  </w:r>
                </w:p>
              </w:tc>
              <w:tc>
                <w:tcPr>
                  <w:tcW w:w="501" w:type="pct"/>
                  <w:shd w:val="clear" w:color="auto" w:fill="auto"/>
                  <w:vAlign w:val="bottom"/>
                </w:tcPr>
                <w:p w:rsidR="00AC2131" w:rsidRPr="00013DC6" w:rsidRDefault="00AC2131" w:rsidP="00AC2131">
                  <w:pPr>
                    <w:pStyle w:val="TableBodyText"/>
                    <w:spacing w:after="0"/>
                    <w:ind w:left="0" w:right="57"/>
                  </w:pPr>
                  <w:r w:rsidRPr="00013DC6">
                    <w:t>250.5</w:t>
                  </w:r>
                </w:p>
              </w:tc>
              <w:tc>
                <w:tcPr>
                  <w:tcW w:w="502" w:type="pct"/>
                  <w:shd w:val="clear" w:color="auto" w:fill="auto"/>
                  <w:vAlign w:val="bottom"/>
                </w:tcPr>
                <w:p w:rsidR="00AC2131" w:rsidRPr="00013DC6" w:rsidRDefault="00AC2131" w:rsidP="00AC2131">
                  <w:pPr>
                    <w:pStyle w:val="TableBodyText"/>
                    <w:spacing w:after="0"/>
                    <w:ind w:left="0" w:right="57"/>
                  </w:pPr>
                  <w:r w:rsidRPr="00013DC6">
                    <w:t>240.0</w:t>
                  </w:r>
                </w:p>
              </w:tc>
            </w:tr>
            <w:tr w:rsidR="00AC2131" w:rsidRPr="00013DC6" w:rsidTr="00AC2131">
              <w:tc>
                <w:tcPr>
                  <w:tcW w:w="1992" w:type="pct"/>
                  <w:shd w:val="clear" w:color="auto" w:fill="auto"/>
                  <w:vAlign w:val="bottom"/>
                </w:tcPr>
                <w:p w:rsidR="00AC2131" w:rsidRPr="00013DC6" w:rsidRDefault="00AC2131">
                  <w:pPr>
                    <w:rPr>
                      <w:rFonts w:ascii="Arial" w:hAnsi="Arial" w:cs="Arial"/>
                      <w:b/>
                      <w:bCs/>
                      <w:sz w:val="18"/>
                      <w:szCs w:val="18"/>
                    </w:rPr>
                  </w:pPr>
                  <w:r w:rsidRPr="00013DC6">
                    <w:rPr>
                      <w:rFonts w:ascii="Arial" w:hAnsi="Arial" w:cs="Arial"/>
                      <w:b/>
                      <w:bCs/>
                      <w:sz w:val="18"/>
                      <w:szCs w:val="18"/>
                    </w:rPr>
                    <w:t>Mining</w:t>
                  </w:r>
                </w:p>
              </w:tc>
              <w:tc>
                <w:tcPr>
                  <w:tcW w:w="501" w:type="pct"/>
                  <w:vAlign w:val="bottom"/>
                </w:tcPr>
                <w:p w:rsidR="00AC2131" w:rsidRPr="00013DC6" w:rsidRDefault="00AC2131" w:rsidP="00AC2131">
                  <w:pPr>
                    <w:pStyle w:val="TableBodyText"/>
                    <w:spacing w:after="0"/>
                    <w:ind w:left="0" w:right="57"/>
                    <w:rPr>
                      <w:b/>
                    </w:rPr>
                  </w:pPr>
                  <w:r w:rsidRPr="00013DC6">
                    <w:rPr>
                      <w:b/>
                    </w:rPr>
                    <w:t>261.5</w:t>
                  </w:r>
                </w:p>
              </w:tc>
              <w:tc>
                <w:tcPr>
                  <w:tcW w:w="501" w:type="pct"/>
                  <w:vAlign w:val="bottom"/>
                </w:tcPr>
                <w:p w:rsidR="00AC2131" w:rsidRPr="00013DC6" w:rsidRDefault="00AC2131" w:rsidP="00AC2131">
                  <w:pPr>
                    <w:pStyle w:val="TableBodyText"/>
                    <w:spacing w:after="0"/>
                    <w:ind w:left="0" w:right="57"/>
                    <w:rPr>
                      <w:b/>
                    </w:rPr>
                  </w:pPr>
                  <w:r w:rsidRPr="00013DC6">
                    <w:rPr>
                      <w:b/>
                    </w:rPr>
                    <w:t>460.3</w:t>
                  </w:r>
                </w:p>
              </w:tc>
              <w:tc>
                <w:tcPr>
                  <w:tcW w:w="501" w:type="pct"/>
                  <w:vAlign w:val="bottom"/>
                </w:tcPr>
                <w:p w:rsidR="00AC2131" w:rsidRPr="00013DC6" w:rsidRDefault="00AC2131" w:rsidP="00AC2131">
                  <w:pPr>
                    <w:pStyle w:val="TableBodyText"/>
                    <w:spacing w:after="0"/>
                    <w:ind w:left="0" w:right="57"/>
                    <w:rPr>
                      <w:b/>
                    </w:rPr>
                  </w:pPr>
                  <w:r w:rsidRPr="00013DC6">
                    <w:rPr>
                      <w:b/>
                    </w:rPr>
                    <w:t>972.6</w:t>
                  </w:r>
                </w:p>
              </w:tc>
              <w:tc>
                <w:tcPr>
                  <w:tcW w:w="501" w:type="pct"/>
                  <w:vAlign w:val="bottom"/>
                </w:tcPr>
                <w:p w:rsidR="00AC2131" w:rsidRPr="00013DC6" w:rsidRDefault="00AC2131" w:rsidP="00AC2131">
                  <w:pPr>
                    <w:pStyle w:val="TableBodyText"/>
                    <w:spacing w:after="0"/>
                    <w:ind w:left="0" w:right="57"/>
                    <w:rPr>
                      <w:b/>
                    </w:rPr>
                  </w:pPr>
                  <w:r w:rsidRPr="00013DC6">
                    <w:rPr>
                      <w:b/>
                    </w:rPr>
                    <w:t>548.0</w:t>
                  </w:r>
                </w:p>
              </w:tc>
              <w:tc>
                <w:tcPr>
                  <w:tcW w:w="501" w:type="pct"/>
                  <w:shd w:val="clear" w:color="auto" w:fill="auto"/>
                  <w:vAlign w:val="bottom"/>
                </w:tcPr>
                <w:p w:rsidR="00AC2131" w:rsidRPr="00013DC6" w:rsidRDefault="00AC2131" w:rsidP="00AC2131">
                  <w:pPr>
                    <w:pStyle w:val="TableBodyText"/>
                    <w:spacing w:after="0"/>
                    <w:ind w:left="0" w:right="57"/>
                    <w:rPr>
                      <w:b/>
                    </w:rPr>
                  </w:pPr>
                  <w:r w:rsidRPr="00013DC6">
                    <w:rPr>
                      <w:b/>
                    </w:rPr>
                    <w:t>277.7</w:t>
                  </w:r>
                </w:p>
              </w:tc>
              <w:tc>
                <w:tcPr>
                  <w:tcW w:w="502" w:type="pct"/>
                  <w:shd w:val="clear" w:color="auto" w:fill="auto"/>
                  <w:vAlign w:val="bottom"/>
                </w:tcPr>
                <w:p w:rsidR="00AC2131" w:rsidRPr="00013DC6" w:rsidRDefault="00AC2131" w:rsidP="00AC2131">
                  <w:pPr>
                    <w:pStyle w:val="TableBodyText"/>
                    <w:spacing w:after="0"/>
                    <w:ind w:left="0" w:right="57"/>
                    <w:rPr>
                      <w:b/>
                    </w:rPr>
                  </w:pPr>
                  <w:r w:rsidRPr="00013DC6">
                    <w:rPr>
                      <w:b/>
                    </w:rPr>
                    <w:t>285.7</w:t>
                  </w:r>
                </w:p>
              </w:tc>
            </w:tr>
            <w:tr w:rsidR="00AC2131" w:rsidRPr="00013DC6" w:rsidTr="00AC2131">
              <w:tc>
                <w:tcPr>
                  <w:tcW w:w="1992" w:type="pct"/>
                  <w:shd w:val="clear" w:color="auto" w:fill="auto"/>
                  <w:vAlign w:val="bottom"/>
                </w:tcPr>
                <w:p w:rsidR="00AC2131" w:rsidRPr="00013DC6" w:rsidRDefault="00AC2131">
                  <w:pPr>
                    <w:rPr>
                      <w:rFonts w:ascii="Arial" w:hAnsi="Arial" w:cs="Arial"/>
                      <w:b/>
                      <w:bCs/>
                      <w:sz w:val="18"/>
                      <w:szCs w:val="18"/>
                    </w:rPr>
                  </w:pPr>
                  <w:r w:rsidRPr="00013DC6">
                    <w:rPr>
                      <w:rFonts w:ascii="Arial" w:hAnsi="Arial" w:cs="Arial"/>
                      <w:b/>
                      <w:bCs/>
                      <w:sz w:val="18"/>
                      <w:szCs w:val="18"/>
                    </w:rPr>
                    <w:t>Manufacturing</w:t>
                  </w:r>
                </w:p>
              </w:tc>
              <w:tc>
                <w:tcPr>
                  <w:tcW w:w="501" w:type="pct"/>
                  <w:vAlign w:val="bottom"/>
                </w:tcPr>
                <w:p w:rsidR="00AC2131" w:rsidRPr="00013DC6" w:rsidRDefault="00AC2131" w:rsidP="00AC2131">
                  <w:pPr>
                    <w:pStyle w:val="TableBodyText"/>
                    <w:spacing w:after="0"/>
                    <w:ind w:left="0" w:right="57"/>
                    <w:rPr>
                      <w:b/>
                    </w:rPr>
                  </w:pPr>
                  <w:r w:rsidRPr="00013DC6">
                    <w:rPr>
                      <w:b/>
                    </w:rPr>
                    <w:t>8147.6</w:t>
                  </w:r>
                </w:p>
              </w:tc>
              <w:tc>
                <w:tcPr>
                  <w:tcW w:w="501" w:type="pct"/>
                  <w:vAlign w:val="bottom"/>
                </w:tcPr>
                <w:p w:rsidR="00AC2131" w:rsidRPr="00013DC6" w:rsidRDefault="00AC2131" w:rsidP="00AC2131">
                  <w:pPr>
                    <w:pStyle w:val="TableBodyText"/>
                    <w:spacing w:after="0"/>
                    <w:ind w:left="0" w:right="57"/>
                    <w:rPr>
                      <w:b/>
                    </w:rPr>
                  </w:pPr>
                  <w:r w:rsidRPr="00013DC6">
                    <w:rPr>
                      <w:b/>
                    </w:rPr>
                    <w:t>8048.1</w:t>
                  </w:r>
                </w:p>
              </w:tc>
              <w:tc>
                <w:tcPr>
                  <w:tcW w:w="501" w:type="pct"/>
                  <w:vAlign w:val="bottom"/>
                </w:tcPr>
                <w:p w:rsidR="00AC2131" w:rsidRPr="00013DC6" w:rsidRDefault="00AC2131" w:rsidP="00AC2131">
                  <w:pPr>
                    <w:pStyle w:val="TableBodyText"/>
                    <w:spacing w:after="0"/>
                    <w:ind w:left="0" w:right="57"/>
                    <w:rPr>
                      <w:b/>
                    </w:rPr>
                  </w:pPr>
                  <w:r w:rsidRPr="00013DC6">
                    <w:rPr>
                      <w:b/>
                    </w:rPr>
                    <w:t>7632.6</w:t>
                  </w:r>
                </w:p>
              </w:tc>
              <w:tc>
                <w:tcPr>
                  <w:tcW w:w="501" w:type="pct"/>
                  <w:vAlign w:val="bottom"/>
                </w:tcPr>
                <w:p w:rsidR="00AC2131" w:rsidRPr="00013DC6" w:rsidRDefault="00AC2131" w:rsidP="00AC2131">
                  <w:pPr>
                    <w:pStyle w:val="TableBodyText"/>
                    <w:spacing w:after="0"/>
                    <w:ind w:left="0" w:right="57"/>
                    <w:rPr>
                      <w:b/>
                    </w:rPr>
                  </w:pPr>
                  <w:r w:rsidRPr="00013DC6">
                    <w:rPr>
                      <w:b/>
                    </w:rPr>
                    <w:t>7622.6</w:t>
                  </w:r>
                </w:p>
              </w:tc>
              <w:tc>
                <w:tcPr>
                  <w:tcW w:w="501" w:type="pct"/>
                  <w:shd w:val="clear" w:color="auto" w:fill="auto"/>
                  <w:vAlign w:val="bottom"/>
                </w:tcPr>
                <w:p w:rsidR="00AC2131" w:rsidRPr="00013DC6" w:rsidRDefault="00AC2131" w:rsidP="00AC2131">
                  <w:pPr>
                    <w:pStyle w:val="TableBodyText"/>
                    <w:spacing w:after="0"/>
                    <w:ind w:left="0" w:right="57"/>
                    <w:rPr>
                      <w:b/>
                    </w:rPr>
                  </w:pPr>
                  <w:r w:rsidRPr="00013DC6">
                    <w:rPr>
                      <w:b/>
                    </w:rPr>
                    <w:t>7151.6</w:t>
                  </w:r>
                </w:p>
              </w:tc>
              <w:tc>
                <w:tcPr>
                  <w:tcW w:w="502" w:type="pct"/>
                  <w:shd w:val="clear" w:color="auto" w:fill="auto"/>
                  <w:vAlign w:val="bottom"/>
                </w:tcPr>
                <w:p w:rsidR="00AC2131" w:rsidRPr="00013DC6" w:rsidRDefault="00AC2131" w:rsidP="00AC2131">
                  <w:pPr>
                    <w:pStyle w:val="TableBodyText"/>
                    <w:spacing w:after="0"/>
                    <w:ind w:left="0" w:right="57"/>
                    <w:rPr>
                      <w:b/>
                    </w:rPr>
                  </w:pPr>
                  <w:r w:rsidRPr="00013DC6">
                    <w:rPr>
                      <w:b/>
                    </w:rPr>
                    <w:t>7289.3</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Food, beverages and tobacco</w:t>
                  </w:r>
                </w:p>
              </w:tc>
              <w:tc>
                <w:tcPr>
                  <w:tcW w:w="501" w:type="pct"/>
                  <w:vAlign w:val="bottom"/>
                </w:tcPr>
                <w:p w:rsidR="00AC2131" w:rsidRPr="00013DC6" w:rsidRDefault="00AC2131" w:rsidP="00AC2131">
                  <w:pPr>
                    <w:pStyle w:val="TableBodyText"/>
                    <w:spacing w:after="0"/>
                    <w:ind w:left="0" w:right="57"/>
                  </w:pPr>
                  <w:r w:rsidRPr="00013DC6">
                    <w:t>1345.2</w:t>
                  </w:r>
                </w:p>
              </w:tc>
              <w:tc>
                <w:tcPr>
                  <w:tcW w:w="501" w:type="pct"/>
                  <w:vAlign w:val="bottom"/>
                </w:tcPr>
                <w:p w:rsidR="00AC2131" w:rsidRPr="00013DC6" w:rsidRDefault="00AC2131" w:rsidP="00AC2131">
                  <w:pPr>
                    <w:pStyle w:val="TableBodyText"/>
                    <w:spacing w:after="0"/>
                    <w:ind w:left="0" w:right="57"/>
                  </w:pPr>
                  <w:r w:rsidRPr="00013DC6">
                    <w:t>1403.6</w:t>
                  </w:r>
                </w:p>
              </w:tc>
              <w:tc>
                <w:tcPr>
                  <w:tcW w:w="501" w:type="pct"/>
                  <w:vAlign w:val="bottom"/>
                </w:tcPr>
                <w:p w:rsidR="00AC2131" w:rsidRPr="00013DC6" w:rsidRDefault="00AC2131" w:rsidP="00AC2131">
                  <w:pPr>
                    <w:pStyle w:val="TableBodyText"/>
                    <w:spacing w:after="0"/>
                    <w:ind w:left="0" w:right="57"/>
                  </w:pPr>
                  <w:r w:rsidRPr="00013DC6">
                    <w:t>1473.0</w:t>
                  </w:r>
                </w:p>
              </w:tc>
              <w:tc>
                <w:tcPr>
                  <w:tcW w:w="501" w:type="pct"/>
                  <w:vAlign w:val="bottom"/>
                </w:tcPr>
                <w:p w:rsidR="00AC2131" w:rsidRPr="00013DC6" w:rsidRDefault="00AC2131" w:rsidP="00AC2131">
                  <w:pPr>
                    <w:pStyle w:val="TableBodyText"/>
                    <w:spacing w:after="0"/>
                    <w:ind w:left="0" w:right="57"/>
                  </w:pPr>
                  <w:r w:rsidRPr="00013DC6">
                    <w:t>1422.4</w:t>
                  </w:r>
                </w:p>
              </w:tc>
              <w:tc>
                <w:tcPr>
                  <w:tcW w:w="501" w:type="pct"/>
                  <w:shd w:val="clear" w:color="auto" w:fill="auto"/>
                  <w:vAlign w:val="bottom"/>
                </w:tcPr>
                <w:p w:rsidR="00AC2131" w:rsidRPr="00013DC6" w:rsidRDefault="00AC2131" w:rsidP="00AC2131">
                  <w:pPr>
                    <w:pStyle w:val="TableBodyText"/>
                    <w:spacing w:after="0"/>
                    <w:ind w:left="0" w:right="57"/>
                  </w:pPr>
                  <w:r w:rsidRPr="00013DC6">
                    <w:t>1473.1</w:t>
                  </w:r>
                </w:p>
              </w:tc>
              <w:tc>
                <w:tcPr>
                  <w:tcW w:w="502" w:type="pct"/>
                  <w:shd w:val="clear" w:color="auto" w:fill="auto"/>
                  <w:vAlign w:val="bottom"/>
                </w:tcPr>
                <w:p w:rsidR="00AC2131" w:rsidRPr="00013DC6" w:rsidRDefault="00AC2131" w:rsidP="00AC2131">
                  <w:pPr>
                    <w:pStyle w:val="TableBodyText"/>
                    <w:spacing w:after="0"/>
                    <w:ind w:left="0" w:right="57"/>
                  </w:pPr>
                  <w:r w:rsidRPr="00013DC6">
                    <w:t>1475.5</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Textile</w:t>
                  </w:r>
                  <w:r>
                    <w:rPr>
                      <w:rFonts w:ascii="Arial" w:hAnsi="Arial" w:cs="Arial"/>
                      <w:sz w:val="18"/>
                      <w:szCs w:val="18"/>
                    </w:rPr>
                    <w:t>s</w:t>
                  </w:r>
                  <w:r w:rsidRPr="00BE7B87">
                    <w:rPr>
                      <w:rFonts w:ascii="Arial" w:hAnsi="Arial" w:cs="Arial"/>
                      <w:sz w:val="18"/>
                      <w:szCs w:val="18"/>
                    </w:rPr>
                    <w:t>, leather, clothing and footwear</w:t>
                  </w:r>
                </w:p>
              </w:tc>
              <w:tc>
                <w:tcPr>
                  <w:tcW w:w="501" w:type="pct"/>
                  <w:vAlign w:val="bottom"/>
                </w:tcPr>
                <w:p w:rsidR="00AC2131" w:rsidRPr="00013DC6" w:rsidRDefault="00AC2131" w:rsidP="00AC2131">
                  <w:pPr>
                    <w:pStyle w:val="TableBodyText"/>
                    <w:spacing w:after="0"/>
                    <w:ind w:left="0" w:right="57"/>
                  </w:pPr>
                  <w:r w:rsidRPr="00013DC6">
                    <w:t>718.8</w:t>
                  </w:r>
                </w:p>
              </w:tc>
              <w:tc>
                <w:tcPr>
                  <w:tcW w:w="501" w:type="pct"/>
                  <w:vAlign w:val="bottom"/>
                </w:tcPr>
                <w:p w:rsidR="00AC2131" w:rsidRPr="00013DC6" w:rsidRDefault="00AC2131" w:rsidP="00AC2131">
                  <w:pPr>
                    <w:pStyle w:val="TableBodyText"/>
                    <w:spacing w:after="0"/>
                    <w:ind w:left="0" w:right="57"/>
                  </w:pPr>
                  <w:r w:rsidRPr="00013DC6">
                    <w:t>509.8</w:t>
                  </w:r>
                </w:p>
              </w:tc>
              <w:tc>
                <w:tcPr>
                  <w:tcW w:w="501" w:type="pct"/>
                  <w:vAlign w:val="bottom"/>
                </w:tcPr>
                <w:p w:rsidR="00AC2131" w:rsidRPr="00013DC6" w:rsidRDefault="00AC2131" w:rsidP="00AC2131">
                  <w:pPr>
                    <w:pStyle w:val="TableBodyText"/>
                    <w:spacing w:after="0"/>
                    <w:ind w:left="0" w:right="57"/>
                  </w:pPr>
                  <w:r w:rsidRPr="00013DC6">
                    <w:t>401.3</w:t>
                  </w:r>
                </w:p>
              </w:tc>
              <w:tc>
                <w:tcPr>
                  <w:tcW w:w="501" w:type="pct"/>
                  <w:vAlign w:val="bottom"/>
                </w:tcPr>
                <w:p w:rsidR="00AC2131" w:rsidRPr="00013DC6" w:rsidRDefault="00AC2131" w:rsidP="00AC2131">
                  <w:pPr>
                    <w:pStyle w:val="TableBodyText"/>
                    <w:spacing w:after="0"/>
                    <w:ind w:left="0" w:right="57"/>
                  </w:pPr>
                  <w:r w:rsidRPr="00013DC6">
                    <w:t>318.2</w:t>
                  </w:r>
                </w:p>
              </w:tc>
              <w:tc>
                <w:tcPr>
                  <w:tcW w:w="501" w:type="pct"/>
                  <w:shd w:val="clear" w:color="auto" w:fill="auto"/>
                  <w:vAlign w:val="bottom"/>
                </w:tcPr>
                <w:p w:rsidR="00AC2131" w:rsidRPr="00013DC6" w:rsidRDefault="00AC2131" w:rsidP="00AC2131">
                  <w:pPr>
                    <w:pStyle w:val="TableBodyText"/>
                    <w:spacing w:after="0"/>
                    <w:ind w:left="0" w:right="57"/>
                  </w:pPr>
                  <w:r w:rsidRPr="00013DC6">
                    <w:t>306.7</w:t>
                  </w:r>
                </w:p>
              </w:tc>
              <w:tc>
                <w:tcPr>
                  <w:tcW w:w="502" w:type="pct"/>
                  <w:shd w:val="clear" w:color="auto" w:fill="auto"/>
                  <w:vAlign w:val="bottom"/>
                </w:tcPr>
                <w:p w:rsidR="00AC2131" w:rsidRPr="00013DC6" w:rsidRDefault="00AC2131" w:rsidP="00AC2131">
                  <w:pPr>
                    <w:pStyle w:val="TableBodyText"/>
                    <w:spacing w:after="0"/>
                    <w:ind w:left="0" w:right="57"/>
                  </w:pPr>
                  <w:r w:rsidRPr="00013DC6">
                    <w:t>325.4</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Wood and paper products</w:t>
                  </w:r>
                </w:p>
              </w:tc>
              <w:tc>
                <w:tcPr>
                  <w:tcW w:w="501" w:type="pct"/>
                  <w:vAlign w:val="bottom"/>
                </w:tcPr>
                <w:p w:rsidR="00AC2131" w:rsidRPr="00013DC6" w:rsidRDefault="00AC2131" w:rsidP="00AC2131">
                  <w:pPr>
                    <w:pStyle w:val="TableBodyText"/>
                    <w:spacing w:after="0"/>
                    <w:ind w:left="0" w:right="57"/>
                  </w:pPr>
                  <w:r w:rsidRPr="00013DC6">
                    <w:t>658.6</w:t>
                  </w:r>
                </w:p>
              </w:tc>
              <w:tc>
                <w:tcPr>
                  <w:tcW w:w="501" w:type="pct"/>
                  <w:vAlign w:val="bottom"/>
                </w:tcPr>
                <w:p w:rsidR="00AC2131" w:rsidRPr="00013DC6" w:rsidRDefault="00AC2131" w:rsidP="00AC2131">
                  <w:pPr>
                    <w:pStyle w:val="TableBodyText"/>
                    <w:spacing w:after="0"/>
                    <w:ind w:left="0" w:right="57"/>
                  </w:pPr>
                  <w:r w:rsidRPr="00013DC6">
                    <w:t>621.0</w:t>
                  </w:r>
                </w:p>
              </w:tc>
              <w:tc>
                <w:tcPr>
                  <w:tcW w:w="501" w:type="pct"/>
                  <w:vAlign w:val="bottom"/>
                </w:tcPr>
                <w:p w:rsidR="00AC2131" w:rsidRPr="00013DC6" w:rsidRDefault="00AC2131" w:rsidP="00AC2131">
                  <w:pPr>
                    <w:pStyle w:val="TableBodyText"/>
                    <w:spacing w:after="0"/>
                    <w:ind w:left="0" w:right="57"/>
                  </w:pPr>
                  <w:r w:rsidRPr="00013DC6">
                    <w:t>571.9</w:t>
                  </w:r>
                </w:p>
              </w:tc>
              <w:tc>
                <w:tcPr>
                  <w:tcW w:w="501" w:type="pct"/>
                  <w:vAlign w:val="bottom"/>
                </w:tcPr>
                <w:p w:rsidR="00AC2131" w:rsidRPr="00013DC6" w:rsidRDefault="00AC2131" w:rsidP="00AC2131">
                  <w:pPr>
                    <w:pStyle w:val="TableBodyText"/>
                    <w:spacing w:after="0"/>
                    <w:ind w:left="0" w:right="57"/>
                  </w:pPr>
                  <w:r w:rsidRPr="00013DC6">
                    <w:t>514.5</w:t>
                  </w:r>
                </w:p>
              </w:tc>
              <w:tc>
                <w:tcPr>
                  <w:tcW w:w="501" w:type="pct"/>
                  <w:shd w:val="clear" w:color="auto" w:fill="auto"/>
                  <w:vAlign w:val="bottom"/>
                </w:tcPr>
                <w:p w:rsidR="00AC2131" w:rsidRPr="00013DC6" w:rsidRDefault="00AC2131" w:rsidP="00AC2131">
                  <w:pPr>
                    <w:pStyle w:val="TableBodyText"/>
                    <w:spacing w:after="0"/>
                    <w:ind w:left="0" w:right="57"/>
                  </w:pPr>
                  <w:r w:rsidRPr="00013DC6">
                    <w:t>518.4</w:t>
                  </w:r>
                </w:p>
              </w:tc>
              <w:tc>
                <w:tcPr>
                  <w:tcW w:w="502" w:type="pct"/>
                  <w:shd w:val="clear" w:color="auto" w:fill="auto"/>
                  <w:vAlign w:val="bottom"/>
                </w:tcPr>
                <w:p w:rsidR="00AC2131" w:rsidRPr="00013DC6" w:rsidRDefault="00AC2131" w:rsidP="00AC2131">
                  <w:pPr>
                    <w:pStyle w:val="TableBodyText"/>
                    <w:spacing w:after="0"/>
                    <w:ind w:left="0" w:right="57"/>
                  </w:pPr>
                  <w:r w:rsidRPr="00013DC6">
                    <w:t>526.4</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Printing and recorded media</w:t>
                  </w:r>
                </w:p>
              </w:tc>
              <w:tc>
                <w:tcPr>
                  <w:tcW w:w="501" w:type="pct"/>
                  <w:vAlign w:val="bottom"/>
                </w:tcPr>
                <w:p w:rsidR="00AC2131" w:rsidRPr="00013DC6" w:rsidRDefault="00AC2131" w:rsidP="00AC2131">
                  <w:pPr>
                    <w:pStyle w:val="TableBodyText"/>
                    <w:spacing w:after="0"/>
                    <w:ind w:left="0" w:right="57"/>
                  </w:pPr>
                  <w:r w:rsidRPr="00013DC6">
                    <w:t>222.2</w:t>
                  </w:r>
                </w:p>
              </w:tc>
              <w:tc>
                <w:tcPr>
                  <w:tcW w:w="501" w:type="pct"/>
                  <w:vAlign w:val="bottom"/>
                </w:tcPr>
                <w:p w:rsidR="00AC2131" w:rsidRPr="00013DC6" w:rsidRDefault="00AC2131" w:rsidP="00AC2131">
                  <w:pPr>
                    <w:pStyle w:val="TableBodyText"/>
                    <w:spacing w:after="0"/>
                    <w:ind w:left="0" w:right="57"/>
                  </w:pPr>
                  <w:r w:rsidRPr="00013DC6">
                    <w:t>209.5</w:t>
                  </w:r>
                </w:p>
              </w:tc>
              <w:tc>
                <w:tcPr>
                  <w:tcW w:w="501" w:type="pct"/>
                  <w:vAlign w:val="bottom"/>
                </w:tcPr>
                <w:p w:rsidR="00AC2131" w:rsidRPr="00013DC6" w:rsidRDefault="00AC2131" w:rsidP="00AC2131">
                  <w:pPr>
                    <w:pStyle w:val="TableBodyText"/>
                    <w:spacing w:after="0"/>
                    <w:ind w:left="0" w:right="57"/>
                  </w:pPr>
                  <w:r w:rsidRPr="00013DC6">
                    <w:t>206.1</w:t>
                  </w:r>
                </w:p>
              </w:tc>
              <w:tc>
                <w:tcPr>
                  <w:tcW w:w="501" w:type="pct"/>
                  <w:vAlign w:val="bottom"/>
                </w:tcPr>
                <w:p w:rsidR="00AC2131" w:rsidRPr="00013DC6" w:rsidRDefault="00AC2131" w:rsidP="00AC2131">
                  <w:pPr>
                    <w:pStyle w:val="TableBodyText"/>
                    <w:spacing w:after="0"/>
                    <w:ind w:left="0" w:right="57"/>
                  </w:pPr>
                  <w:r w:rsidRPr="00013DC6">
                    <w:t>185.9</w:t>
                  </w:r>
                </w:p>
              </w:tc>
              <w:tc>
                <w:tcPr>
                  <w:tcW w:w="501" w:type="pct"/>
                  <w:shd w:val="clear" w:color="auto" w:fill="auto"/>
                  <w:vAlign w:val="bottom"/>
                </w:tcPr>
                <w:p w:rsidR="00AC2131" w:rsidRPr="00013DC6" w:rsidRDefault="00AC2131" w:rsidP="00AC2131">
                  <w:pPr>
                    <w:pStyle w:val="TableBodyText"/>
                    <w:spacing w:after="0"/>
                    <w:ind w:left="0" w:right="57"/>
                  </w:pPr>
                  <w:r w:rsidRPr="00013DC6">
                    <w:t>177.5</w:t>
                  </w:r>
                </w:p>
              </w:tc>
              <w:tc>
                <w:tcPr>
                  <w:tcW w:w="502" w:type="pct"/>
                  <w:shd w:val="clear" w:color="auto" w:fill="auto"/>
                  <w:vAlign w:val="bottom"/>
                </w:tcPr>
                <w:p w:rsidR="00AC2131" w:rsidRPr="00013DC6" w:rsidRDefault="00AC2131" w:rsidP="00AC2131">
                  <w:pPr>
                    <w:pStyle w:val="TableBodyText"/>
                    <w:spacing w:after="0"/>
                    <w:ind w:left="0" w:right="57"/>
                  </w:pPr>
                  <w:r w:rsidRPr="00013DC6">
                    <w:t>176.8</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Petroleum, coal, chemical and rubber</w:t>
                  </w:r>
                </w:p>
              </w:tc>
              <w:tc>
                <w:tcPr>
                  <w:tcW w:w="501" w:type="pct"/>
                  <w:vAlign w:val="bottom"/>
                </w:tcPr>
                <w:p w:rsidR="00AC2131" w:rsidRPr="00013DC6" w:rsidRDefault="00AC2131" w:rsidP="00AC2131">
                  <w:pPr>
                    <w:pStyle w:val="TableBodyText"/>
                    <w:spacing w:after="0"/>
                    <w:ind w:left="0" w:right="57"/>
                  </w:pPr>
                  <w:r w:rsidRPr="00013DC6">
                    <w:t>972.0</w:t>
                  </w:r>
                </w:p>
              </w:tc>
              <w:tc>
                <w:tcPr>
                  <w:tcW w:w="501" w:type="pct"/>
                  <w:vAlign w:val="bottom"/>
                </w:tcPr>
                <w:p w:rsidR="00AC2131" w:rsidRPr="00013DC6" w:rsidRDefault="00AC2131" w:rsidP="00AC2131">
                  <w:pPr>
                    <w:pStyle w:val="TableBodyText"/>
                    <w:spacing w:after="0"/>
                    <w:ind w:left="0" w:right="57"/>
                  </w:pPr>
                  <w:r w:rsidRPr="00013DC6">
                    <w:t>1010.5</w:t>
                  </w:r>
                </w:p>
              </w:tc>
              <w:tc>
                <w:tcPr>
                  <w:tcW w:w="501" w:type="pct"/>
                  <w:vAlign w:val="bottom"/>
                </w:tcPr>
                <w:p w:rsidR="00AC2131" w:rsidRPr="00013DC6" w:rsidRDefault="00AC2131" w:rsidP="00AC2131">
                  <w:pPr>
                    <w:pStyle w:val="TableBodyText"/>
                    <w:spacing w:after="0"/>
                    <w:ind w:left="0" w:right="57"/>
                  </w:pPr>
                  <w:r w:rsidRPr="00013DC6">
                    <w:t>1059.9</w:t>
                  </w:r>
                </w:p>
              </w:tc>
              <w:tc>
                <w:tcPr>
                  <w:tcW w:w="501" w:type="pct"/>
                  <w:vAlign w:val="bottom"/>
                </w:tcPr>
                <w:p w:rsidR="00AC2131" w:rsidRPr="00013DC6" w:rsidRDefault="00AC2131" w:rsidP="00AC2131">
                  <w:pPr>
                    <w:pStyle w:val="TableBodyText"/>
                    <w:spacing w:after="0"/>
                    <w:ind w:left="0" w:right="57"/>
                  </w:pPr>
                  <w:r w:rsidRPr="00013DC6">
                    <w:t>1009.3</w:t>
                  </w:r>
                </w:p>
              </w:tc>
              <w:tc>
                <w:tcPr>
                  <w:tcW w:w="501" w:type="pct"/>
                  <w:shd w:val="clear" w:color="auto" w:fill="auto"/>
                  <w:vAlign w:val="bottom"/>
                </w:tcPr>
                <w:p w:rsidR="00AC2131" w:rsidRPr="00013DC6" w:rsidRDefault="00AC2131" w:rsidP="00AC2131">
                  <w:pPr>
                    <w:pStyle w:val="TableBodyText"/>
                    <w:spacing w:after="0"/>
                    <w:ind w:left="0" w:right="57"/>
                  </w:pPr>
                  <w:r w:rsidRPr="00013DC6">
                    <w:t>963.7</w:t>
                  </w:r>
                </w:p>
              </w:tc>
              <w:tc>
                <w:tcPr>
                  <w:tcW w:w="502" w:type="pct"/>
                  <w:shd w:val="clear" w:color="auto" w:fill="auto"/>
                  <w:vAlign w:val="bottom"/>
                </w:tcPr>
                <w:p w:rsidR="00AC2131" w:rsidRPr="00013DC6" w:rsidRDefault="00AC2131" w:rsidP="00AC2131">
                  <w:pPr>
                    <w:pStyle w:val="TableBodyText"/>
                    <w:spacing w:after="0"/>
                    <w:ind w:left="0" w:right="57"/>
                  </w:pPr>
                  <w:r w:rsidRPr="00013DC6">
                    <w:t>937.4</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Non-metallic mineral products</w:t>
                  </w:r>
                </w:p>
              </w:tc>
              <w:tc>
                <w:tcPr>
                  <w:tcW w:w="501" w:type="pct"/>
                  <w:vAlign w:val="bottom"/>
                </w:tcPr>
                <w:p w:rsidR="00AC2131" w:rsidRPr="00013DC6" w:rsidRDefault="00AC2131" w:rsidP="00AC2131">
                  <w:pPr>
                    <w:pStyle w:val="TableBodyText"/>
                    <w:spacing w:after="0"/>
                    <w:ind w:left="0" w:right="57"/>
                  </w:pPr>
                  <w:r w:rsidRPr="00013DC6">
                    <w:t>259.4</w:t>
                  </w:r>
                </w:p>
              </w:tc>
              <w:tc>
                <w:tcPr>
                  <w:tcW w:w="501" w:type="pct"/>
                  <w:vAlign w:val="bottom"/>
                </w:tcPr>
                <w:p w:rsidR="00AC2131" w:rsidRPr="00013DC6" w:rsidRDefault="00AC2131" w:rsidP="00AC2131">
                  <w:pPr>
                    <w:pStyle w:val="TableBodyText"/>
                    <w:spacing w:after="0"/>
                    <w:ind w:left="0" w:right="57"/>
                  </w:pPr>
                  <w:r w:rsidRPr="00013DC6">
                    <w:t>257.8</w:t>
                  </w:r>
                </w:p>
              </w:tc>
              <w:tc>
                <w:tcPr>
                  <w:tcW w:w="501" w:type="pct"/>
                  <w:vAlign w:val="bottom"/>
                </w:tcPr>
                <w:p w:rsidR="00AC2131" w:rsidRPr="00013DC6" w:rsidRDefault="00AC2131" w:rsidP="00AC2131">
                  <w:pPr>
                    <w:pStyle w:val="TableBodyText"/>
                    <w:spacing w:after="0"/>
                    <w:ind w:left="0" w:right="57"/>
                  </w:pPr>
                  <w:r w:rsidRPr="00013DC6">
                    <w:t>268.3</w:t>
                  </w:r>
                </w:p>
              </w:tc>
              <w:tc>
                <w:tcPr>
                  <w:tcW w:w="501" w:type="pct"/>
                  <w:vAlign w:val="bottom"/>
                </w:tcPr>
                <w:p w:rsidR="00AC2131" w:rsidRPr="00013DC6" w:rsidRDefault="00AC2131" w:rsidP="00AC2131">
                  <w:pPr>
                    <w:pStyle w:val="TableBodyText"/>
                    <w:spacing w:after="0"/>
                    <w:ind w:left="0" w:right="57"/>
                  </w:pPr>
                  <w:r w:rsidRPr="00013DC6">
                    <w:t>244.2</w:t>
                  </w:r>
                </w:p>
              </w:tc>
              <w:tc>
                <w:tcPr>
                  <w:tcW w:w="501" w:type="pct"/>
                  <w:shd w:val="clear" w:color="auto" w:fill="auto"/>
                  <w:vAlign w:val="bottom"/>
                </w:tcPr>
                <w:p w:rsidR="00AC2131" w:rsidRPr="00013DC6" w:rsidRDefault="00AC2131" w:rsidP="00AC2131">
                  <w:pPr>
                    <w:pStyle w:val="TableBodyText"/>
                    <w:spacing w:after="0"/>
                    <w:ind w:left="0" w:right="57"/>
                  </w:pPr>
                  <w:r w:rsidRPr="00013DC6">
                    <w:t>246.2</w:t>
                  </w:r>
                </w:p>
              </w:tc>
              <w:tc>
                <w:tcPr>
                  <w:tcW w:w="502" w:type="pct"/>
                  <w:shd w:val="clear" w:color="auto" w:fill="auto"/>
                  <w:vAlign w:val="bottom"/>
                </w:tcPr>
                <w:p w:rsidR="00AC2131" w:rsidRPr="00013DC6" w:rsidRDefault="00AC2131" w:rsidP="00AC2131">
                  <w:pPr>
                    <w:pStyle w:val="TableBodyText"/>
                    <w:spacing w:after="0"/>
                    <w:ind w:left="0" w:right="57"/>
                  </w:pPr>
                  <w:r w:rsidRPr="00013DC6">
                    <w:t>260.4</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Metal and fabricated metal products</w:t>
                  </w:r>
                </w:p>
              </w:tc>
              <w:tc>
                <w:tcPr>
                  <w:tcW w:w="501" w:type="pct"/>
                  <w:vAlign w:val="bottom"/>
                </w:tcPr>
                <w:p w:rsidR="00AC2131" w:rsidRPr="00013DC6" w:rsidRDefault="00AC2131" w:rsidP="00AC2131">
                  <w:pPr>
                    <w:pStyle w:val="TableBodyText"/>
                    <w:spacing w:after="0"/>
                    <w:ind w:left="0" w:right="57"/>
                  </w:pPr>
                  <w:r w:rsidRPr="00013DC6">
                    <w:t>1557.2</w:t>
                  </w:r>
                </w:p>
              </w:tc>
              <w:tc>
                <w:tcPr>
                  <w:tcW w:w="501" w:type="pct"/>
                  <w:vAlign w:val="bottom"/>
                </w:tcPr>
                <w:p w:rsidR="00AC2131" w:rsidRPr="00013DC6" w:rsidRDefault="00AC2131" w:rsidP="00AC2131">
                  <w:pPr>
                    <w:pStyle w:val="TableBodyText"/>
                    <w:spacing w:after="0"/>
                    <w:ind w:left="0" w:right="57"/>
                  </w:pPr>
                  <w:r w:rsidRPr="00013DC6">
                    <w:t>1462.8</w:t>
                  </w:r>
                </w:p>
              </w:tc>
              <w:tc>
                <w:tcPr>
                  <w:tcW w:w="501" w:type="pct"/>
                  <w:vAlign w:val="bottom"/>
                </w:tcPr>
                <w:p w:rsidR="00AC2131" w:rsidRPr="00013DC6" w:rsidRDefault="00AC2131" w:rsidP="00AC2131">
                  <w:pPr>
                    <w:pStyle w:val="TableBodyText"/>
                    <w:spacing w:after="0"/>
                    <w:ind w:left="0" w:right="57"/>
                  </w:pPr>
                  <w:r w:rsidRPr="00013DC6">
                    <w:t>1501.5</w:t>
                  </w:r>
                </w:p>
              </w:tc>
              <w:tc>
                <w:tcPr>
                  <w:tcW w:w="501" w:type="pct"/>
                  <w:vAlign w:val="bottom"/>
                </w:tcPr>
                <w:p w:rsidR="00AC2131" w:rsidRPr="00013DC6" w:rsidRDefault="00AC2131" w:rsidP="00AC2131">
                  <w:pPr>
                    <w:pStyle w:val="TableBodyText"/>
                    <w:spacing w:after="0"/>
                    <w:ind w:left="0" w:right="57"/>
                  </w:pPr>
                  <w:r w:rsidRPr="00013DC6">
                    <w:t>1687.1</w:t>
                  </w:r>
                </w:p>
              </w:tc>
              <w:tc>
                <w:tcPr>
                  <w:tcW w:w="501" w:type="pct"/>
                  <w:shd w:val="clear" w:color="auto" w:fill="auto"/>
                  <w:vAlign w:val="bottom"/>
                </w:tcPr>
                <w:p w:rsidR="00AC2131" w:rsidRPr="00013DC6" w:rsidRDefault="00AC2131" w:rsidP="00AC2131">
                  <w:pPr>
                    <w:pStyle w:val="TableBodyText"/>
                    <w:spacing w:after="0"/>
                    <w:ind w:left="0" w:right="57"/>
                  </w:pPr>
                  <w:r w:rsidRPr="00013DC6">
                    <w:t>1463.3</w:t>
                  </w:r>
                </w:p>
              </w:tc>
              <w:tc>
                <w:tcPr>
                  <w:tcW w:w="502" w:type="pct"/>
                  <w:shd w:val="clear" w:color="auto" w:fill="auto"/>
                  <w:vAlign w:val="bottom"/>
                </w:tcPr>
                <w:p w:rsidR="00AC2131" w:rsidRPr="00013DC6" w:rsidRDefault="00AC2131" w:rsidP="00AC2131">
                  <w:pPr>
                    <w:pStyle w:val="TableBodyText"/>
                    <w:spacing w:after="0"/>
                    <w:ind w:left="0" w:right="57"/>
                  </w:pPr>
                  <w:r w:rsidRPr="00013DC6">
                    <w:t>1739.0</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Motor vehicle</w:t>
                  </w:r>
                  <w:r>
                    <w:rPr>
                      <w:rFonts w:ascii="Arial" w:hAnsi="Arial" w:cs="Arial"/>
                      <w:sz w:val="18"/>
                      <w:szCs w:val="18"/>
                    </w:rPr>
                    <w:t>s</w:t>
                  </w:r>
                  <w:r w:rsidRPr="00BE7B87">
                    <w:rPr>
                      <w:rFonts w:ascii="Arial" w:hAnsi="Arial" w:cs="Arial"/>
                      <w:sz w:val="18"/>
                      <w:szCs w:val="18"/>
                    </w:rPr>
                    <w:t xml:space="preserve"> and parts</w:t>
                  </w:r>
                </w:p>
              </w:tc>
              <w:tc>
                <w:tcPr>
                  <w:tcW w:w="501" w:type="pct"/>
                  <w:vAlign w:val="bottom"/>
                </w:tcPr>
                <w:p w:rsidR="00AC2131" w:rsidRPr="00013DC6" w:rsidRDefault="00AC2131" w:rsidP="00AC2131">
                  <w:pPr>
                    <w:pStyle w:val="TableBodyText"/>
                    <w:spacing w:after="0"/>
                    <w:ind w:left="0" w:right="57"/>
                  </w:pPr>
                  <w:r w:rsidRPr="00013DC6">
                    <w:t>1314.0</w:t>
                  </w:r>
                </w:p>
              </w:tc>
              <w:tc>
                <w:tcPr>
                  <w:tcW w:w="501" w:type="pct"/>
                  <w:vAlign w:val="bottom"/>
                </w:tcPr>
                <w:p w:rsidR="00AC2131" w:rsidRPr="00013DC6" w:rsidRDefault="00AC2131" w:rsidP="00AC2131">
                  <w:pPr>
                    <w:pStyle w:val="TableBodyText"/>
                    <w:spacing w:after="0"/>
                    <w:ind w:left="0" w:right="57"/>
                  </w:pPr>
                  <w:r w:rsidRPr="00013DC6">
                    <w:t>1419.9</w:t>
                  </w:r>
                </w:p>
              </w:tc>
              <w:tc>
                <w:tcPr>
                  <w:tcW w:w="501" w:type="pct"/>
                  <w:vAlign w:val="bottom"/>
                </w:tcPr>
                <w:p w:rsidR="00AC2131" w:rsidRPr="00013DC6" w:rsidRDefault="00AC2131" w:rsidP="00AC2131">
                  <w:pPr>
                    <w:pStyle w:val="TableBodyText"/>
                    <w:spacing w:after="0"/>
                    <w:ind w:left="0" w:right="57"/>
                  </w:pPr>
                  <w:r w:rsidRPr="00013DC6">
                    <w:t>1094.6</w:t>
                  </w:r>
                </w:p>
              </w:tc>
              <w:tc>
                <w:tcPr>
                  <w:tcW w:w="501" w:type="pct"/>
                  <w:vAlign w:val="bottom"/>
                </w:tcPr>
                <w:p w:rsidR="00AC2131" w:rsidRPr="00013DC6" w:rsidRDefault="00AC2131" w:rsidP="00AC2131">
                  <w:pPr>
                    <w:pStyle w:val="TableBodyText"/>
                    <w:spacing w:after="0"/>
                    <w:ind w:left="0" w:right="57"/>
                  </w:pPr>
                  <w:r w:rsidRPr="00013DC6">
                    <w:t>1173.7</w:t>
                  </w:r>
                </w:p>
              </w:tc>
              <w:tc>
                <w:tcPr>
                  <w:tcW w:w="501" w:type="pct"/>
                  <w:shd w:val="clear" w:color="auto" w:fill="auto"/>
                  <w:vAlign w:val="bottom"/>
                </w:tcPr>
                <w:p w:rsidR="00AC2131" w:rsidRPr="00013DC6" w:rsidRDefault="00AC2131" w:rsidP="00AC2131">
                  <w:pPr>
                    <w:pStyle w:val="TableBodyText"/>
                    <w:spacing w:after="0"/>
                    <w:ind w:left="0" w:right="57"/>
                  </w:pPr>
                  <w:r w:rsidRPr="00013DC6">
                    <w:t>980.9</w:t>
                  </w:r>
                </w:p>
              </w:tc>
              <w:tc>
                <w:tcPr>
                  <w:tcW w:w="502" w:type="pct"/>
                  <w:shd w:val="clear" w:color="auto" w:fill="auto"/>
                  <w:vAlign w:val="bottom"/>
                </w:tcPr>
                <w:p w:rsidR="00AC2131" w:rsidRPr="00013DC6" w:rsidRDefault="00AC2131" w:rsidP="00AC2131">
                  <w:pPr>
                    <w:pStyle w:val="TableBodyText"/>
                    <w:spacing w:after="0"/>
                    <w:ind w:left="0" w:right="57"/>
                  </w:pPr>
                  <w:r w:rsidRPr="00013DC6">
                    <w:t>899.4</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Other transport equipment</w:t>
                  </w:r>
                </w:p>
              </w:tc>
              <w:tc>
                <w:tcPr>
                  <w:tcW w:w="501" w:type="pct"/>
                  <w:vAlign w:val="bottom"/>
                </w:tcPr>
                <w:p w:rsidR="00AC2131" w:rsidRPr="00013DC6" w:rsidRDefault="00AC2131" w:rsidP="00AC2131">
                  <w:pPr>
                    <w:pStyle w:val="TableBodyText"/>
                    <w:spacing w:after="0"/>
                    <w:ind w:left="0" w:right="57"/>
                  </w:pPr>
                  <w:r w:rsidRPr="00013DC6">
                    <w:t>37.3</w:t>
                  </w:r>
                </w:p>
              </w:tc>
              <w:tc>
                <w:tcPr>
                  <w:tcW w:w="501" w:type="pct"/>
                  <w:vAlign w:val="bottom"/>
                </w:tcPr>
                <w:p w:rsidR="00AC2131" w:rsidRPr="00013DC6" w:rsidRDefault="00AC2131" w:rsidP="00AC2131">
                  <w:pPr>
                    <w:pStyle w:val="TableBodyText"/>
                    <w:spacing w:after="0"/>
                    <w:ind w:left="0" w:right="57"/>
                  </w:pPr>
                  <w:r w:rsidRPr="00013DC6">
                    <w:t>43.2</w:t>
                  </w:r>
                </w:p>
              </w:tc>
              <w:tc>
                <w:tcPr>
                  <w:tcW w:w="501" w:type="pct"/>
                  <w:vAlign w:val="bottom"/>
                </w:tcPr>
                <w:p w:rsidR="00AC2131" w:rsidRPr="00013DC6" w:rsidRDefault="00AC2131" w:rsidP="00AC2131">
                  <w:pPr>
                    <w:pStyle w:val="TableBodyText"/>
                    <w:spacing w:after="0"/>
                    <w:ind w:left="0" w:right="57"/>
                  </w:pPr>
                  <w:r w:rsidRPr="00013DC6">
                    <w:t>37.6</w:t>
                  </w:r>
                </w:p>
              </w:tc>
              <w:tc>
                <w:tcPr>
                  <w:tcW w:w="501" w:type="pct"/>
                  <w:vAlign w:val="bottom"/>
                </w:tcPr>
                <w:p w:rsidR="00AC2131" w:rsidRPr="00013DC6" w:rsidRDefault="00AC2131" w:rsidP="00AC2131">
                  <w:pPr>
                    <w:pStyle w:val="TableBodyText"/>
                    <w:spacing w:after="0"/>
                    <w:ind w:left="0" w:right="57"/>
                  </w:pPr>
                  <w:r w:rsidRPr="00013DC6">
                    <w:t>30.7</w:t>
                  </w:r>
                </w:p>
              </w:tc>
              <w:tc>
                <w:tcPr>
                  <w:tcW w:w="501" w:type="pct"/>
                  <w:shd w:val="clear" w:color="auto" w:fill="auto"/>
                  <w:vAlign w:val="bottom"/>
                </w:tcPr>
                <w:p w:rsidR="00AC2131" w:rsidRPr="00013DC6" w:rsidRDefault="00AC2131" w:rsidP="00AC2131">
                  <w:pPr>
                    <w:pStyle w:val="TableBodyText"/>
                    <w:spacing w:after="0"/>
                    <w:ind w:left="0" w:right="57"/>
                  </w:pPr>
                  <w:r w:rsidRPr="00013DC6">
                    <w:t>29.6</w:t>
                  </w:r>
                </w:p>
              </w:tc>
              <w:tc>
                <w:tcPr>
                  <w:tcW w:w="502" w:type="pct"/>
                  <w:shd w:val="clear" w:color="auto" w:fill="auto"/>
                  <w:vAlign w:val="bottom"/>
                </w:tcPr>
                <w:p w:rsidR="00AC2131" w:rsidRPr="00013DC6" w:rsidRDefault="00AC2131" w:rsidP="00AC2131">
                  <w:pPr>
                    <w:pStyle w:val="TableBodyText"/>
                    <w:spacing w:after="0"/>
                    <w:ind w:left="0" w:right="57"/>
                  </w:pPr>
                  <w:r w:rsidRPr="00013DC6">
                    <w:t>27.3</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Machinery &amp; equipment manufacturing</w:t>
                  </w:r>
                </w:p>
              </w:tc>
              <w:tc>
                <w:tcPr>
                  <w:tcW w:w="501" w:type="pct"/>
                  <w:vAlign w:val="bottom"/>
                </w:tcPr>
                <w:p w:rsidR="00AC2131" w:rsidRPr="00013DC6" w:rsidRDefault="00AC2131" w:rsidP="00AC2131">
                  <w:pPr>
                    <w:pStyle w:val="TableBodyText"/>
                    <w:spacing w:after="0"/>
                    <w:ind w:left="0" w:right="57"/>
                  </w:pPr>
                  <w:r w:rsidRPr="00013DC6">
                    <w:t>634.3</w:t>
                  </w:r>
                </w:p>
              </w:tc>
              <w:tc>
                <w:tcPr>
                  <w:tcW w:w="501" w:type="pct"/>
                  <w:vAlign w:val="bottom"/>
                </w:tcPr>
                <w:p w:rsidR="00AC2131" w:rsidRPr="00013DC6" w:rsidRDefault="00AC2131" w:rsidP="00AC2131">
                  <w:pPr>
                    <w:pStyle w:val="TableBodyText"/>
                    <w:spacing w:after="0"/>
                    <w:ind w:left="0" w:right="57"/>
                  </w:pPr>
                  <w:r w:rsidRPr="00013DC6">
                    <w:t>653.2</w:t>
                  </w:r>
                </w:p>
              </w:tc>
              <w:tc>
                <w:tcPr>
                  <w:tcW w:w="501" w:type="pct"/>
                  <w:vAlign w:val="bottom"/>
                </w:tcPr>
                <w:p w:rsidR="00AC2131" w:rsidRPr="00013DC6" w:rsidRDefault="00AC2131" w:rsidP="00AC2131">
                  <w:pPr>
                    <w:pStyle w:val="TableBodyText"/>
                    <w:spacing w:after="0"/>
                    <w:ind w:left="0" w:right="57"/>
                  </w:pPr>
                  <w:r w:rsidRPr="00013DC6">
                    <w:t>599.7</w:t>
                  </w:r>
                </w:p>
              </w:tc>
              <w:tc>
                <w:tcPr>
                  <w:tcW w:w="501" w:type="pct"/>
                  <w:vAlign w:val="bottom"/>
                </w:tcPr>
                <w:p w:rsidR="00AC2131" w:rsidRPr="00013DC6" w:rsidRDefault="00AC2131" w:rsidP="00AC2131">
                  <w:pPr>
                    <w:pStyle w:val="TableBodyText"/>
                    <w:spacing w:after="0"/>
                    <w:ind w:left="0" w:right="57"/>
                  </w:pPr>
                  <w:r w:rsidRPr="00013DC6">
                    <w:t>609.9</w:t>
                  </w:r>
                </w:p>
              </w:tc>
              <w:tc>
                <w:tcPr>
                  <w:tcW w:w="501" w:type="pct"/>
                  <w:shd w:val="clear" w:color="auto" w:fill="auto"/>
                  <w:vAlign w:val="bottom"/>
                </w:tcPr>
                <w:p w:rsidR="00AC2131" w:rsidRPr="00013DC6" w:rsidRDefault="00AC2131" w:rsidP="00AC2131">
                  <w:pPr>
                    <w:pStyle w:val="TableBodyText"/>
                    <w:spacing w:after="0"/>
                    <w:ind w:left="0" w:right="57"/>
                  </w:pPr>
                  <w:r w:rsidRPr="00013DC6">
                    <w:t>597.7</w:t>
                  </w:r>
                </w:p>
              </w:tc>
              <w:tc>
                <w:tcPr>
                  <w:tcW w:w="502" w:type="pct"/>
                  <w:shd w:val="clear" w:color="auto" w:fill="auto"/>
                  <w:vAlign w:val="bottom"/>
                </w:tcPr>
                <w:p w:rsidR="00AC2131" w:rsidRPr="00013DC6" w:rsidRDefault="00AC2131" w:rsidP="00AC2131">
                  <w:pPr>
                    <w:pStyle w:val="TableBodyText"/>
                    <w:spacing w:after="0"/>
                    <w:ind w:left="0" w:right="57"/>
                  </w:pPr>
                  <w:r w:rsidRPr="00013DC6">
                    <w:t>542.7</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Furniture and other manufacturing</w:t>
                  </w:r>
                </w:p>
              </w:tc>
              <w:tc>
                <w:tcPr>
                  <w:tcW w:w="501" w:type="pct"/>
                  <w:vAlign w:val="bottom"/>
                </w:tcPr>
                <w:p w:rsidR="00AC2131" w:rsidRPr="00013DC6" w:rsidRDefault="00AC2131" w:rsidP="00AC2131">
                  <w:pPr>
                    <w:pStyle w:val="TableBodyText"/>
                    <w:spacing w:after="0"/>
                    <w:ind w:left="0" w:right="57"/>
                  </w:pPr>
                  <w:r w:rsidRPr="00013DC6">
                    <w:t>194.5</w:t>
                  </w:r>
                </w:p>
              </w:tc>
              <w:tc>
                <w:tcPr>
                  <w:tcW w:w="501" w:type="pct"/>
                  <w:vAlign w:val="bottom"/>
                </w:tcPr>
                <w:p w:rsidR="00AC2131" w:rsidRPr="00013DC6" w:rsidRDefault="00AC2131" w:rsidP="00AC2131">
                  <w:pPr>
                    <w:pStyle w:val="TableBodyText"/>
                    <w:spacing w:after="0"/>
                    <w:ind w:left="0" w:right="57"/>
                  </w:pPr>
                  <w:r w:rsidRPr="00013DC6">
                    <w:t>185.5</w:t>
                  </w:r>
                </w:p>
              </w:tc>
              <w:tc>
                <w:tcPr>
                  <w:tcW w:w="501" w:type="pct"/>
                  <w:vAlign w:val="bottom"/>
                </w:tcPr>
                <w:p w:rsidR="00AC2131" w:rsidRPr="00013DC6" w:rsidRDefault="00AC2131" w:rsidP="00AC2131">
                  <w:pPr>
                    <w:pStyle w:val="TableBodyText"/>
                    <w:spacing w:after="0"/>
                    <w:ind w:left="0" w:right="57"/>
                  </w:pPr>
                  <w:r w:rsidRPr="00013DC6">
                    <w:t>181.9</w:t>
                  </w:r>
                </w:p>
              </w:tc>
              <w:tc>
                <w:tcPr>
                  <w:tcW w:w="501" w:type="pct"/>
                  <w:vAlign w:val="bottom"/>
                </w:tcPr>
                <w:p w:rsidR="00AC2131" w:rsidRPr="00013DC6" w:rsidRDefault="00AC2131" w:rsidP="00AC2131">
                  <w:pPr>
                    <w:pStyle w:val="TableBodyText"/>
                    <w:spacing w:after="0"/>
                    <w:ind w:left="0" w:right="57"/>
                  </w:pPr>
                  <w:r w:rsidRPr="00013DC6">
                    <w:t>196.8</w:t>
                  </w:r>
                </w:p>
              </w:tc>
              <w:tc>
                <w:tcPr>
                  <w:tcW w:w="501" w:type="pct"/>
                  <w:shd w:val="clear" w:color="auto" w:fill="auto"/>
                  <w:vAlign w:val="bottom"/>
                </w:tcPr>
                <w:p w:rsidR="00AC2131" w:rsidRPr="00013DC6" w:rsidRDefault="00AC2131" w:rsidP="00AC2131">
                  <w:pPr>
                    <w:pStyle w:val="TableBodyText"/>
                    <w:spacing w:after="0"/>
                    <w:ind w:left="0" w:right="57"/>
                  </w:pPr>
                  <w:r w:rsidRPr="00013DC6">
                    <w:t>191.6</w:t>
                  </w:r>
                </w:p>
              </w:tc>
              <w:tc>
                <w:tcPr>
                  <w:tcW w:w="502" w:type="pct"/>
                  <w:shd w:val="clear" w:color="auto" w:fill="auto"/>
                  <w:vAlign w:val="bottom"/>
                </w:tcPr>
                <w:p w:rsidR="00AC2131" w:rsidRPr="00013DC6" w:rsidRDefault="00AC2131" w:rsidP="00AC2131">
                  <w:pPr>
                    <w:pStyle w:val="TableBodyText"/>
                    <w:spacing w:after="0"/>
                    <w:ind w:left="0" w:right="57"/>
                  </w:pPr>
                  <w:r w:rsidRPr="00013DC6">
                    <w:t>181.2</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Unallocated manufacturing</w:t>
                  </w:r>
                  <w:r w:rsidRPr="008405D4">
                    <w:rPr>
                      <w:rStyle w:val="NoteLabel"/>
                    </w:rPr>
                    <w:t>b</w:t>
                  </w:r>
                </w:p>
              </w:tc>
              <w:tc>
                <w:tcPr>
                  <w:tcW w:w="501" w:type="pct"/>
                  <w:vAlign w:val="bottom"/>
                </w:tcPr>
                <w:p w:rsidR="00AC2131" w:rsidRPr="00013DC6" w:rsidRDefault="00AC2131" w:rsidP="00AC2131">
                  <w:pPr>
                    <w:pStyle w:val="TableBodyText"/>
                    <w:spacing w:after="0"/>
                    <w:ind w:left="0" w:right="57"/>
                  </w:pPr>
                  <w:r w:rsidRPr="00013DC6">
                    <w:t>234.2</w:t>
                  </w:r>
                </w:p>
              </w:tc>
              <w:tc>
                <w:tcPr>
                  <w:tcW w:w="501" w:type="pct"/>
                  <w:vAlign w:val="bottom"/>
                </w:tcPr>
                <w:p w:rsidR="00AC2131" w:rsidRPr="00013DC6" w:rsidRDefault="00AC2131" w:rsidP="00AC2131">
                  <w:pPr>
                    <w:pStyle w:val="TableBodyText"/>
                    <w:spacing w:after="0"/>
                    <w:ind w:left="0" w:right="57"/>
                  </w:pPr>
                  <w:r w:rsidRPr="00013DC6">
                    <w:t>271.4</w:t>
                  </w:r>
                </w:p>
              </w:tc>
              <w:tc>
                <w:tcPr>
                  <w:tcW w:w="501" w:type="pct"/>
                  <w:vAlign w:val="bottom"/>
                </w:tcPr>
                <w:p w:rsidR="00AC2131" w:rsidRPr="00013DC6" w:rsidRDefault="00AC2131" w:rsidP="00AC2131">
                  <w:pPr>
                    <w:pStyle w:val="TableBodyText"/>
                    <w:spacing w:after="0"/>
                    <w:ind w:left="0" w:right="57"/>
                  </w:pPr>
                  <w:r w:rsidRPr="00013DC6">
                    <w:t>236.8</w:t>
                  </w:r>
                </w:p>
              </w:tc>
              <w:tc>
                <w:tcPr>
                  <w:tcW w:w="501" w:type="pct"/>
                  <w:vAlign w:val="bottom"/>
                </w:tcPr>
                <w:p w:rsidR="00AC2131" w:rsidRPr="00013DC6" w:rsidRDefault="00AC2131" w:rsidP="00AC2131">
                  <w:pPr>
                    <w:pStyle w:val="TableBodyText"/>
                    <w:spacing w:after="0"/>
                    <w:ind w:left="0" w:right="57"/>
                  </w:pPr>
                  <w:r w:rsidRPr="00013DC6">
                    <w:t>229.8</w:t>
                  </w:r>
                </w:p>
              </w:tc>
              <w:tc>
                <w:tcPr>
                  <w:tcW w:w="501" w:type="pct"/>
                  <w:shd w:val="clear" w:color="auto" w:fill="auto"/>
                  <w:vAlign w:val="bottom"/>
                </w:tcPr>
                <w:p w:rsidR="00AC2131" w:rsidRPr="00013DC6" w:rsidRDefault="00AC2131" w:rsidP="00AC2131">
                  <w:pPr>
                    <w:pStyle w:val="TableBodyText"/>
                    <w:spacing w:after="0"/>
                    <w:ind w:left="0" w:right="57"/>
                  </w:pPr>
                  <w:r w:rsidRPr="00013DC6">
                    <w:t>203.0</w:t>
                  </w:r>
                </w:p>
              </w:tc>
              <w:tc>
                <w:tcPr>
                  <w:tcW w:w="502" w:type="pct"/>
                  <w:shd w:val="clear" w:color="auto" w:fill="auto"/>
                  <w:vAlign w:val="bottom"/>
                </w:tcPr>
                <w:p w:rsidR="00AC2131" w:rsidRPr="00013DC6" w:rsidRDefault="00AC2131" w:rsidP="00AC2131">
                  <w:pPr>
                    <w:pStyle w:val="TableBodyText"/>
                    <w:spacing w:after="0"/>
                    <w:ind w:left="0" w:right="57"/>
                  </w:pPr>
                  <w:r w:rsidRPr="00013DC6">
                    <w:t>198.0</w:t>
                  </w:r>
                </w:p>
              </w:tc>
            </w:tr>
            <w:tr w:rsidR="00AC2131" w:rsidRPr="00013DC6" w:rsidTr="00AC2131">
              <w:tc>
                <w:tcPr>
                  <w:tcW w:w="1992" w:type="pct"/>
                  <w:shd w:val="clear" w:color="auto" w:fill="auto"/>
                  <w:vAlign w:val="bottom"/>
                </w:tcPr>
                <w:p w:rsidR="00AC2131" w:rsidRPr="00013DC6" w:rsidRDefault="00AC2131">
                  <w:pPr>
                    <w:rPr>
                      <w:rFonts w:ascii="Arial" w:hAnsi="Arial" w:cs="Arial"/>
                      <w:b/>
                      <w:bCs/>
                      <w:sz w:val="18"/>
                      <w:szCs w:val="18"/>
                    </w:rPr>
                  </w:pPr>
                  <w:r w:rsidRPr="00013DC6">
                    <w:rPr>
                      <w:rFonts w:ascii="Arial" w:hAnsi="Arial" w:cs="Arial"/>
                      <w:b/>
                      <w:bCs/>
                      <w:sz w:val="18"/>
                      <w:szCs w:val="18"/>
                    </w:rPr>
                    <w:t>Services</w:t>
                  </w:r>
                </w:p>
              </w:tc>
              <w:tc>
                <w:tcPr>
                  <w:tcW w:w="501" w:type="pct"/>
                  <w:vAlign w:val="bottom"/>
                </w:tcPr>
                <w:p w:rsidR="00AC2131" w:rsidRPr="00013DC6" w:rsidRDefault="00AC2131" w:rsidP="00AC2131">
                  <w:pPr>
                    <w:pStyle w:val="TableBodyText"/>
                    <w:spacing w:after="0"/>
                    <w:ind w:left="0" w:right="57"/>
                    <w:rPr>
                      <w:b/>
                    </w:rPr>
                  </w:pPr>
                  <w:r w:rsidRPr="00013DC6">
                    <w:rPr>
                      <w:b/>
                    </w:rPr>
                    <w:t>-647.4</w:t>
                  </w:r>
                </w:p>
              </w:tc>
              <w:tc>
                <w:tcPr>
                  <w:tcW w:w="501" w:type="pct"/>
                  <w:vAlign w:val="bottom"/>
                </w:tcPr>
                <w:p w:rsidR="00AC2131" w:rsidRPr="00013DC6" w:rsidRDefault="00AC2131" w:rsidP="00AC2131">
                  <w:pPr>
                    <w:pStyle w:val="TableBodyText"/>
                    <w:spacing w:after="0"/>
                    <w:ind w:left="0" w:right="57"/>
                    <w:rPr>
                      <w:b/>
                    </w:rPr>
                  </w:pPr>
                  <w:r w:rsidRPr="00013DC6">
                    <w:rPr>
                      <w:b/>
                    </w:rPr>
                    <w:t>328.7</w:t>
                  </w:r>
                </w:p>
              </w:tc>
              <w:tc>
                <w:tcPr>
                  <w:tcW w:w="501" w:type="pct"/>
                  <w:vAlign w:val="bottom"/>
                </w:tcPr>
                <w:p w:rsidR="00AC2131" w:rsidRPr="00013DC6" w:rsidRDefault="00AC2131" w:rsidP="00AC2131">
                  <w:pPr>
                    <w:pStyle w:val="TableBodyText"/>
                    <w:spacing w:after="0"/>
                    <w:ind w:left="0" w:right="57"/>
                    <w:rPr>
                      <w:b/>
                    </w:rPr>
                  </w:pPr>
                  <w:r w:rsidRPr="00013DC6">
                    <w:rPr>
                      <w:b/>
                    </w:rPr>
                    <w:t>237.4</w:t>
                  </w:r>
                </w:p>
              </w:tc>
              <w:tc>
                <w:tcPr>
                  <w:tcW w:w="501" w:type="pct"/>
                  <w:vAlign w:val="bottom"/>
                </w:tcPr>
                <w:p w:rsidR="00AC2131" w:rsidRPr="00013DC6" w:rsidRDefault="00AC2131" w:rsidP="00AC2131">
                  <w:pPr>
                    <w:pStyle w:val="TableBodyText"/>
                    <w:spacing w:after="0"/>
                    <w:ind w:left="0" w:right="57"/>
                    <w:rPr>
                      <w:b/>
                    </w:rPr>
                  </w:pPr>
                  <w:r w:rsidRPr="00013DC6">
                    <w:rPr>
                      <w:b/>
                    </w:rPr>
                    <w:t>441.2</w:t>
                  </w:r>
                </w:p>
              </w:tc>
              <w:tc>
                <w:tcPr>
                  <w:tcW w:w="501" w:type="pct"/>
                  <w:shd w:val="clear" w:color="auto" w:fill="auto"/>
                  <w:vAlign w:val="bottom"/>
                </w:tcPr>
                <w:p w:rsidR="00AC2131" w:rsidRPr="00013DC6" w:rsidRDefault="00AC2131" w:rsidP="00AC2131">
                  <w:pPr>
                    <w:pStyle w:val="TableBodyText"/>
                    <w:spacing w:after="0"/>
                    <w:ind w:left="0" w:right="57"/>
                    <w:rPr>
                      <w:b/>
                    </w:rPr>
                  </w:pPr>
                  <w:r w:rsidRPr="00013DC6">
                    <w:rPr>
                      <w:b/>
                    </w:rPr>
                    <w:t>-1101.1</w:t>
                  </w:r>
                </w:p>
              </w:tc>
              <w:tc>
                <w:tcPr>
                  <w:tcW w:w="502" w:type="pct"/>
                  <w:shd w:val="clear" w:color="auto" w:fill="auto"/>
                  <w:vAlign w:val="bottom"/>
                </w:tcPr>
                <w:p w:rsidR="00AC2131" w:rsidRPr="00013DC6" w:rsidRDefault="00AC2131" w:rsidP="00AC2131">
                  <w:pPr>
                    <w:pStyle w:val="TableBodyText"/>
                    <w:spacing w:after="0"/>
                    <w:ind w:left="0" w:right="57"/>
                    <w:rPr>
                      <w:b/>
                    </w:rPr>
                  </w:pPr>
                  <w:r w:rsidRPr="00013DC6">
                    <w:rPr>
                      <w:b/>
                    </w:rPr>
                    <w:t>-623.2</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Electricity, gas, water &amp; waste services</w:t>
                  </w:r>
                </w:p>
              </w:tc>
              <w:tc>
                <w:tcPr>
                  <w:tcW w:w="501" w:type="pct"/>
                  <w:vAlign w:val="bottom"/>
                </w:tcPr>
                <w:p w:rsidR="00AC2131" w:rsidRPr="00013DC6" w:rsidRDefault="00AC2131" w:rsidP="00AC2131">
                  <w:pPr>
                    <w:pStyle w:val="TableBodyText"/>
                    <w:spacing w:after="0"/>
                    <w:ind w:left="0" w:right="57"/>
                  </w:pPr>
                  <w:r w:rsidRPr="00013DC6">
                    <w:t>36.1</w:t>
                  </w:r>
                </w:p>
              </w:tc>
              <w:tc>
                <w:tcPr>
                  <w:tcW w:w="501" w:type="pct"/>
                  <w:vAlign w:val="bottom"/>
                </w:tcPr>
                <w:p w:rsidR="00AC2131" w:rsidRPr="00013DC6" w:rsidRDefault="00AC2131" w:rsidP="00AC2131">
                  <w:pPr>
                    <w:pStyle w:val="TableBodyText"/>
                    <w:spacing w:after="0"/>
                    <w:ind w:left="0" w:right="57"/>
                  </w:pPr>
                  <w:r w:rsidRPr="00013DC6">
                    <w:t>103.2</w:t>
                  </w:r>
                </w:p>
              </w:tc>
              <w:tc>
                <w:tcPr>
                  <w:tcW w:w="501" w:type="pct"/>
                  <w:vAlign w:val="bottom"/>
                </w:tcPr>
                <w:p w:rsidR="00AC2131" w:rsidRPr="00013DC6" w:rsidRDefault="00AC2131" w:rsidP="00AC2131">
                  <w:pPr>
                    <w:pStyle w:val="TableBodyText"/>
                    <w:spacing w:after="0"/>
                    <w:ind w:left="0" w:right="57"/>
                  </w:pPr>
                  <w:r w:rsidRPr="00013DC6">
                    <w:t>386.5</w:t>
                  </w:r>
                </w:p>
              </w:tc>
              <w:tc>
                <w:tcPr>
                  <w:tcW w:w="501" w:type="pct"/>
                  <w:vAlign w:val="bottom"/>
                </w:tcPr>
                <w:p w:rsidR="00AC2131" w:rsidRPr="00013DC6" w:rsidRDefault="00AC2131" w:rsidP="00AC2131">
                  <w:pPr>
                    <w:pStyle w:val="TableBodyText"/>
                    <w:spacing w:after="0"/>
                    <w:ind w:left="0" w:right="57"/>
                  </w:pPr>
                  <w:r w:rsidRPr="00013DC6">
                    <w:t>1022.6</w:t>
                  </w:r>
                </w:p>
              </w:tc>
              <w:tc>
                <w:tcPr>
                  <w:tcW w:w="501" w:type="pct"/>
                  <w:shd w:val="clear" w:color="auto" w:fill="auto"/>
                  <w:vAlign w:val="bottom"/>
                </w:tcPr>
                <w:p w:rsidR="00AC2131" w:rsidRPr="00013DC6" w:rsidRDefault="00AC2131" w:rsidP="00AC2131">
                  <w:pPr>
                    <w:pStyle w:val="TableBodyText"/>
                    <w:spacing w:after="0"/>
                    <w:ind w:left="0" w:right="57"/>
                  </w:pPr>
                  <w:r w:rsidRPr="00013DC6">
                    <w:t>23.4</w:t>
                  </w:r>
                </w:p>
              </w:tc>
              <w:tc>
                <w:tcPr>
                  <w:tcW w:w="502" w:type="pct"/>
                  <w:shd w:val="clear" w:color="auto" w:fill="auto"/>
                  <w:vAlign w:val="bottom"/>
                </w:tcPr>
                <w:p w:rsidR="00AC2131" w:rsidRPr="00013DC6" w:rsidRDefault="00AC2131" w:rsidP="00AC2131">
                  <w:pPr>
                    <w:pStyle w:val="TableBodyText"/>
                    <w:spacing w:after="0"/>
                    <w:ind w:left="0" w:right="57"/>
                  </w:pPr>
                  <w:r w:rsidRPr="00013DC6">
                    <w:t>136.6</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Construction</w:t>
                  </w:r>
                </w:p>
              </w:tc>
              <w:tc>
                <w:tcPr>
                  <w:tcW w:w="501" w:type="pct"/>
                  <w:vAlign w:val="bottom"/>
                </w:tcPr>
                <w:p w:rsidR="00AC2131" w:rsidRPr="00013DC6" w:rsidRDefault="00AC2131" w:rsidP="00AC2131">
                  <w:pPr>
                    <w:pStyle w:val="TableBodyText"/>
                    <w:spacing w:after="0"/>
                    <w:ind w:left="0" w:right="57"/>
                  </w:pPr>
                  <w:r w:rsidRPr="00013DC6">
                    <w:t>-1199.1</w:t>
                  </w:r>
                </w:p>
              </w:tc>
              <w:tc>
                <w:tcPr>
                  <w:tcW w:w="501" w:type="pct"/>
                  <w:vAlign w:val="bottom"/>
                </w:tcPr>
                <w:p w:rsidR="00AC2131" w:rsidRPr="00013DC6" w:rsidRDefault="00AC2131" w:rsidP="00AC2131">
                  <w:pPr>
                    <w:pStyle w:val="TableBodyText"/>
                    <w:spacing w:after="0"/>
                    <w:ind w:left="0" w:right="57"/>
                  </w:pPr>
                  <w:r w:rsidRPr="00013DC6">
                    <w:t>-1127.3</w:t>
                  </w:r>
                </w:p>
              </w:tc>
              <w:tc>
                <w:tcPr>
                  <w:tcW w:w="501" w:type="pct"/>
                  <w:vAlign w:val="bottom"/>
                </w:tcPr>
                <w:p w:rsidR="00AC2131" w:rsidRPr="00013DC6" w:rsidRDefault="00AC2131" w:rsidP="00AC2131">
                  <w:pPr>
                    <w:pStyle w:val="TableBodyText"/>
                    <w:spacing w:after="0"/>
                    <w:ind w:left="0" w:right="57"/>
                  </w:pPr>
                  <w:r w:rsidRPr="00013DC6">
                    <w:t>-1298.7</w:t>
                  </w:r>
                </w:p>
              </w:tc>
              <w:tc>
                <w:tcPr>
                  <w:tcW w:w="501" w:type="pct"/>
                  <w:vAlign w:val="bottom"/>
                </w:tcPr>
                <w:p w:rsidR="00AC2131" w:rsidRPr="00013DC6" w:rsidRDefault="00AC2131" w:rsidP="00AC2131">
                  <w:pPr>
                    <w:pStyle w:val="TableBodyText"/>
                    <w:spacing w:after="0"/>
                    <w:ind w:left="0" w:right="57"/>
                  </w:pPr>
                  <w:r w:rsidRPr="00013DC6">
                    <w:t>-1456.9</w:t>
                  </w:r>
                </w:p>
              </w:tc>
              <w:tc>
                <w:tcPr>
                  <w:tcW w:w="501" w:type="pct"/>
                  <w:shd w:val="clear" w:color="auto" w:fill="auto"/>
                  <w:vAlign w:val="bottom"/>
                </w:tcPr>
                <w:p w:rsidR="00AC2131" w:rsidRPr="00013DC6" w:rsidRDefault="00AC2131" w:rsidP="00AC2131">
                  <w:pPr>
                    <w:pStyle w:val="TableBodyText"/>
                    <w:spacing w:after="0"/>
                    <w:ind w:left="0" w:right="57"/>
                  </w:pPr>
                  <w:r w:rsidRPr="00013DC6">
                    <w:t>-1573.5</w:t>
                  </w:r>
                </w:p>
              </w:tc>
              <w:tc>
                <w:tcPr>
                  <w:tcW w:w="502" w:type="pct"/>
                  <w:shd w:val="clear" w:color="auto" w:fill="auto"/>
                  <w:vAlign w:val="bottom"/>
                </w:tcPr>
                <w:p w:rsidR="00AC2131" w:rsidRPr="00013DC6" w:rsidRDefault="00AC2131" w:rsidP="00AC2131">
                  <w:pPr>
                    <w:pStyle w:val="TableBodyText"/>
                    <w:spacing w:after="0"/>
                    <w:ind w:left="0" w:right="57"/>
                  </w:pPr>
                  <w:r w:rsidRPr="00013DC6">
                    <w:t>-1462.5</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Wholesale trade</w:t>
                  </w:r>
                </w:p>
              </w:tc>
              <w:tc>
                <w:tcPr>
                  <w:tcW w:w="501" w:type="pct"/>
                  <w:vAlign w:val="bottom"/>
                </w:tcPr>
                <w:p w:rsidR="00AC2131" w:rsidRPr="00013DC6" w:rsidRDefault="00AC2131" w:rsidP="00AC2131">
                  <w:pPr>
                    <w:pStyle w:val="TableBodyText"/>
                    <w:spacing w:after="0"/>
                    <w:ind w:left="0" w:right="57"/>
                  </w:pPr>
                  <w:r w:rsidRPr="00013DC6">
                    <w:t>-54.0</w:t>
                  </w:r>
                </w:p>
              </w:tc>
              <w:tc>
                <w:tcPr>
                  <w:tcW w:w="501" w:type="pct"/>
                  <w:vAlign w:val="bottom"/>
                </w:tcPr>
                <w:p w:rsidR="00AC2131" w:rsidRPr="00013DC6" w:rsidRDefault="00AC2131" w:rsidP="00AC2131">
                  <w:pPr>
                    <w:pStyle w:val="TableBodyText"/>
                    <w:spacing w:after="0"/>
                    <w:ind w:left="0" w:right="57"/>
                  </w:pPr>
                  <w:r w:rsidRPr="00013DC6">
                    <w:t>79.8</w:t>
                  </w:r>
                </w:p>
              </w:tc>
              <w:tc>
                <w:tcPr>
                  <w:tcW w:w="501" w:type="pct"/>
                  <w:vAlign w:val="bottom"/>
                </w:tcPr>
                <w:p w:rsidR="00AC2131" w:rsidRPr="00013DC6" w:rsidRDefault="00AC2131" w:rsidP="00AC2131">
                  <w:pPr>
                    <w:pStyle w:val="TableBodyText"/>
                    <w:spacing w:after="0"/>
                    <w:ind w:left="0" w:right="57"/>
                  </w:pPr>
                  <w:r w:rsidRPr="00013DC6">
                    <w:t>188.7</w:t>
                  </w:r>
                </w:p>
              </w:tc>
              <w:tc>
                <w:tcPr>
                  <w:tcW w:w="501" w:type="pct"/>
                  <w:vAlign w:val="bottom"/>
                </w:tcPr>
                <w:p w:rsidR="00AC2131" w:rsidRPr="00013DC6" w:rsidRDefault="00AC2131" w:rsidP="00AC2131">
                  <w:pPr>
                    <w:pStyle w:val="TableBodyText"/>
                    <w:spacing w:after="0"/>
                    <w:ind w:left="0" w:right="57"/>
                  </w:pPr>
                  <w:r w:rsidRPr="00013DC6">
                    <w:t>25.2</w:t>
                  </w:r>
                </w:p>
              </w:tc>
              <w:tc>
                <w:tcPr>
                  <w:tcW w:w="501" w:type="pct"/>
                  <w:shd w:val="clear" w:color="auto" w:fill="auto"/>
                  <w:vAlign w:val="bottom"/>
                </w:tcPr>
                <w:p w:rsidR="00AC2131" w:rsidRPr="00013DC6" w:rsidRDefault="00AC2131" w:rsidP="00AC2131">
                  <w:pPr>
                    <w:pStyle w:val="TableBodyText"/>
                    <w:spacing w:after="0"/>
                    <w:ind w:left="0" w:right="57"/>
                  </w:pPr>
                  <w:r w:rsidRPr="00013DC6">
                    <w:t>-49.0</w:t>
                  </w:r>
                </w:p>
              </w:tc>
              <w:tc>
                <w:tcPr>
                  <w:tcW w:w="502" w:type="pct"/>
                  <w:shd w:val="clear" w:color="auto" w:fill="auto"/>
                  <w:vAlign w:val="bottom"/>
                </w:tcPr>
                <w:p w:rsidR="00AC2131" w:rsidRPr="00013DC6" w:rsidRDefault="00AC2131" w:rsidP="00AC2131">
                  <w:pPr>
                    <w:pStyle w:val="TableBodyText"/>
                    <w:spacing w:after="0"/>
                    <w:ind w:left="0" w:right="57"/>
                  </w:pPr>
                  <w:r w:rsidRPr="00013DC6">
                    <w:t>-102.9</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Retail trade</w:t>
                  </w:r>
                </w:p>
              </w:tc>
              <w:tc>
                <w:tcPr>
                  <w:tcW w:w="501" w:type="pct"/>
                  <w:vAlign w:val="bottom"/>
                </w:tcPr>
                <w:p w:rsidR="00AC2131" w:rsidRPr="00013DC6" w:rsidRDefault="00AC2131" w:rsidP="00AC2131">
                  <w:pPr>
                    <w:pStyle w:val="TableBodyText"/>
                    <w:spacing w:after="0"/>
                    <w:ind w:left="0" w:right="57"/>
                  </w:pPr>
                  <w:r w:rsidRPr="00013DC6">
                    <w:t>170.5</w:t>
                  </w:r>
                </w:p>
              </w:tc>
              <w:tc>
                <w:tcPr>
                  <w:tcW w:w="501" w:type="pct"/>
                  <w:vAlign w:val="bottom"/>
                </w:tcPr>
                <w:p w:rsidR="00AC2131" w:rsidRPr="00013DC6" w:rsidRDefault="00AC2131" w:rsidP="00AC2131">
                  <w:pPr>
                    <w:pStyle w:val="TableBodyText"/>
                    <w:spacing w:after="0"/>
                    <w:ind w:left="0" w:right="57"/>
                  </w:pPr>
                  <w:r w:rsidRPr="00013DC6">
                    <w:t>98.0</w:t>
                  </w:r>
                </w:p>
              </w:tc>
              <w:tc>
                <w:tcPr>
                  <w:tcW w:w="501" w:type="pct"/>
                  <w:vAlign w:val="bottom"/>
                </w:tcPr>
                <w:p w:rsidR="00AC2131" w:rsidRPr="00013DC6" w:rsidRDefault="00AC2131" w:rsidP="00AC2131">
                  <w:pPr>
                    <w:pStyle w:val="TableBodyText"/>
                    <w:spacing w:after="0"/>
                    <w:ind w:left="0" w:right="57"/>
                  </w:pPr>
                  <w:r w:rsidRPr="00013DC6">
                    <w:t>28.1</w:t>
                  </w:r>
                </w:p>
              </w:tc>
              <w:tc>
                <w:tcPr>
                  <w:tcW w:w="501" w:type="pct"/>
                  <w:vAlign w:val="bottom"/>
                </w:tcPr>
                <w:p w:rsidR="00AC2131" w:rsidRPr="00013DC6" w:rsidRDefault="00AC2131" w:rsidP="00AC2131">
                  <w:pPr>
                    <w:pStyle w:val="TableBodyText"/>
                    <w:spacing w:after="0"/>
                    <w:ind w:left="0" w:right="57"/>
                  </w:pPr>
                  <w:r w:rsidRPr="00013DC6">
                    <w:t>-46.0</w:t>
                  </w:r>
                </w:p>
              </w:tc>
              <w:tc>
                <w:tcPr>
                  <w:tcW w:w="501" w:type="pct"/>
                  <w:shd w:val="clear" w:color="auto" w:fill="auto"/>
                  <w:vAlign w:val="bottom"/>
                </w:tcPr>
                <w:p w:rsidR="00AC2131" w:rsidRPr="00013DC6" w:rsidRDefault="00AC2131" w:rsidP="00AC2131">
                  <w:pPr>
                    <w:pStyle w:val="TableBodyText"/>
                    <w:spacing w:after="0"/>
                    <w:ind w:left="0" w:right="57"/>
                  </w:pPr>
                  <w:r w:rsidRPr="00013DC6">
                    <w:t>-79.4</w:t>
                  </w:r>
                </w:p>
              </w:tc>
              <w:tc>
                <w:tcPr>
                  <w:tcW w:w="502" w:type="pct"/>
                  <w:shd w:val="clear" w:color="auto" w:fill="auto"/>
                  <w:vAlign w:val="bottom"/>
                </w:tcPr>
                <w:p w:rsidR="00AC2131" w:rsidRPr="00013DC6" w:rsidRDefault="00AC2131" w:rsidP="00AC2131">
                  <w:pPr>
                    <w:pStyle w:val="TableBodyText"/>
                    <w:spacing w:after="0"/>
                    <w:ind w:left="0" w:right="57"/>
                  </w:pPr>
                  <w:r w:rsidRPr="00013DC6">
                    <w:t>-22.4</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Accommodation &amp; food services</w:t>
                  </w:r>
                </w:p>
              </w:tc>
              <w:tc>
                <w:tcPr>
                  <w:tcW w:w="501" w:type="pct"/>
                  <w:vAlign w:val="bottom"/>
                </w:tcPr>
                <w:p w:rsidR="00AC2131" w:rsidRPr="00013DC6" w:rsidRDefault="00AC2131" w:rsidP="00AC2131">
                  <w:pPr>
                    <w:pStyle w:val="TableBodyText"/>
                    <w:spacing w:after="0"/>
                    <w:ind w:left="0" w:right="57"/>
                  </w:pPr>
                  <w:r w:rsidRPr="00013DC6">
                    <w:t>-370.2</w:t>
                  </w:r>
                </w:p>
              </w:tc>
              <w:tc>
                <w:tcPr>
                  <w:tcW w:w="501" w:type="pct"/>
                  <w:vAlign w:val="bottom"/>
                </w:tcPr>
                <w:p w:rsidR="00AC2131" w:rsidRPr="00013DC6" w:rsidRDefault="00AC2131" w:rsidP="00AC2131">
                  <w:pPr>
                    <w:pStyle w:val="TableBodyText"/>
                    <w:spacing w:after="0"/>
                    <w:ind w:left="0" w:right="57"/>
                  </w:pPr>
                  <w:r w:rsidRPr="00013DC6">
                    <w:t>-383.5</w:t>
                  </w:r>
                </w:p>
              </w:tc>
              <w:tc>
                <w:tcPr>
                  <w:tcW w:w="501" w:type="pct"/>
                  <w:vAlign w:val="bottom"/>
                </w:tcPr>
                <w:p w:rsidR="00AC2131" w:rsidRPr="00013DC6" w:rsidRDefault="00AC2131" w:rsidP="00AC2131">
                  <w:pPr>
                    <w:pStyle w:val="TableBodyText"/>
                    <w:spacing w:after="0"/>
                    <w:ind w:left="0" w:right="57"/>
                  </w:pPr>
                  <w:r w:rsidRPr="00013DC6">
                    <w:t>-422.0</w:t>
                  </w:r>
                </w:p>
              </w:tc>
              <w:tc>
                <w:tcPr>
                  <w:tcW w:w="501" w:type="pct"/>
                  <w:vAlign w:val="bottom"/>
                </w:tcPr>
                <w:p w:rsidR="00AC2131" w:rsidRPr="00013DC6" w:rsidRDefault="00AC2131" w:rsidP="00AC2131">
                  <w:pPr>
                    <w:pStyle w:val="TableBodyText"/>
                    <w:spacing w:after="0"/>
                    <w:ind w:left="0" w:right="57"/>
                  </w:pPr>
                  <w:r w:rsidRPr="00013DC6">
                    <w:t>-458.5</w:t>
                  </w:r>
                </w:p>
              </w:tc>
              <w:tc>
                <w:tcPr>
                  <w:tcW w:w="501" w:type="pct"/>
                  <w:shd w:val="clear" w:color="auto" w:fill="auto"/>
                  <w:vAlign w:val="bottom"/>
                </w:tcPr>
                <w:p w:rsidR="00AC2131" w:rsidRPr="00013DC6" w:rsidRDefault="00AC2131" w:rsidP="00AC2131">
                  <w:pPr>
                    <w:pStyle w:val="TableBodyText"/>
                    <w:spacing w:after="0"/>
                    <w:ind w:left="0" w:right="57"/>
                  </w:pPr>
                  <w:r w:rsidRPr="00013DC6">
                    <w:t>-475.2</w:t>
                  </w:r>
                </w:p>
              </w:tc>
              <w:tc>
                <w:tcPr>
                  <w:tcW w:w="502" w:type="pct"/>
                  <w:shd w:val="clear" w:color="auto" w:fill="auto"/>
                  <w:vAlign w:val="bottom"/>
                </w:tcPr>
                <w:p w:rsidR="00AC2131" w:rsidRPr="00013DC6" w:rsidRDefault="00AC2131" w:rsidP="00AC2131">
                  <w:pPr>
                    <w:pStyle w:val="TableBodyText"/>
                    <w:spacing w:after="0"/>
                    <w:ind w:left="0" w:right="57"/>
                  </w:pPr>
                  <w:r w:rsidRPr="00013DC6">
                    <w:t>-419.4</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Transport, postal &amp; warehousing</w:t>
                  </w:r>
                </w:p>
              </w:tc>
              <w:tc>
                <w:tcPr>
                  <w:tcW w:w="501" w:type="pct"/>
                  <w:vAlign w:val="bottom"/>
                </w:tcPr>
                <w:p w:rsidR="00AC2131" w:rsidRPr="00013DC6" w:rsidRDefault="00AC2131" w:rsidP="00AC2131">
                  <w:pPr>
                    <w:pStyle w:val="TableBodyText"/>
                    <w:spacing w:after="0"/>
                    <w:ind w:left="0" w:right="57"/>
                  </w:pPr>
                  <w:r w:rsidRPr="00013DC6">
                    <w:t>-97.1</w:t>
                  </w:r>
                </w:p>
              </w:tc>
              <w:tc>
                <w:tcPr>
                  <w:tcW w:w="501" w:type="pct"/>
                  <w:vAlign w:val="bottom"/>
                </w:tcPr>
                <w:p w:rsidR="00AC2131" w:rsidRPr="00013DC6" w:rsidRDefault="00AC2131" w:rsidP="00AC2131">
                  <w:pPr>
                    <w:pStyle w:val="TableBodyText"/>
                    <w:spacing w:after="0"/>
                    <w:ind w:left="0" w:right="57"/>
                  </w:pPr>
                  <w:r w:rsidRPr="00013DC6">
                    <w:t>72.8</w:t>
                  </w:r>
                </w:p>
              </w:tc>
              <w:tc>
                <w:tcPr>
                  <w:tcW w:w="501" w:type="pct"/>
                  <w:vAlign w:val="bottom"/>
                </w:tcPr>
                <w:p w:rsidR="00AC2131" w:rsidRPr="00013DC6" w:rsidRDefault="00AC2131" w:rsidP="00AC2131">
                  <w:pPr>
                    <w:pStyle w:val="TableBodyText"/>
                    <w:spacing w:after="0"/>
                    <w:ind w:left="0" w:right="57"/>
                  </w:pPr>
                  <w:r w:rsidRPr="00013DC6">
                    <w:t>79.1</w:t>
                  </w:r>
                </w:p>
              </w:tc>
              <w:tc>
                <w:tcPr>
                  <w:tcW w:w="501" w:type="pct"/>
                  <w:vAlign w:val="bottom"/>
                </w:tcPr>
                <w:p w:rsidR="00AC2131" w:rsidRPr="00013DC6" w:rsidRDefault="00AC2131" w:rsidP="00AC2131">
                  <w:pPr>
                    <w:pStyle w:val="TableBodyText"/>
                    <w:spacing w:after="0"/>
                    <w:ind w:left="0" w:right="57"/>
                  </w:pPr>
                  <w:r w:rsidRPr="00013DC6">
                    <w:t>40.9</w:t>
                  </w:r>
                </w:p>
              </w:tc>
              <w:tc>
                <w:tcPr>
                  <w:tcW w:w="501" w:type="pct"/>
                  <w:shd w:val="clear" w:color="auto" w:fill="auto"/>
                  <w:vAlign w:val="bottom"/>
                </w:tcPr>
                <w:p w:rsidR="00AC2131" w:rsidRPr="00013DC6" w:rsidRDefault="00AC2131" w:rsidP="00AC2131">
                  <w:pPr>
                    <w:pStyle w:val="TableBodyText"/>
                    <w:spacing w:after="0"/>
                    <w:ind w:left="0" w:right="57"/>
                  </w:pPr>
                  <w:r w:rsidRPr="00013DC6">
                    <w:t>-41.7</w:t>
                  </w:r>
                </w:p>
              </w:tc>
              <w:tc>
                <w:tcPr>
                  <w:tcW w:w="502" w:type="pct"/>
                  <w:shd w:val="clear" w:color="auto" w:fill="auto"/>
                  <w:vAlign w:val="bottom"/>
                </w:tcPr>
                <w:p w:rsidR="00AC2131" w:rsidRPr="00013DC6" w:rsidRDefault="00AC2131" w:rsidP="00AC2131">
                  <w:pPr>
                    <w:pStyle w:val="TableBodyText"/>
                    <w:spacing w:after="0"/>
                    <w:ind w:left="0" w:right="57"/>
                  </w:pPr>
                  <w:r w:rsidRPr="00013DC6">
                    <w:t>-30.4</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Information &amp; telecommunications</w:t>
                  </w:r>
                </w:p>
              </w:tc>
              <w:tc>
                <w:tcPr>
                  <w:tcW w:w="501" w:type="pct"/>
                  <w:vAlign w:val="bottom"/>
                </w:tcPr>
                <w:p w:rsidR="00AC2131" w:rsidRPr="00013DC6" w:rsidRDefault="00AC2131" w:rsidP="00AC2131">
                  <w:pPr>
                    <w:pStyle w:val="TableBodyText"/>
                    <w:spacing w:after="0"/>
                    <w:ind w:left="0" w:right="57"/>
                  </w:pPr>
                  <w:r w:rsidRPr="00013DC6">
                    <w:t>-7.5</w:t>
                  </w:r>
                </w:p>
              </w:tc>
              <w:tc>
                <w:tcPr>
                  <w:tcW w:w="501" w:type="pct"/>
                  <w:vAlign w:val="bottom"/>
                </w:tcPr>
                <w:p w:rsidR="00AC2131" w:rsidRPr="00013DC6" w:rsidRDefault="00AC2131" w:rsidP="00AC2131">
                  <w:pPr>
                    <w:pStyle w:val="TableBodyText"/>
                    <w:spacing w:after="0"/>
                    <w:ind w:left="0" w:right="57"/>
                  </w:pPr>
                  <w:r w:rsidRPr="00013DC6">
                    <w:t>59.0</w:t>
                  </w:r>
                </w:p>
              </w:tc>
              <w:tc>
                <w:tcPr>
                  <w:tcW w:w="501" w:type="pct"/>
                  <w:vAlign w:val="bottom"/>
                </w:tcPr>
                <w:p w:rsidR="00AC2131" w:rsidRPr="00013DC6" w:rsidRDefault="00AC2131" w:rsidP="00AC2131">
                  <w:pPr>
                    <w:pStyle w:val="TableBodyText"/>
                    <w:spacing w:after="0"/>
                    <w:ind w:left="0" w:right="57"/>
                  </w:pPr>
                  <w:r w:rsidRPr="00013DC6">
                    <w:t>119.9</w:t>
                  </w:r>
                </w:p>
              </w:tc>
              <w:tc>
                <w:tcPr>
                  <w:tcW w:w="501" w:type="pct"/>
                  <w:vAlign w:val="bottom"/>
                </w:tcPr>
                <w:p w:rsidR="00AC2131" w:rsidRPr="00013DC6" w:rsidRDefault="00AC2131" w:rsidP="00AC2131">
                  <w:pPr>
                    <w:pStyle w:val="TableBodyText"/>
                    <w:spacing w:after="0"/>
                    <w:ind w:left="0" w:right="57"/>
                  </w:pPr>
                  <w:r w:rsidRPr="00013DC6">
                    <w:t>147.8</w:t>
                  </w:r>
                </w:p>
              </w:tc>
              <w:tc>
                <w:tcPr>
                  <w:tcW w:w="501" w:type="pct"/>
                  <w:shd w:val="clear" w:color="auto" w:fill="auto"/>
                  <w:vAlign w:val="bottom"/>
                </w:tcPr>
                <w:p w:rsidR="00AC2131" w:rsidRPr="00013DC6" w:rsidRDefault="00AC2131" w:rsidP="00AC2131">
                  <w:pPr>
                    <w:pStyle w:val="TableBodyText"/>
                    <w:spacing w:after="0"/>
                    <w:ind w:left="0" w:right="57"/>
                  </w:pPr>
                  <w:r w:rsidRPr="00013DC6">
                    <w:t>207.9</w:t>
                  </w:r>
                </w:p>
              </w:tc>
              <w:tc>
                <w:tcPr>
                  <w:tcW w:w="502" w:type="pct"/>
                  <w:shd w:val="clear" w:color="auto" w:fill="auto"/>
                  <w:vAlign w:val="bottom"/>
                </w:tcPr>
                <w:p w:rsidR="00AC2131" w:rsidRPr="00013DC6" w:rsidRDefault="00AC2131" w:rsidP="00AC2131">
                  <w:pPr>
                    <w:pStyle w:val="TableBodyText"/>
                    <w:spacing w:after="0"/>
                    <w:ind w:left="0" w:right="57"/>
                  </w:pPr>
                  <w:r w:rsidRPr="00013DC6">
                    <w:t>-2.5</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Financial and insurance services</w:t>
                  </w:r>
                </w:p>
              </w:tc>
              <w:tc>
                <w:tcPr>
                  <w:tcW w:w="501" w:type="pct"/>
                  <w:vAlign w:val="bottom"/>
                </w:tcPr>
                <w:p w:rsidR="00AC2131" w:rsidRPr="00013DC6" w:rsidRDefault="00AC2131" w:rsidP="00AC2131">
                  <w:pPr>
                    <w:pStyle w:val="TableBodyText"/>
                    <w:spacing w:after="0"/>
                    <w:ind w:left="0" w:right="57"/>
                  </w:pPr>
                  <w:r w:rsidRPr="00013DC6">
                    <w:t>915.1</w:t>
                  </w:r>
                </w:p>
              </w:tc>
              <w:tc>
                <w:tcPr>
                  <w:tcW w:w="501" w:type="pct"/>
                  <w:vAlign w:val="bottom"/>
                </w:tcPr>
                <w:p w:rsidR="00AC2131" w:rsidRPr="00013DC6" w:rsidRDefault="00AC2131" w:rsidP="00AC2131">
                  <w:pPr>
                    <w:pStyle w:val="TableBodyText"/>
                    <w:spacing w:after="0"/>
                    <w:ind w:left="0" w:right="57"/>
                  </w:pPr>
                  <w:r w:rsidRPr="00013DC6">
                    <w:t>995.0</w:t>
                  </w:r>
                </w:p>
              </w:tc>
              <w:tc>
                <w:tcPr>
                  <w:tcW w:w="501" w:type="pct"/>
                  <w:vAlign w:val="bottom"/>
                </w:tcPr>
                <w:p w:rsidR="00AC2131" w:rsidRPr="00013DC6" w:rsidRDefault="00AC2131" w:rsidP="00AC2131">
                  <w:pPr>
                    <w:pStyle w:val="TableBodyText"/>
                    <w:spacing w:after="0"/>
                    <w:ind w:left="0" w:right="57"/>
                  </w:pPr>
                  <w:r w:rsidRPr="00013DC6">
                    <w:t>892.2</w:t>
                  </w:r>
                </w:p>
              </w:tc>
              <w:tc>
                <w:tcPr>
                  <w:tcW w:w="501" w:type="pct"/>
                  <w:vAlign w:val="bottom"/>
                </w:tcPr>
                <w:p w:rsidR="00AC2131" w:rsidRPr="00013DC6" w:rsidRDefault="00AC2131" w:rsidP="00AC2131">
                  <w:pPr>
                    <w:pStyle w:val="TableBodyText"/>
                    <w:spacing w:after="0"/>
                    <w:ind w:left="0" w:right="57"/>
                  </w:pPr>
                  <w:r w:rsidRPr="00013DC6">
                    <w:t>1026.9</w:t>
                  </w:r>
                </w:p>
              </w:tc>
              <w:tc>
                <w:tcPr>
                  <w:tcW w:w="501" w:type="pct"/>
                  <w:shd w:val="clear" w:color="auto" w:fill="auto"/>
                  <w:vAlign w:val="bottom"/>
                </w:tcPr>
                <w:p w:rsidR="00AC2131" w:rsidRPr="00013DC6" w:rsidRDefault="00AC2131" w:rsidP="00AC2131">
                  <w:pPr>
                    <w:pStyle w:val="TableBodyText"/>
                    <w:spacing w:after="0"/>
                    <w:ind w:left="0" w:right="57"/>
                  </w:pPr>
                  <w:r w:rsidRPr="00013DC6">
                    <w:t>919.5</w:t>
                  </w:r>
                </w:p>
              </w:tc>
              <w:tc>
                <w:tcPr>
                  <w:tcW w:w="502" w:type="pct"/>
                  <w:shd w:val="clear" w:color="auto" w:fill="auto"/>
                  <w:vAlign w:val="bottom"/>
                </w:tcPr>
                <w:p w:rsidR="00AC2131" w:rsidRPr="00013DC6" w:rsidRDefault="00AC2131" w:rsidP="00AC2131">
                  <w:pPr>
                    <w:pStyle w:val="TableBodyText"/>
                    <w:spacing w:after="0"/>
                    <w:ind w:left="0" w:right="57"/>
                  </w:pPr>
                  <w:r w:rsidRPr="00013DC6">
                    <w:t>950.0</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Property, professional &amp; admin.</w:t>
                  </w:r>
                </w:p>
              </w:tc>
              <w:tc>
                <w:tcPr>
                  <w:tcW w:w="501" w:type="pct"/>
                  <w:vAlign w:val="bottom"/>
                </w:tcPr>
                <w:p w:rsidR="00AC2131" w:rsidRPr="00013DC6" w:rsidRDefault="00AC2131" w:rsidP="00AC2131">
                  <w:pPr>
                    <w:pStyle w:val="TableBodyText"/>
                    <w:spacing w:after="0"/>
                    <w:ind w:left="0" w:right="57"/>
                  </w:pPr>
                  <w:r w:rsidRPr="00013DC6">
                    <w:t>172.9</w:t>
                  </w:r>
                </w:p>
              </w:tc>
              <w:tc>
                <w:tcPr>
                  <w:tcW w:w="501" w:type="pct"/>
                  <w:vAlign w:val="bottom"/>
                </w:tcPr>
                <w:p w:rsidR="00AC2131" w:rsidRPr="00013DC6" w:rsidRDefault="00AC2131" w:rsidP="00AC2131">
                  <w:pPr>
                    <w:pStyle w:val="TableBodyText"/>
                    <w:spacing w:after="0"/>
                    <w:ind w:left="0" w:right="57"/>
                  </w:pPr>
                  <w:r w:rsidRPr="00013DC6">
                    <w:t>380.2</w:t>
                  </w:r>
                </w:p>
              </w:tc>
              <w:tc>
                <w:tcPr>
                  <w:tcW w:w="501" w:type="pct"/>
                  <w:vAlign w:val="bottom"/>
                </w:tcPr>
                <w:p w:rsidR="00AC2131" w:rsidRPr="00013DC6" w:rsidRDefault="00AC2131" w:rsidP="00AC2131">
                  <w:pPr>
                    <w:pStyle w:val="TableBodyText"/>
                    <w:spacing w:after="0"/>
                    <w:ind w:left="0" w:right="57"/>
                  </w:pPr>
                  <w:r w:rsidRPr="00013DC6">
                    <w:t>393.0</w:t>
                  </w:r>
                </w:p>
              </w:tc>
              <w:tc>
                <w:tcPr>
                  <w:tcW w:w="501" w:type="pct"/>
                  <w:vAlign w:val="bottom"/>
                </w:tcPr>
                <w:p w:rsidR="00AC2131" w:rsidRPr="00013DC6" w:rsidRDefault="00AC2131" w:rsidP="00AC2131">
                  <w:pPr>
                    <w:pStyle w:val="TableBodyText"/>
                    <w:spacing w:after="0"/>
                    <w:ind w:left="0" w:right="57"/>
                  </w:pPr>
                  <w:r w:rsidRPr="00013DC6">
                    <w:t>269.0</w:t>
                  </w:r>
                </w:p>
              </w:tc>
              <w:tc>
                <w:tcPr>
                  <w:tcW w:w="501" w:type="pct"/>
                  <w:shd w:val="clear" w:color="auto" w:fill="auto"/>
                  <w:vAlign w:val="bottom"/>
                </w:tcPr>
                <w:p w:rsidR="00AC2131" w:rsidRPr="00013DC6" w:rsidRDefault="00AC2131" w:rsidP="00AC2131">
                  <w:pPr>
                    <w:pStyle w:val="TableBodyText"/>
                    <w:spacing w:after="0"/>
                    <w:ind w:left="0" w:right="57"/>
                  </w:pPr>
                  <w:r w:rsidRPr="00013DC6">
                    <w:t>94.7</w:t>
                  </w:r>
                </w:p>
              </w:tc>
              <w:tc>
                <w:tcPr>
                  <w:tcW w:w="502" w:type="pct"/>
                  <w:shd w:val="clear" w:color="auto" w:fill="auto"/>
                  <w:vAlign w:val="bottom"/>
                </w:tcPr>
                <w:p w:rsidR="00AC2131" w:rsidRPr="00013DC6" w:rsidRDefault="00AC2131" w:rsidP="00AC2131">
                  <w:pPr>
                    <w:pStyle w:val="TableBodyText"/>
                    <w:spacing w:after="0"/>
                    <w:ind w:left="0" w:right="57"/>
                  </w:pPr>
                  <w:r w:rsidRPr="00013DC6">
                    <w:t>341.9</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Public administration and safety</w:t>
                  </w:r>
                </w:p>
              </w:tc>
              <w:tc>
                <w:tcPr>
                  <w:tcW w:w="501" w:type="pct"/>
                  <w:vAlign w:val="bottom"/>
                </w:tcPr>
                <w:p w:rsidR="00AC2131" w:rsidRPr="00013DC6" w:rsidRDefault="00AC2131" w:rsidP="00AC2131">
                  <w:pPr>
                    <w:pStyle w:val="TableBodyText"/>
                    <w:spacing w:after="0"/>
                    <w:ind w:left="0" w:right="57"/>
                  </w:pPr>
                  <w:r w:rsidRPr="00013DC6">
                    <w:t>-185.5</w:t>
                  </w:r>
                </w:p>
              </w:tc>
              <w:tc>
                <w:tcPr>
                  <w:tcW w:w="501" w:type="pct"/>
                  <w:vAlign w:val="bottom"/>
                </w:tcPr>
                <w:p w:rsidR="00AC2131" w:rsidRPr="00013DC6" w:rsidRDefault="00AC2131" w:rsidP="00AC2131">
                  <w:pPr>
                    <w:pStyle w:val="TableBodyText"/>
                    <w:spacing w:after="0"/>
                    <w:ind w:left="0" w:right="57"/>
                  </w:pPr>
                  <w:r w:rsidRPr="00013DC6">
                    <w:t>-174.5</w:t>
                  </w:r>
                </w:p>
              </w:tc>
              <w:tc>
                <w:tcPr>
                  <w:tcW w:w="501" w:type="pct"/>
                  <w:vAlign w:val="bottom"/>
                </w:tcPr>
                <w:p w:rsidR="00AC2131" w:rsidRPr="00013DC6" w:rsidRDefault="00AC2131" w:rsidP="00AC2131">
                  <w:pPr>
                    <w:pStyle w:val="TableBodyText"/>
                    <w:spacing w:after="0"/>
                    <w:ind w:left="0" w:right="57"/>
                  </w:pPr>
                  <w:r w:rsidRPr="00013DC6">
                    <w:t>-179.2</w:t>
                  </w:r>
                </w:p>
              </w:tc>
              <w:tc>
                <w:tcPr>
                  <w:tcW w:w="501" w:type="pct"/>
                  <w:vAlign w:val="bottom"/>
                </w:tcPr>
                <w:p w:rsidR="00AC2131" w:rsidRPr="00013DC6" w:rsidRDefault="00AC2131" w:rsidP="00AC2131">
                  <w:pPr>
                    <w:pStyle w:val="TableBodyText"/>
                    <w:spacing w:after="0"/>
                    <w:ind w:left="0" w:right="57"/>
                  </w:pPr>
                  <w:r w:rsidRPr="00013DC6">
                    <w:t>-196.9</w:t>
                  </w:r>
                </w:p>
              </w:tc>
              <w:tc>
                <w:tcPr>
                  <w:tcW w:w="501" w:type="pct"/>
                  <w:shd w:val="clear" w:color="auto" w:fill="auto"/>
                  <w:vAlign w:val="bottom"/>
                </w:tcPr>
                <w:p w:rsidR="00AC2131" w:rsidRPr="00013DC6" w:rsidRDefault="00AC2131" w:rsidP="00AC2131">
                  <w:pPr>
                    <w:pStyle w:val="TableBodyText"/>
                    <w:spacing w:after="0"/>
                    <w:ind w:left="0" w:right="57"/>
                  </w:pPr>
                  <w:r w:rsidRPr="00013DC6">
                    <w:t>-205.5</w:t>
                  </w:r>
                </w:p>
              </w:tc>
              <w:tc>
                <w:tcPr>
                  <w:tcW w:w="502" w:type="pct"/>
                  <w:shd w:val="clear" w:color="auto" w:fill="auto"/>
                  <w:vAlign w:val="bottom"/>
                </w:tcPr>
                <w:p w:rsidR="00AC2131" w:rsidRPr="00013DC6" w:rsidRDefault="00AC2131" w:rsidP="00AC2131">
                  <w:pPr>
                    <w:pStyle w:val="TableBodyText"/>
                    <w:spacing w:after="0"/>
                    <w:ind w:left="0" w:right="57"/>
                  </w:pPr>
                  <w:r w:rsidRPr="00013DC6">
                    <w:t>-214.4</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Education and training</w:t>
                  </w:r>
                </w:p>
              </w:tc>
              <w:tc>
                <w:tcPr>
                  <w:tcW w:w="501" w:type="pct"/>
                  <w:vAlign w:val="bottom"/>
                </w:tcPr>
                <w:p w:rsidR="00AC2131" w:rsidRPr="00013DC6" w:rsidRDefault="00AC2131" w:rsidP="00AC2131">
                  <w:pPr>
                    <w:pStyle w:val="TableBodyText"/>
                    <w:spacing w:after="0"/>
                    <w:ind w:left="0" w:right="57"/>
                  </w:pPr>
                  <w:r w:rsidRPr="00013DC6">
                    <w:t>-65.9</w:t>
                  </w:r>
                </w:p>
              </w:tc>
              <w:tc>
                <w:tcPr>
                  <w:tcW w:w="501" w:type="pct"/>
                  <w:vAlign w:val="bottom"/>
                </w:tcPr>
                <w:p w:rsidR="00AC2131" w:rsidRPr="00013DC6" w:rsidRDefault="00AC2131" w:rsidP="00AC2131">
                  <w:pPr>
                    <w:pStyle w:val="TableBodyText"/>
                    <w:spacing w:after="0"/>
                    <w:ind w:left="0" w:right="57"/>
                  </w:pPr>
                  <w:r w:rsidRPr="00013DC6">
                    <w:t>-63.3</w:t>
                  </w:r>
                </w:p>
              </w:tc>
              <w:tc>
                <w:tcPr>
                  <w:tcW w:w="501" w:type="pct"/>
                  <w:vAlign w:val="bottom"/>
                </w:tcPr>
                <w:p w:rsidR="00AC2131" w:rsidRPr="00013DC6" w:rsidRDefault="00AC2131" w:rsidP="00AC2131">
                  <w:pPr>
                    <w:pStyle w:val="TableBodyText"/>
                    <w:spacing w:after="0"/>
                    <w:ind w:left="0" w:right="57"/>
                  </w:pPr>
                  <w:r w:rsidRPr="00013DC6">
                    <w:t>-75.6</w:t>
                  </w:r>
                </w:p>
              </w:tc>
              <w:tc>
                <w:tcPr>
                  <w:tcW w:w="501" w:type="pct"/>
                  <w:vAlign w:val="bottom"/>
                </w:tcPr>
                <w:p w:rsidR="00AC2131" w:rsidRPr="00013DC6" w:rsidRDefault="00AC2131" w:rsidP="00AC2131">
                  <w:pPr>
                    <w:pStyle w:val="TableBodyText"/>
                    <w:spacing w:after="0"/>
                    <w:ind w:left="0" w:right="57"/>
                  </w:pPr>
                  <w:r w:rsidRPr="00013DC6">
                    <w:t>-82.3</w:t>
                  </w:r>
                </w:p>
              </w:tc>
              <w:tc>
                <w:tcPr>
                  <w:tcW w:w="501" w:type="pct"/>
                  <w:shd w:val="clear" w:color="auto" w:fill="auto"/>
                  <w:vAlign w:val="bottom"/>
                </w:tcPr>
                <w:p w:rsidR="00AC2131" w:rsidRPr="00013DC6" w:rsidRDefault="00AC2131" w:rsidP="00AC2131">
                  <w:pPr>
                    <w:pStyle w:val="TableBodyText"/>
                    <w:spacing w:after="0"/>
                    <w:ind w:left="0" w:right="57"/>
                  </w:pPr>
                  <w:r w:rsidRPr="00013DC6">
                    <w:t>-93.3</w:t>
                  </w:r>
                </w:p>
              </w:tc>
              <w:tc>
                <w:tcPr>
                  <w:tcW w:w="502" w:type="pct"/>
                  <w:shd w:val="clear" w:color="auto" w:fill="auto"/>
                  <w:vAlign w:val="bottom"/>
                </w:tcPr>
                <w:p w:rsidR="00AC2131" w:rsidRPr="00013DC6" w:rsidRDefault="00AC2131" w:rsidP="00AC2131">
                  <w:pPr>
                    <w:pStyle w:val="TableBodyText"/>
                    <w:spacing w:after="0"/>
                    <w:ind w:left="0" w:right="57"/>
                  </w:pPr>
                  <w:r w:rsidRPr="00013DC6">
                    <w:t>-89.8</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Health care and social assistance</w:t>
                  </w:r>
                </w:p>
              </w:tc>
              <w:tc>
                <w:tcPr>
                  <w:tcW w:w="501" w:type="pct"/>
                  <w:vAlign w:val="bottom"/>
                </w:tcPr>
                <w:p w:rsidR="00AC2131" w:rsidRPr="00013DC6" w:rsidRDefault="00AC2131" w:rsidP="00AC2131">
                  <w:pPr>
                    <w:pStyle w:val="TableBodyText"/>
                    <w:spacing w:after="0"/>
                    <w:ind w:left="0" w:right="57"/>
                  </w:pPr>
                  <w:r w:rsidRPr="00013DC6">
                    <w:t>-63.7</w:t>
                  </w:r>
                </w:p>
              </w:tc>
              <w:tc>
                <w:tcPr>
                  <w:tcW w:w="501" w:type="pct"/>
                  <w:vAlign w:val="bottom"/>
                </w:tcPr>
                <w:p w:rsidR="00AC2131" w:rsidRPr="00013DC6" w:rsidRDefault="00AC2131" w:rsidP="00AC2131">
                  <w:pPr>
                    <w:pStyle w:val="TableBodyText"/>
                    <w:spacing w:after="0"/>
                    <w:ind w:left="0" w:right="57"/>
                  </w:pPr>
                  <w:r w:rsidRPr="00013DC6">
                    <w:t>-25.2</w:t>
                  </w:r>
                </w:p>
              </w:tc>
              <w:tc>
                <w:tcPr>
                  <w:tcW w:w="501" w:type="pct"/>
                  <w:vAlign w:val="bottom"/>
                </w:tcPr>
                <w:p w:rsidR="00AC2131" w:rsidRPr="00013DC6" w:rsidRDefault="00AC2131" w:rsidP="00AC2131">
                  <w:pPr>
                    <w:pStyle w:val="TableBodyText"/>
                    <w:spacing w:after="0"/>
                    <w:ind w:left="0" w:right="57"/>
                  </w:pPr>
                  <w:r w:rsidRPr="00013DC6">
                    <w:t>-65.1</w:t>
                  </w:r>
                </w:p>
              </w:tc>
              <w:tc>
                <w:tcPr>
                  <w:tcW w:w="501" w:type="pct"/>
                  <w:vAlign w:val="bottom"/>
                </w:tcPr>
                <w:p w:rsidR="00AC2131" w:rsidRPr="00013DC6" w:rsidRDefault="00AC2131" w:rsidP="00AC2131">
                  <w:pPr>
                    <w:pStyle w:val="TableBodyText"/>
                    <w:spacing w:after="0"/>
                    <w:ind w:left="0" w:right="57"/>
                  </w:pPr>
                  <w:r w:rsidRPr="00013DC6">
                    <w:t>-71.2</w:t>
                  </w:r>
                </w:p>
              </w:tc>
              <w:tc>
                <w:tcPr>
                  <w:tcW w:w="501" w:type="pct"/>
                  <w:shd w:val="clear" w:color="auto" w:fill="auto"/>
                  <w:vAlign w:val="bottom"/>
                </w:tcPr>
                <w:p w:rsidR="00AC2131" w:rsidRPr="00013DC6" w:rsidRDefault="00AC2131" w:rsidP="00AC2131">
                  <w:pPr>
                    <w:pStyle w:val="TableBodyText"/>
                    <w:spacing w:after="0"/>
                    <w:ind w:left="0" w:right="57"/>
                  </w:pPr>
                  <w:r w:rsidRPr="00013DC6">
                    <w:t>-96.5</w:t>
                  </w:r>
                </w:p>
              </w:tc>
              <w:tc>
                <w:tcPr>
                  <w:tcW w:w="502" w:type="pct"/>
                  <w:shd w:val="clear" w:color="auto" w:fill="auto"/>
                  <w:vAlign w:val="bottom"/>
                </w:tcPr>
                <w:p w:rsidR="00AC2131" w:rsidRPr="00013DC6" w:rsidRDefault="00AC2131" w:rsidP="00AC2131">
                  <w:pPr>
                    <w:pStyle w:val="TableBodyText"/>
                    <w:spacing w:after="0"/>
                    <w:ind w:left="0" w:right="57"/>
                  </w:pPr>
                  <w:r w:rsidRPr="00013DC6">
                    <w:t>-41.1</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Arts and recreation services</w:t>
                  </w:r>
                </w:p>
              </w:tc>
              <w:tc>
                <w:tcPr>
                  <w:tcW w:w="501" w:type="pct"/>
                  <w:vAlign w:val="bottom"/>
                </w:tcPr>
                <w:p w:rsidR="00AC2131" w:rsidRPr="00013DC6" w:rsidRDefault="00AC2131" w:rsidP="00AC2131">
                  <w:pPr>
                    <w:pStyle w:val="TableBodyText"/>
                    <w:spacing w:after="0"/>
                    <w:ind w:left="0" w:right="57"/>
                  </w:pPr>
                  <w:r w:rsidRPr="00013DC6">
                    <w:t>201.7</w:t>
                  </w:r>
                </w:p>
              </w:tc>
              <w:tc>
                <w:tcPr>
                  <w:tcW w:w="501" w:type="pct"/>
                  <w:vAlign w:val="bottom"/>
                </w:tcPr>
                <w:p w:rsidR="00AC2131" w:rsidRPr="00013DC6" w:rsidRDefault="00AC2131" w:rsidP="00AC2131">
                  <w:pPr>
                    <w:pStyle w:val="TableBodyText"/>
                    <w:spacing w:after="0"/>
                    <w:ind w:left="0" w:right="57"/>
                  </w:pPr>
                  <w:r w:rsidRPr="00013DC6">
                    <w:t>331.6</w:t>
                  </w:r>
                </w:p>
              </w:tc>
              <w:tc>
                <w:tcPr>
                  <w:tcW w:w="501" w:type="pct"/>
                  <w:vAlign w:val="bottom"/>
                </w:tcPr>
                <w:p w:rsidR="00AC2131" w:rsidRPr="00013DC6" w:rsidRDefault="00AC2131" w:rsidP="00AC2131">
                  <w:pPr>
                    <w:pStyle w:val="TableBodyText"/>
                    <w:spacing w:after="0"/>
                    <w:ind w:left="0" w:right="57"/>
                  </w:pPr>
                  <w:r w:rsidRPr="00013DC6">
                    <w:t>228.1</w:t>
                  </w:r>
                </w:p>
              </w:tc>
              <w:tc>
                <w:tcPr>
                  <w:tcW w:w="501" w:type="pct"/>
                  <w:vAlign w:val="bottom"/>
                </w:tcPr>
                <w:p w:rsidR="00AC2131" w:rsidRPr="00013DC6" w:rsidRDefault="00AC2131" w:rsidP="00AC2131">
                  <w:pPr>
                    <w:pStyle w:val="TableBodyText"/>
                    <w:spacing w:after="0"/>
                    <w:ind w:left="0" w:right="57"/>
                  </w:pPr>
                  <w:r w:rsidRPr="00013DC6">
                    <w:t>272.2</w:t>
                  </w:r>
                </w:p>
              </w:tc>
              <w:tc>
                <w:tcPr>
                  <w:tcW w:w="501" w:type="pct"/>
                  <w:shd w:val="clear" w:color="auto" w:fill="auto"/>
                  <w:vAlign w:val="bottom"/>
                </w:tcPr>
                <w:p w:rsidR="00AC2131" w:rsidRPr="00013DC6" w:rsidRDefault="00AC2131" w:rsidP="00AC2131">
                  <w:pPr>
                    <w:pStyle w:val="TableBodyText"/>
                    <w:spacing w:after="0"/>
                    <w:ind w:left="0" w:right="57"/>
                  </w:pPr>
                  <w:r w:rsidRPr="00013DC6">
                    <w:t>328.5</w:t>
                  </w:r>
                </w:p>
              </w:tc>
              <w:tc>
                <w:tcPr>
                  <w:tcW w:w="502" w:type="pct"/>
                  <w:shd w:val="clear" w:color="auto" w:fill="auto"/>
                  <w:vAlign w:val="bottom"/>
                </w:tcPr>
                <w:p w:rsidR="00AC2131" w:rsidRPr="00013DC6" w:rsidRDefault="00AC2131" w:rsidP="00AC2131">
                  <w:pPr>
                    <w:pStyle w:val="TableBodyText"/>
                    <w:spacing w:after="0"/>
                    <w:ind w:left="0" w:right="57"/>
                  </w:pPr>
                  <w:r w:rsidRPr="00013DC6">
                    <w:t>370.0</w:t>
                  </w:r>
                </w:p>
              </w:tc>
            </w:tr>
            <w:tr w:rsidR="00AC2131" w:rsidTr="00AC2131">
              <w:tc>
                <w:tcPr>
                  <w:tcW w:w="1992" w:type="pct"/>
                  <w:shd w:val="clear" w:color="auto" w:fill="auto"/>
                  <w:vAlign w:val="center"/>
                </w:tcPr>
                <w:p w:rsidR="00AC2131" w:rsidRPr="00BE7B87" w:rsidRDefault="00AC2131">
                  <w:pPr>
                    <w:rPr>
                      <w:rFonts w:ascii="Arial" w:hAnsi="Arial" w:cs="Arial"/>
                      <w:sz w:val="18"/>
                      <w:szCs w:val="18"/>
                    </w:rPr>
                  </w:pPr>
                  <w:r w:rsidRPr="00BE7B87">
                    <w:rPr>
                      <w:rFonts w:ascii="Arial" w:hAnsi="Arial" w:cs="Arial"/>
                      <w:sz w:val="18"/>
                      <w:szCs w:val="18"/>
                    </w:rPr>
                    <w:t>Other services</w:t>
                  </w:r>
                </w:p>
              </w:tc>
              <w:tc>
                <w:tcPr>
                  <w:tcW w:w="501" w:type="pct"/>
                  <w:vAlign w:val="bottom"/>
                </w:tcPr>
                <w:p w:rsidR="00AC2131" w:rsidRPr="00013DC6" w:rsidRDefault="00AC2131" w:rsidP="00AC2131">
                  <w:pPr>
                    <w:pStyle w:val="TableBodyText"/>
                    <w:spacing w:after="0"/>
                    <w:ind w:left="0" w:right="57"/>
                  </w:pPr>
                  <w:r w:rsidRPr="00013DC6">
                    <w:t>-260.9</w:t>
                  </w:r>
                </w:p>
              </w:tc>
              <w:tc>
                <w:tcPr>
                  <w:tcW w:w="501" w:type="pct"/>
                  <w:vAlign w:val="bottom"/>
                </w:tcPr>
                <w:p w:rsidR="00AC2131" w:rsidRPr="00013DC6" w:rsidRDefault="00AC2131" w:rsidP="00AC2131">
                  <w:pPr>
                    <w:pStyle w:val="TableBodyText"/>
                    <w:spacing w:after="0"/>
                    <w:ind w:left="0" w:right="57"/>
                  </w:pPr>
                  <w:r w:rsidRPr="00013DC6">
                    <w:t>-211.8</w:t>
                  </w:r>
                </w:p>
              </w:tc>
              <w:tc>
                <w:tcPr>
                  <w:tcW w:w="501" w:type="pct"/>
                  <w:vAlign w:val="bottom"/>
                </w:tcPr>
                <w:p w:rsidR="00AC2131" w:rsidRPr="00013DC6" w:rsidRDefault="00AC2131" w:rsidP="00AC2131">
                  <w:pPr>
                    <w:pStyle w:val="TableBodyText"/>
                    <w:spacing w:after="0"/>
                    <w:ind w:left="0" w:right="57"/>
                  </w:pPr>
                  <w:r w:rsidRPr="00013DC6">
                    <w:t>-206.8</w:t>
                  </w:r>
                </w:p>
              </w:tc>
              <w:tc>
                <w:tcPr>
                  <w:tcW w:w="501" w:type="pct"/>
                  <w:vAlign w:val="bottom"/>
                </w:tcPr>
                <w:p w:rsidR="00AC2131" w:rsidRPr="00013DC6" w:rsidRDefault="00AC2131" w:rsidP="00AC2131">
                  <w:pPr>
                    <w:pStyle w:val="TableBodyText"/>
                    <w:spacing w:after="0"/>
                    <w:ind w:left="0" w:right="57"/>
                  </w:pPr>
                  <w:r w:rsidRPr="00013DC6">
                    <w:t>-230.6</w:t>
                  </w:r>
                </w:p>
              </w:tc>
              <w:tc>
                <w:tcPr>
                  <w:tcW w:w="501" w:type="pct"/>
                  <w:shd w:val="clear" w:color="auto" w:fill="auto"/>
                  <w:vAlign w:val="bottom"/>
                </w:tcPr>
                <w:p w:rsidR="00AC2131" w:rsidRPr="00013DC6" w:rsidRDefault="00AC2131" w:rsidP="00AC2131">
                  <w:pPr>
                    <w:pStyle w:val="TableBodyText"/>
                    <w:spacing w:after="0"/>
                    <w:ind w:left="0" w:right="57"/>
                  </w:pPr>
                  <w:r w:rsidRPr="00013DC6">
                    <w:t>-231.6</w:t>
                  </w:r>
                </w:p>
              </w:tc>
              <w:tc>
                <w:tcPr>
                  <w:tcW w:w="502" w:type="pct"/>
                  <w:shd w:val="clear" w:color="auto" w:fill="auto"/>
                  <w:vAlign w:val="bottom"/>
                </w:tcPr>
                <w:p w:rsidR="00AC2131" w:rsidRPr="00013DC6" w:rsidRDefault="00AC2131" w:rsidP="00AC2131">
                  <w:pPr>
                    <w:pStyle w:val="TableBodyText"/>
                    <w:spacing w:after="0"/>
                    <w:ind w:left="0" w:right="57"/>
                  </w:pPr>
                  <w:r w:rsidRPr="00013DC6">
                    <w:t>-193.0</w:t>
                  </w:r>
                </w:p>
              </w:tc>
            </w:tr>
            <w:tr w:rsidR="00AC2131" w:rsidTr="00AC2131">
              <w:tc>
                <w:tcPr>
                  <w:tcW w:w="1992" w:type="pct"/>
                  <w:shd w:val="clear" w:color="auto" w:fill="auto"/>
                  <w:vAlign w:val="center"/>
                </w:tcPr>
                <w:p w:rsidR="00AC2131" w:rsidRPr="008405D4" w:rsidRDefault="00AC2131">
                  <w:pPr>
                    <w:rPr>
                      <w:rFonts w:ascii="Arial" w:hAnsi="Arial" w:cs="Arial"/>
                      <w:sz w:val="18"/>
                      <w:szCs w:val="18"/>
                    </w:rPr>
                  </w:pPr>
                  <w:r w:rsidRPr="008405D4">
                    <w:rPr>
                      <w:rFonts w:ascii="Arial" w:hAnsi="Arial" w:cs="Arial"/>
                      <w:sz w:val="18"/>
                      <w:szCs w:val="18"/>
                    </w:rPr>
                    <w:t>Unallocated services</w:t>
                  </w:r>
                  <w:r w:rsidRPr="008405D4">
                    <w:rPr>
                      <w:rStyle w:val="NoteLabel"/>
                    </w:rPr>
                    <w:t>b</w:t>
                  </w:r>
                </w:p>
              </w:tc>
              <w:tc>
                <w:tcPr>
                  <w:tcW w:w="501" w:type="pct"/>
                  <w:vAlign w:val="bottom"/>
                </w:tcPr>
                <w:p w:rsidR="00AC2131" w:rsidRPr="00013DC6" w:rsidRDefault="00AC2131" w:rsidP="00AC2131">
                  <w:pPr>
                    <w:pStyle w:val="TableBodyText"/>
                    <w:spacing w:after="0"/>
                    <w:ind w:left="0" w:right="57"/>
                  </w:pPr>
                  <w:r w:rsidRPr="00013DC6">
                    <w:t>160.2</w:t>
                  </w:r>
                </w:p>
              </w:tc>
              <w:tc>
                <w:tcPr>
                  <w:tcW w:w="501" w:type="pct"/>
                  <w:vAlign w:val="bottom"/>
                </w:tcPr>
                <w:p w:rsidR="00AC2131" w:rsidRPr="00013DC6" w:rsidRDefault="00AC2131" w:rsidP="00AC2131">
                  <w:pPr>
                    <w:pStyle w:val="TableBodyText"/>
                    <w:spacing w:after="0"/>
                    <w:ind w:left="0" w:right="57"/>
                  </w:pPr>
                  <w:r w:rsidRPr="00013DC6">
                    <w:t>194.7</w:t>
                  </w:r>
                </w:p>
              </w:tc>
              <w:tc>
                <w:tcPr>
                  <w:tcW w:w="501" w:type="pct"/>
                  <w:vAlign w:val="bottom"/>
                </w:tcPr>
                <w:p w:rsidR="00AC2131" w:rsidRPr="00013DC6" w:rsidRDefault="00AC2131" w:rsidP="00AC2131">
                  <w:pPr>
                    <w:pStyle w:val="TableBodyText"/>
                    <w:spacing w:after="0"/>
                    <w:ind w:left="0" w:right="57"/>
                  </w:pPr>
                  <w:r w:rsidRPr="00013DC6">
                    <w:t>169.3</w:t>
                  </w:r>
                </w:p>
              </w:tc>
              <w:tc>
                <w:tcPr>
                  <w:tcW w:w="501" w:type="pct"/>
                  <w:vAlign w:val="bottom"/>
                </w:tcPr>
                <w:p w:rsidR="00AC2131" w:rsidRPr="00013DC6" w:rsidRDefault="00AC2131" w:rsidP="00AC2131">
                  <w:pPr>
                    <w:pStyle w:val="TableBodyText"/>
                    <w:spacing w:after="0"/>
                    <w:ind w:left="0" w:right="57"/>
                  </w:pPr>
                  <w:r w:rsidRPr="00013DC6">
                    <w:t>179.0</w:t>
                  </w:r>
                </w:p>
              </w:tc>
              <w:tc>
                <w:tcPr>
                  <w:tcW w:w="501" w:type="pct"/>
                  <w:shd w:val="clear" w:color="auto" w:fill="auto"/>
                  <w:vAlign w:val="bottom"/>
                </w:tcPr>
                <w:p w:rsidR="00AC2131" w:rsidRPr="00013DC6" w:rsidRDefault="00AC2131" w:rsidP="00AC2131">
                  <w:pPr>
                    <w:pStyle w:val="TableBodyText"/>
                    <w:spacing w:after="0"/>
                    <w:ind w:left="0" w:right="57"/>
                  </w:pPr>
                  <w:r w:rsidRPr="00013DC6">
                    <w:t>170.8</w:t>
                  </w:r>
                </w:p>
              </w:tc>
              <w:tc>
                <w:tcPr>
                  <w:tcW w:w="502" w:type="pct"/>
                  <w:shd w:val="clear" w:color="auto" w:fill="auto"/>
                  <w:vAlign w:val="bottom"/>
                </w:tcPr>
                <w:p w:rsidR="00AC2131" w:rsidRPr="00013DC6" w:rsidRDefault="00AC2131" w:rsidP="00AC2131">
                  <w:pPr>
                    <w:pStyle w:val="TableBodyText"/>
                    <w:spacing w:after="0"/>
                    <w:ind w:left="0" w:right="57"/>
                  </w:pPr>
                  <w:r w:rsidRPr="00013DC6">
                    <w:t>156.8</w:t>
                  </w:r>
                </w:p>
              </w:tc>
            </w:tr>
            <w:tr w:rsidR="00AC2131" w:rsidRPr="00013DC6" w:rsidTr="00AC2131">
              <w:tc>
                <w:tcPr>
                  <w:tcW w:w="1992" w:type="pct"/>
                  <w:shd w:val="clear" w:color="auto" w:fill="auto"/>
                  <w:vAlign w:val="center"/>
                </w:tcPr>
                <w:p w:rsidR="00AC2131" w:rsidRPr="00013DC6" w:rsidRDefault="00AC2131" w:rsidP="00AC2131">
                  <w:pPr>
                    <w:rPr>
                      <w:rFonts w:ascii="Arial" w:hAnsi="Arial" w:cs="Arial"/>
                      <w:b/>
                      <w:bCs/>
                      <w:sz w:val="18"/>
                      <w:szCs w:val="18"/>
                    </w:rPr>
                  </w:pPr>
                  <w:r w:rsidRPr="00013DC6">
                    <w:rPr>
                      <w:rFonts w:ascii="Arial" w:hAnsi="Arial" w:cs="Arial"/>
                      <w:b/>
                      <w:bCs/>
                      <w:sz w:val="18"/>
                      <w:szCs w:val="18"/>
                    </w:rPr>
                    <w:t>Unallocated other</w:t>
                  </w:r>
                  <w:r w:rsidRPr="008405D4">
                    <w:rPr>
                      <w:rStyle w:val="NoteLabel"/>
                    </w:rPr>
                    <w:t>b</w:t>
                  </w:r>
                </w:p>
              </w:tc>
              <w:tc>
                <w:tcPr>
                  <w:tcW w:w="501" w:type="pct"/>
                  <w:vAlign w:val="bottom"/>
                </w:tcPr>
                <w:p w:rsidR="00AC2131" w:rsidRPr="00013DC6" w:rsidRDefault="00AC2131" w:rsidP="00AC2131">
                  <w:pPr>
                    <w:pStyle w:val="TableBodyText"/>
                    <w:spacing w:after="0"/>
                    <w:ind w:left="0" w:right="57"/>
                    <w:rPr>
                      <w:b/>
                    </w:rPr>
                  </w:pPr>
                  <w:r w:rsidRPr="00013DC6">
                    <w:rPr>
                      <w:b/>
                    </w:rPr>
                    <w:t>849.8</w:t>
                  </w:r>
                </w:p>
              </w:tc>
              <w:tc>
                <w:tcPr>
                  <w:tcW w:w="501" w:type="pct"/>
                  <w:vAlign w:val="bottom"/>
                </w:tcPr>
                <w:p w:rsidR="00AC2131" w:rsidRPr="00013DC6" w:rsidRDefault="00AC2131" w:rsidP="00AC2131">
                  <w:pPr>
                    <w:pStyle w:val="TableBodyText"/>
                    <w:spacing w:after="0"/>
                    <w:ind w:left="0" w:right="57"/>
                    <w:rPr>
                      <w:b/>
                    </w:rPr>
                  </w:pPr>
                  <w:r w:rsidRPr="00013DC6">
                    <w:rPr>
                      <w:b/>
                    </w:rPr>
                    <w:t>721.8</w:t>
                  </w:r>
                </w:p>
              </w:tc>
              <w:tc>
                <w:tcPr>
                  <w:tcW w:w="501" w:type="pct"/>
                  <w:vAlign w:val="bottom"/>
                </w:tcPr>
                <w:p w:rsidR="00AC2131" w:rsidRPr="00013DC6" w:rsidRDefault="00AC2131" w:rsidP="00AC2131">
                  <w:pPr>
                    <w:pStyle w:val="TableBodyText"/>
                    <w:spacing w:after="0"/>
                    <w:ind w:left="0" w:right="57"/>
                    <w:rPr>
                      <w:b/>
                    </w:rPr>
                  </w:pPr>
                  <w:r w:rsidRPr="00013DC6">
                    <w:rPr>
                      <w:b/>
                    </w:rPr>
                    <w:t>929.1</w:t>
                  </w:r>
                </w:p>
              </w:tc>
              <w:tc>
                <w:tcPr>
                  <w:tcW w:w="501" w:type="pct"/>
                  <w:vAlign w:val="bottom"/>
                </w:tcPr>
                <w:p w:rsidR="00AC2131" w:rsidRPr="00013DC6" w:rsidRDefault="00AC2131" w:rsidP="00AC2131">
                  <w:pPr>
                    <w:pStyle w:val="TableBodyText"/>
                    <w:spacing w:after="0"/>
                    <w:ind w:left="0" w:right="57"/>
                    <w:rPr>
                      <w:b/>
                    </w:rPr>
                  </w:pPr>
                  <w:r w:rsidRPr="00013DC6">
                    <w:rPr>
                      <w:b/>
                    </w:rPr>
                    <w:t>962.2</w:t>
                  </w:r>
                </w:p>
              </w:tc>
              <w:tc>
                <w:tcPr>
                  <w:tcW w:w="501" w:type="pct"/>
                  <w:shd w:val="clear" w:color="auto" w:fill="auto"/>
                  <w:vAlign w:val="bottom"/>
                </w:tcPr>
                <w:p w:rsidR="00AC2131" w:rsidRPr="00013DC6" w:rsidRDefault="00AC2131" w:rsidP="00AC2131">
                  <w:pPr>
                    <w:pStyle w:val="TableBodyText"/>
                    <w:spacing w:after="0"/>
                    <w:ind w:left="0" w:right="57"/>
                    <w:rPr>
                      <w:b/>
                    </w:rPr>
                  </w:pPr>
                  <w:r w:rsidRPr="00013DC6">
                    <w:rPr>
                      <w:b/>
                    </w:rPr>
                    <w:t>770.3</w:t>
                  </w:r>
                </w:p>
              </w:tc>
              <w:tc>
                <w:tcPr>
                  <w:tcW w:w="502" w:type="pct"/>
                  <w:shd w:val="clear" w:color="auto" w:fill="auto"/>
                  <w:vAlign w:val="bottom"/>
                </w:tcPr>
                <w:p w:rsidR="00AC2131" w:rsidRPr="00013DC6" w:rsidRDefault="00AC2131" w:rsidP="00AC2131">
                  <w:pPr>
                    <w:pStyle w:val="TableBodyText"/>
                    <w:spacing w:after="0"/>
                    <w:ind w:left="0" w:right="57"/>
                    <w:rPr>
                      <w:b/>
                    </w:rPr>
                  </w:pPr>
                  <w:r w:rsidRPr="00013DC6">
                    <w:rPr>
                      <w:b/>
                    </w:rPr>
                    <w:t>1211.0</w:t>
                  </w:r>
                </w:p>
              </w:tc>
            </w:tr>
            <w:tr w:rsidR="00AC2131" w:rsidRPr="00013DC6" w:rsidTr="00AC2131">
              <w:tc>
                <w:tcPr>
                  <w:tcW w:w="1992" w:type="pct"/>
                  <w:tcBorders>
                    <w:bottom w:val="single" w:sz="6" w:space="0" w:color="BFBFBF"/>
                  </w:tcBorders>
                  <w:shd w:val="clear" w:color="auto" w:fill="auto"/>
                  <w:vAlign w:val="center"/>
                </w:tcPr>
                <w:p w:rsidR="00AC2131" w:rsidRPr="00013DC6" w:rsidRDefault="00AC2131">
                  <w:pPr>
                    <w:rPr>
                      <w:rFonts w:ascii="Arial" w:hAnsi="Arial" w:cs="Arial"/>
                      <w:b/>
                      <w:bCs/>
                      <w:sz w:val="18"/>
                      <w:szCs w:val="18"/>
                    </w:rPr>
                  </w:pPr>
                  <w:r w:rsidRPr="00013DC6">
                    <w:rPr>
                      <w:rFonts w:ascii="Arial" w:hAnsi="Arial" w:cs="Arial"/>
                      <w:b/>
                      <w:bCs/>
                      <w:sz w:val="18"/>
                      <w:szCs w:val="18"/>
                    </w:rPr>
                    <w:t>Total</w:t>
                  </w:r>
                </w:p>
              </w:tc>
              <w:tc>
                <w:tcPr>
                  <w:tcW w:w="501" w:type="pct"/>
                  <w:tcBorders>
                    <w:bottom w:val="single" w:sz="6" w:space="0" w:color="BFBFBF"/>
                  </w:tcBorders>
                  <w:vAlign w:val="bottom"/>
                </w:tcPr>
                <w:p w:rsidR="00AC2131" w:rsidRPr="00013DC6" w:rsidRDefault="00AC2131" w:rsidP="00AC2131">
                  <w:pPr>
                    <w:pStyle w:val="TableBodyText"/>
                    <w:spacing w:after="0"/>
                    <w:ind w:left="0" w:right="57"/>
                    <w:rPr>
                      <w:b/>
                    </w:rPr>
                  </w:pPr>
                  <w:r w:rsidRPr="00013DC6">
                    <w:rPr>
                      <w:b/>
                    </w:rPr>
                    <w:t>10571.9</w:t>
                  </w:r>
                </w:p>
              </w:tc>
              <w:tc>
                <w:tcPr>
                  <w:tcW w:w="501" w:type="pct"/>
                  <w:tcBorders>
                    <w:bottom w:val="single" w:sz="6" w:space="0" w:color="BFBFBF"/>
                  </w:tcBorders>
                  <w:vAlign w:val="bottom"/>
                </w:tcPr>
                <w:p w:rsidR="00AC2131" w:rsidRPr="00013DC6" w:rsidRDefault="00AC2131" w:rsidP="00AC2131">
                  <w:pPr>
                    <w:pStyle w:val="TableBodyText"/>
                    <w:spacing w:after="0"/>
                    <w:ind w:left="0" w:right="57"/>
                    <w:rPr>
                      <w:b/>
                    </w:rPr>
                  </w:pPr>
                  <w:r w:rsidRPr="00013DC6">
                    <w:rPr>
                      <w:b/>
                    </w:rPr>
                    <w:t>11538.9</w:t>
                  </w:r>
                </w:p>
              </w:tc>
              <w:tc>
                <w:tcPr>
                  <w:tcW w:w="501" w:type="pct"/>
                  <w:tcBorders>
                    <w:bottom w:val="single" w:sz="6" w:space="0" w:color="BFBFBF"/>
                  </w:tcBorders>
                  <w:vAlign w:val="bottom"/>
                </w:tcPr>
                <w:p w:rsidR="00AC2131" w:rsidRPr="00013DC6" w:rsidRDefault="00AC2131" w:rsidP="00AC2131">
                  <w:pPr>
                    <w:pStyle w:val="TableBodyText"/>
                    <w:spacing w:after="0"/>
                    <w:ind w:left="0" w:right="57"/>
                    <w:rPr>
                      <w:b/>
                    </w:rPr>
                  </w:pPr>
                  <w:r w:rsidRPr="00013DC6">
                    <w:rPr>
                      <w:b/>
                    </w:rPr>
                    <w:t>11436.0</w:t>
                  </w:r>
                </w:p>
              </w:tc>
              <w:tc>
                <w:tcPr>
                  <w:tcW w:w="501" w:type="pct"/>
                  <w:tcBorders>
                    <w:bottom w:val="single" w:sz="6" w:space="0" w:color="BFBFBF"/>
                  </w:tcBorders>
                  <w:vAlign w:val="bottom"/>
                </w:tcPr>
                <w:p w:rsidR="00AC2131" w:rsidRPr="00013DC6" w:rsidRDefault="00AC2131" w:rsidP="00AC2131">
                  <w:pPr>
                    <w:pStyle w:val="TableBodyText"/>
                    <w:spacing w:after="0"/>
                    <w:ind w:left="0" w:right="57"/>
                    <w:rPr>
                      <w:b/>
                    </w:rPr>
                  </w:pPr>
                  <w:r w:rsidRPr="00013DC6">
                    <w:rPr>
                      <w:b/>
                    </w:rPr>
                    <w:t>11252.0</w:t>
                  </w:r>
                </w:p>
              </w:tc>
              <w:tc>
                <w:tcPr>
                  <w:tcW w:w="501" w:type="pct"/>
                  <w:tcBorders>
                    <w:bottom w:val="single" w:sz="6" w:space="0" w:color="BFBFBF"/>
                  </w:tcBorders>
                  <w:shd w:val="clear" w:color="auto" w:fill="auto"/>
                  <w:vAlign w:val="bottom"/>
                </w:tcPr>
                <w:p w:rsidR="00AC2131" w:rsidRPr="00013DC6" w:rsidRDefault="00AC2131" w:rsidP="00AC2131">
                  <w:pPr>
                    <w:pStyle w:val="TableBodyText"/>
                    <w:spacing w:after="0"/>
                    <w:ind w:left="0" w:right="57"/>
                    <w:rPr>
                      <w:b/>
                    </w:rPr>
                  </w:pPr>
                  <w:r w:rsidRPr="00013DC6">
                    <w:rPr>
                      <w:b/>
                    </w:rPr>
                    <w:t>8475.6</w:t>
                  </w:r>
                </w:p>
              </w:tc>
              <w:tc>
                <w:tcPr>
                  <w:tcW w:w="502" w:type="pct"/>
                  <w:tcBorders>
                    <w:bottom w:val="single" w:sz="6" w:space="0" w:color="BFBFBF"/>
                  </w:tcBorders>
                  <w:shd w:val="clear" w:color="auto" w:fill="auto"/>
                  <w:vAlign w:val="bottom"/>
                </w:tcPr>
                <w:p w:rsidR="00AC2131" w:rsidRPr="00013DC6" w:rsidRDefault="00AC2131" w:rsidP="00AC2131">
                  <w:pPr>
                    <w:pStyle w:val="TableBodyText"/>
                    <w:spacing w:after="0"/>
                    <w:ind w:left="0" w:right="57"/>
                    <w:rPr>
                      <w:b/>
                    </w:rPr>
                  </w:pPr>
                  <w:r w:rsidRPr="00013DC6">
                    <w:rPr>
                      <w:b/>
                    </w:rPr>
                    <w:t>9686.9</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Pr>
                <w:rFonts w:cs="Arial"/>
                <w:szCs w:val="18"/>
              </w:rPr>
              <w:t xml:space="preserve">– Nil. </w:t>
            </w:r>
            <w:r w:rsidRPr="00C74A79">
              <w:rPr>
                <w:rFonts w:cs="Arial"/>
                <w:szCs w:val="18"/>
              </w:rPr>
              <w:t>Figures may not add to totals due to rounding.</w:t>
            </w:r>
            <w:r>
              <w:rPr>
                <w:rFonts w:cs="Arial"/>
                <w:szCs w:val="18"/>
              </w:rPr>
              <w:t xml:space="preserve"> </w:t>
            </w:r>
            <w:r w:rsidRPr="008E77FE">
              <w:rPr>
                <w:rStyle w:val="NoteLabel"/>
              </w:rPr>
              <w:t>a</w:t>
            </w:r>
            <w:r>
              <w:t> </w:t>
            </w:r>
            <w:r w:rsidRPr="008405D4">
              <w:t>Tariff assistance estimates are derived using ABS Industry Gross Value Added and other supporting data.</w:t>
            </w:r>
            <w:r>
              <w:t xml:space="preserve"> </w:t>
            </w:r>
            <w:r>
              <w:rPr>
                <w:rStyle w:val="NoteLabel"/>
              </w:rPr>
              <w:t>b</w:t>
            </w:r>
            <w:r>
              <w:t> </w:t>
            </w:r>
            <w:r w:rsidRPr="008405D4">
              <w:t>Unallocated includes budgetary measures where details of beneficiaries are unknown.</w:t>
            </w:r>
            <w:r>
              <w:t xml:space="preserve"> </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9"/>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w:t>
            </w:r>
            <w:r>
              <w:rPr>
                <w:b w:val="0"/>
                <w:noProof/>
              </w:rPr>
              <w:t>4</w:t>
            </w:r>
            <w:r>
              <w:tab/>
            </w:r>
            <w:r w:rsidRPr="00D55602">
              <w:t xml:space="preserve">Output tariff assistance by industry grouping, </w:t>
            </w:r>
            <w:r>
              <w:br/>
            </w:r>
            <w:r w:rsidRPr="00D55602">
              <w:t>2008</w:t>
            </w:r>
            <w:r>
              <w:noBreakHyphen/>
            </w:r>
            <w:r w:rsidRPr="00D55602">
              <w:t>09 to 2013</w:t>
            </w:r>
            <w:r>
              <w:noBreakHyphen/>
            </w:r>
            <w:r w:rsidRPr="00D55602">
              <w:t>14</w:t>
            </w:r>
            <w:r w:rsidRPr="006B64DF">
              <w:rPr>
                <w:rStyle w:val="NoteLabel"/>
                <w:b/>
              </w:rPr>
              <w:t>a</w:t>
            </w:r>
          </w:p>
          <w:p w:rsidR="00AC2131" w:rsidRPr="00784A05" w:rsidRDefault="00AC2131" w:rsidP="00AC2131">
            <w:pPr>
              <w:pStyle w:val="Subtitle"/>
            </w:pPr>
            <w:r w:rsidRPr="00D55602">
              <w:t>$ million (nominal)</w:t>
            </w:r>
          </w:p>
        </w:tc>
      </w:tr>
      <w:tr w:rsidR="00AC2131" w:rsidTr="00AC2131">
        <w:trPr>
          <w:cantSplit/>
        </w:trPr>
        <w:tc>
          <w:tcPr>
            <w:tcW w:w="8771" w:type="dxa"/>
            <w:tcBorders>
              <w:top w:val="nil"/>
              <w:left w:val="nil"/>
              <w:bottom w:val="nil"/>
              <w:right w:val="nil"/>
            </w:tcBorders>
            <w:shd w:val="clear" w:color="auto" w:fill="auto"/>
          </w:tcPr>
          <w:tbl>
            <w:tblPr>
              <w:tblW w:w="8495" w:type="dxa"/>
              <w:tblCellMar>
                <w:top w:w="28" w:type="dxa"/>
                <w:left w:w="0" w:type="dxa"/>
                <w:right w:w="0" w:type="dxa"/>
              </w:tblCellMar>
              <w:tblLook w:val="0000" w:firstRow="0" w:lastRow="0" w:firstColumn="0" w:lastColumn="0" w:noHBand="0" w:noVBand="0"/>
            </w:tblPr>
            <w:tblGrid>
              <w:gridCol w:w="3401"/>
              <w:gridCol w:w="853"/>
              <w:gridCol w:w="851"/>
              <w:gridCol w:w="851"/>
              <w:gridCol w:w="848"/>
              <w:gridCol w:w="848"/>
              <w:gridCol w:w="843"/>
            </w:tblGrid>
            <w:tr w:rsidR="00AC2131" w:rsidTr="00AC2131">
              <w:tc>
                <w:tcPr>
                  <w:tcW w:w="2002"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Industry grouping</w:t>
                  </w:r>
                </w:p>
              </w:tc>
              <w:tc>
                <w:tcPr>
                  <w:tcW w:w="502"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99"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96"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RPr="00D156AF" w:rsidTr="00AC2131">
              <w:tc>
                <w:tcPr>
                  <w:tcW w:w="2002" w:type="pct"/>
                  <w:tcBorders>
                    <w:top w:val="single" w:sz="6" w:space="0" w:color="BFBFBF"/>
                  </w:tcBorders>
                  <w:vAlign w:val="bottom"/>
                </w:tcPr>
                <w:p w:rsidR="00AC2131" w:rsidRPr="00D156AF" w:rsidRDefault="00AC2131">
                  <w:pPr>
                    <w:rPr>
                      <w:rFonts w:ascii="Arial" w:hAnsi="Arial" w:cs="Arial"/>
                      <w:b/>
                      <w:bCs/>
                      <w:sz w:val="18"/>
                      <w:szCs w:val="18"/>
                    </w:rPr>
                  </w:pPr>
                  <w:r w:rsidRPr="00D156AF">
                    <w:rPr>
                      <w:rFonts w:ascii="Arial" w:hAnsi="Arial" w:cs="Arial"/>
                      <w:b/>
                      <w:bCs/>
                      <w:sz w:val="18"/>
                      <w:szCs w:val="18"/>
                    </w:rPr>
                    <w:t>Primary production</w:t>
                  </w:r>
                </w:p>
              </w:tc>
              <w:tc>
                <w:tcPr>
                  <w:tcW w:w="502" w:type="pct"/>
                  <w:tcBorders>
                    <w:top w:val="single" w:sz="6" w:space="0" w:color="BFBFBF"/>
                  </w:tcBorders>
                  <w:vAlign w:val="bottom"/>
                </w:tcPr>
                <w:p w:rsidR="00AC2131" w:rsidRPr="00D156AF" w:rsidRDefault="00AC2131" w:rsidP="00AC2131">
                  <w:pPr>
                    <w:pStyle w:val="TableBodyText"/>
                    <w:spacing w:after="0"/>
                    <w:ind w:left="0" w:right="57"/>
                    <w:rPr>
                      <w:b/>
                      <w:szCs w:val="18"/>
                    </w:rPr>
                  </w:pPr>
                  <w:r w:rsidRPr="00D156AF">
                    <w:rPr>
                      <w:b/>
                      <w:szCs w:val="18"/>
                    </w:rPr>
                    <w:t>200.4</w:t>
                  </w:r>
                </w:p>
              </w:tc>
              <w:tc>
                <w:tcPr>
                  <w:tcW w:w="501" w:type="pct"/>
                  <w:tcBorders>
                    <w:top w:val="single" w:sz="6" w:space="0" w:color="BFBFBF"/>
                  </w:tcBorders>
                  <w:vAlign w:val="bottom"/>
                </w:tcPr>
                <w:p w:rsidR="00AC2131" w:rsidRPr="00D156AF" w:rsidRDefault="00AC2131" w:rsidP="00AC2131">
                  <w:pPr>
                    <w:pStyle w:val="TableBodyText"/>
                    <w:spacing w:after="0"/>
                    <w:ind w:left="0" w:right="57"/>
                    <w:rPr>
                      <w:b/>
                      <w:szCs w:val="18"/>
                    </w:rPr>
                  </w:pPr>
                  <w:r w:rsidRPr="00D156AF">
                    <w:rPr>
                      <w:b/>
                      <w:szCs w:val="18"/>
                    </w:rPr>
                    <w:t>214.7</w:t>
                  </w:r>
                </w:p>
              </w:tc>
              <w:tc>
                <w:tcPr>
                  <w:tcW w:w="501" w:type="pct"/>
                  <w:tcBorders>
                    <w:top w:val="single" w:sz="6" w:space="0" w:color="BFBFBF"/>
                  </w:tcBorders>
                  <w:vAlign w:val="bottom"/>
                </w:tcPr>
                <w:p w:rsidR="00AC2131" w:rsidRPr="00D156AF" w:rsidRDefault="00AC2131" w:rsidP="00AC2131">
                  <w:pPr>
                    <w:pStyle w:val="TableBodyText"/>
                    <w:spacing w:after="0"/>
                    <w:ind w:left="0" w:right="57"/>
                    <w:rPr>
                      <w:b/>
                      <w:szCs w:val="18"/>
                    </w:rPr>
                  </w:pPr>
                  <w:r w:rsidRPr="00D156AF">
                    <w:rPr>
                      <w:b/>
                      <w:szCs w:val="18"/>
                    </w:rPr>
                    <w:t>211.3</w:t>
                  </w:r>
                </w:p>
              </w:tc>
              <w:tc>
                <w:tcPr>
                  <w:tcW w:w="499" w:type="pct"/>
                  <w:tcBorders>
                    <w:top w:val="single" w:sz="6" w:space="0" w:color="BFBFBF"/>
                  </w:tcBorders>
                  <w:vAlign w:val="bottom"/>
                </w:tcPr>
                <w:p w:rsidR="00AC2131" w:rsidRPr="00D156AF" w:rsidRDefault="00AC2131" w:rsidP="00AC2131">
                  <w:pPr>
                    <w:pStyle w:val="TableBodyText"/>
                    <w:spacing w:after="0"/>
                    <w:ind w:left="0" w:right="57"/>
                    <w:rPr>
                      <w:b/>
                      <w:szCs w:val="18"/>
                    </w:rPr>
                  </w:pPr>
                  <w:r w:rsidRPr="00D156AF">
                    <w:rPr>
                      <w:b/>
                      <w:szCs w:val="18"/>
                    </w:rPr>
                    <w:t>208.8</w:t>
                  </w:r>
                </w:p>
              </w:tc>
              <w:tc>
                <w:tcPr>
                  <w:tcW w:w="499" w:type="pct"/>
                  <w:tcBorders>
                    <w:top w:val="single" w:sz="6" w:space="0" w:color="BFBFBF"/>
                  </w:tcBorders>
                  <w:vAlign w:val="bottom"/>
                </w:tcPr>
                <w:p w:rsidR="00AC2131" w:rsidRPr="00D156AF" w:rsidRDefault="00AC2131" w:rsidP="00AC2131">
                  <w:pPr>
                    <w:pStyle w:val="TableBodyText"/>
                    <w:spacing w:after="0"/>
                    <w:ind w:left="0" w:right="57"/>
                    <w:rPr>
                      <w:b/>
                      <w:szCs w:val="18"/>
                    </w:rPr>
                  </w:pPr>
                  <w:r w:rsidRPr="00D156AF">
                    <w:rPr>
                      <w:b/>
                      <w:szCs w:val="18"/>
                    </w:rPr>
                    <w:t>253.0</w:t>
                  </w:r>
                </w:p>
              </w:tc>
              <w:tc>
                <w:tcPr>
                  <w:tcW w:w="496" w:type="pct"/>
                  <w:tcBorders>
                    <w:top w:val="single" w:sz="6" w:space="0" w:color="BFBFBF"/>
                  </w:tcBorders>
                  <w:vAlign w:val="bottom"/>
                </w:tcPr>
                <w:p w:rsidR="00AC2131" w:rsidRPr="00D156AF" w:rsidRDefault="00AC2131" w:rsidP="00AC2131">
                  <w:pPr>
                    <w:pStyle w:val="TableBodyText"/>
                    <w:spacing w:after="0"/>
                    <w:ind w:left="0" w:right="57"/>
                    <w:rPr>
                      <w:b/>
                      <w:szCs w:val="18"/>
                    </w:rPr>
                  </w:pPr>
                  <w:r w:rsidRPr="00D156AF">
                    <w:rPr>
                      <w:b/>
                      <w:szCs w:val="18"/>
                    </w:rPr>
                    <w:t>314.4</w:t>
                  </w:r>
                </w:p>
              </w:tc>
            </w:tr>
            <w:tr w:rsidR="00AC2131" w:rsidTr="00AC2131">
              <w:tc>
                <w:tcPr>
                  <w:tcW w:w="2002" w:type="pct"/>
                  <w:vAlign w:val="center"/>
                </w:tcPr>
                <w:p w:rsidR="00AC2131" w:rsidRPr="00EB5BB7" w:rsidRDefault="00AC2131">
                  <w:pPr>
                    <w:rPr>
                      <w:rFonts w:ascii="Arial" w:hAnsi="Arial" w:cs="Arial"/>
                      <w:sz w:val="18"/>
                      <w:szCs w:val="18"/>
                    </w:rPr>
                  </w:pPr>
                  <w:r w:rsidRPr="00EB5BB7">
                    <w:rPr>
                      <w:rFonts w:ascii="Arial" w:hAnsi="Arial" w:cs="Arial"/>
                      <w:sz w:val="18"/>
                      <w:szCs w:val="18"/>
                    </w:rPr>
                    <w:t>Horticulture and fruit growing</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143.8</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154.1</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155.9</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149.6</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191.5</w:t>
                  </w:r>
                </w:p>
              </w:tc>
              <w:tc>
                <w:tcPr>
                  <w:tcW w:w="496" w:type="pct"/>
                  <w:vAlign w:val="bottom"/>
                </w:tcPr>
                <w:p w:rsidR="00AC2131" w:rsidRPr="00D156AF" w:rsidRDefault="00AC2131" w:rsidP="00AC2131">
                  <w:pPr>
                    <w:pStyle w:val="TableBodyText"/>
                    <w:spacing w:after="0"/>
                    <w:ind w:left="0" w:right="57"/>
                    <w:rPr>
                      <w:szCs w:val="18"/>
                    </w:rPr>
                  </w:pPr>
                  <w:r w:rsidRPr="00D156AF">
                    <w:rPr>
                      <w:szCs w:val="18"/>
                    </w:rPr>
                    <w:t>251.1</w:t>
                  </w:r>
                </w:p>
              </w:tc>
            </w:tr>
            <w:tr w:rsidR="00AC2131" w:rsidTr="00AC2131">
              <w:tc>
                <w:tcPr>
                  <w:tcW w:w="2002" w:type="pct"/>
                  <w:shd w:val="clear" w:color="auto" w:fill="auto"/>
                  <w:vAlign w:val="center"/>
                </w:tcPr>
                <w:p w:rsidR="00AC2131" w:rsidRPr="00EB5BB7" w:rsidRDefault="00AC2131">
                  <w:pPr>
                    <w:rPr>
                      <w:rFonts w:ascii="Arial" w:hAnsi="Arial" w:cs="Arial"/>
                      <w:sz w:val="18"/>
                      <w:szCs w:val="18"/>
                    </w:rPr>
                  </w:pPr>
                  <w:r w:rsidRPr="00EB5BB7">
                    <w:rPr>
                      <w:rFonts w:ascii="Arial" w:hAnsi="Arial" w:cs="Arial"/>
                      <w:sz w:val="18"/>
                      <w:szCs w:val="18"/>
                    </w:rPr>
                    <w:t>Sheep, beef cattle and grain farming</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0.1</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0.1</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0.1</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0.2</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0.2</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0.2</w:t>
                  </w:r>
                </w:p>
              </w:tc>
            </w:tr>
            <w:tr w:rsidR="00AC2131" w:rsidTr="00AC2131">
              <w:tc>
                <w:tcPr>
                  <w:tcW w:w="2002" w:type="pct"/>
                  <w:shd w:val="clear" w:color="auto" w:fill="auto"/>
                  <w:vAlign w:val="center"/>
                </w:tcPr>
                <w:p w:rsidR="00AC2131" w:rsidRPr="00EB5BB7" w:rsidRDefault="00AC2131">
                  <w:pPr>
                    <w:rPr>
                      <w:rFonts w:ascii="Arial" w:hAnsi="Arial" w:cs="Arial"/>
                      <w:sz w:val="18"/>
                      <w:szCs w:val="18"/>
                    </w:rPr>
                  </w:pPr>
                  <w:r w:rsidRPr="00EB5BB7">
                    <w:rPr>
                      <w:rFonts w:ascii="Arial" w:hAnsi="Arial" w:cs="Arial"/>
                      <w:sz w:val="18"/>
                      <w:szCs w:val="18"/>
                    </w:rPr>
                    <w:t>Other crop growing</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1.7</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2.2</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2.0</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2.4</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2.4</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2.4</w:t>
                  </w:r>
                </w:p>
              </w:tc>
            </w:tr>
            <w:tr w:rsidR="00AC2131" w:rsidTr="00AC2131">
              <w:tc>
                <w:tcPr>
                  <w:tcW w:w="2002" w:type="pct"/>
                  <w:shd w:val="clear" w:color="auto" w:fill="auto"/>
                  <w:vAlign w:val="center"/>
                </w:tcPr>
                <w:p w:rsidR="00AC2131" w:rsidRPr="00EB5BB7" w:rsidRDefault="00AC2131">
                  <w:pPr>
                    <w:rPr>
                      <w:rFonts w:ascii="Arial" w:hAnsi="Arial" w:cs="Arial"/>
                      <w:sz w:val="18"/>
                      <w:szCs w:val="18"/>
                    </w:rPr>
                  </w:pPr>
                  <w:r w:rsidRPr="00EB5BB7">
                    <w:rPr>
                      <w:rFonts w:ascii="Arial" w:hAnsi="Arial" w:cs="Arial"/>
                      <w:sz w:val="18"/>
                      <w:szCs w:val="18"/>
                    </w:rPr>
                    <w:t>Dairy cattle farming</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B5BB7" w:rsidRDefault="00AC2131">
                  <w:pPr>
                    <w:rPr>
                      <w:rFonts w:ascii="Arial" w:hAnsi="Arial" w:cs="Arial"/>
                      <w:sz w:val="18"/>
                      <w:szCs w:val="18"/>
                    </w:rPr>
                  </w:pPr>
                  <w:r w:rsidRPr="00EB5BB7">
                    <w:rPr>
                      <w:rFonts w:ascii="Arial" w:hAnsi="Arial" w:cs="Arial"/>
                      <w:sz w:val="18"/>
                      <w:szCs w:val="18"/>
                    </w:rPr>
                    <w:t>Other livestock farming</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B5BB7" w:rsidRDefault="00AC2131">
                  <w:pPr>
                    <w:rPr>
                      <w:rFonts w:ascii="Arial" w:hAnsi="Arial" w:cs="Arial"/>
                      <w:sz w:val="18"/>
                      <w:szCs w:val="18"/>
                    </w:rPr>
                  </w:pPr>
                  <w:r w:rsidRPr="00EB5BB7">
                    <w:rPr>
                      <w:rFonts w:ascii="Arial" w:hAnsi="Arial" w:cs="Arial"/>
                      <w:sz w:val="18"/>
                      <w:szCs w:val="18"/>
                    </w:rPr>
                    <w:t>Aquaculture and fishing</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0.9</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0.9</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0.8</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0.9</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0.9</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1.0</w:t>
                  </w:r>
                </w:p>
              </w:tc>
            </w:tr>
            <w:tr w:rsidR="00AC2131" w:rsidTr="00AC2131">
              <w:tc>
                <w:tcPr>
                  <w:tcW w:w="2002" w:type="pct"/>
                  <w:shd w:val="clear" w:color="auto" w:fill="auto"/>
                  <w:vAlign w:val="center"/>
                </w:tcPr>
                <w:p w:rsidR="00AC2131" w:rsidRPr="00EB5BB7" w:rsidRDefault="00AC2131">
                  <w:pPr>
                    <w:rPr>
                      <w:rFonts w:ascii="Arial" w:hAnsi="Arial" w:cs="Arial"/>
                      <w:sz w:val="18"/>
                      <w:szCs w:val="18"/>
                    </w:rPr>
                  </w:pPr>
                  <w:r w:rsidRPr="00EB5BB7">
                    <w:rPr>
                      <w:rFonts w:ascii="Arial" w:hAnsi="Arial" w:cs="Arial"/>
                      <w:sz w:val="18"/>
                      <w:szCs w:val="18"/>
                    </w:rPr>
                    <w:t>Forestry and logging</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53.9</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57.4</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52.4</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55.7</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58.1</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59.8</w:t>
                  </w:r>
                </w:p>
              </w:tc>
            </w:tr>
            <w:tr w:rsidR="00AC2131" w:rsidTr="00AC2131">
              <w:tc>
                <w:tcPr>
                  <w:tcW w:w="2002" w:type="pct"/>
                  <w:shd w:val="clear" w:color="auto" w:fill="auto"/>
                  <w:vAlign w:val="center"/>
                </w:tcPr>
                <w:p w:rsidR="00AC2131" w:rsidRPr="00EB5BB7" w:rsidRDefault="00AC2131">
                  <w:pPr>
                    <w:rPr>
                      <w:rFonts w:ascii="Arial" w:hAnsi="Arial" w:cs="Arial"/>
                      <w:sz w:val="18"/>
                      <w:szCs w:val="18"/>
                    </w:rPr>
                  </w:pPr>
                  <w:r w:rsidRPr="00EB5BB7">
                    <w:rPr>
                      <w:rFonts w:ascii="Arial" w:hAnsi="Arial" w:cs="Arial"/>
                      <w:sz w:val="18"/>
                      <w:szCs w:val="18"/>
                    </w:rPr>
                    <w:t>Primary production support services</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B5BB7" w:rsidRDefault="00AC2131">
                  <w:pPr>
                    <w:rPr>
                      <w:rFonts w:ascii="Arial" w:hAnsi="Arial" w:cs="Arial"/>
                      <w:sz w:val="18"/>
                      <w:szCs w:val="18"/>
                    </w:rPr>
                  </w:pPr>
                  <w:r w:rsidRPr="00EB5BB7">
                    <w:rPr>
                      <w:rFonts w:ascii="Arial" w:hAnsi="Arial" w:cs="Arial"/>
                      <w:sz w:val="18"/>
                      <w:szCs w:val="18"/>
                    </w:rPr>
                    <w:t>Unallocated primary production</w:t>
                  </w:r>
                  <w:r w:rsidRPr="008405D4">
                    <w:rPr>
                      <w:rStyle w:val="NoteLabel"/>
                    </w:rPr>
                    <w:t>b</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RPr="00D156AF" w:rsidTr="00AC2131">
              <w:tc>
                <w:tcPr>
                  <w:tcW w:w="2002" w:type="pct"/>
                  <w:shd w:val="clear" w:color="auto" w:fill="auto"/>
                  <w:vAlign w:val="bottom"/>
                </w:tcPr>
                <w:p w:rsidR="00AC2131" w:rsidRPr="00D156AF" w:rsidRDefault="00AC2131">
                  <w:pPr>
                    <w:rPr>
                      <w:rFonts w:ascii="Arial" w:hAnsi="Arial" w:cs="Arial"/>
                      <w:b/>
                      <w:bCs/>
                      <w:sz w:val="18"/>
                      <w:szCs w:val="18"/>
                    </w:rPr>
                  </w:pPr>
                  <w:r w:rsidRPr="00D156AF">
                    <w:rPr>
                      <w:rFonts w:ascii="Arial" w:hAnsi="Arial" w:cs="Arial"/>
                      <w:b/>
                      <w:bCs/>
                      <w:sz w:val="18"/>
                      <w:szCs w:val="18"/>
                    </w:rPr>
                    <w:t>Mining</w:t>
                  </w:r>
                </w:p>
              </w:tc>
              <w:tc>
                <w:tcPr>
                  <w:tcW w:w="502" w:type="pct"/>
                  <w:vAlign w:val="bottom"/>
                </w:tcPr>
                <w:p w:rsidR="00AC2131" w:rsidRPr="00D156AF" w:rsidRDefault="00AC2131" w:rsidP="00AC2131">
                  <w:pPr>
                    <w:pStyle w:val="TableBodyText"/>
                    <w:spacing w:after="0"/>
                    <w:ind w:left="0" w:right="57"/>
                    <w:rPr>
                      <w:b/>
                      <w:szCs w:val="18"/>
                    </w:rPr>
                  </w:pPr>
                  <w:r w:rsidRPr="00D156AF">
                    <w:rPr>
                      <w:b/>
                      <w:szCs w:val="18"/>
                    </w:rPr>
                    <w:t>0.8</w:t>
                  </w:r>
                </w:p>
              </w:tc>
              <w:tc>
                <w:tcPr>
                  <w:tcW w:w="501" w:type="pct"/>
                  <w:vAlign w:val="bottom"/>
                </w:tcPr>
                <w:p w:rsidR="00AC2131" w:rsidRPr="00D156AF" w:rsidRDefault="00AC2131" w:rsidP="00AC2131">
                  <w:pPr>
                    <w:pStyle w:val="TableBodyText"/>
                    <w:spacing w:after="0"/>
                    <w:ind w:left="0" w:right="57"/>
                    <w:rPr>
                      <w:b/>
                      <w:szCs w:val="18"/>
                    </w:rPr>
                  </w:pPr>
                  <w:r w:rsidRPr="00D156AF">
                    <w:rPr>
                      <w:b/>
                      <w:szCs w:val="18"/>
                    </w:rPr>
                    <w:t>0.8</w:t>
                  </w:r>
                </w:p>
              </w:tc>
              <w:tc>
                <w:tcPr>
                  <w:tcW w:w="501" w:type="pct"/>
                  <w:vAlign w:val="bottom"/>
                </w:tcPr>
                <w:p w:rsidR="00AC2131" w:rsidRPr="00D156AF" w:rsidRDefault="00AC2131" w:rsidP="00AC2131">
                  <w:pPr>
                    <w:pStyle w:val="TableBodyText"/>
                    <w:spacing w:after="0"/>
                    <w:ind w:left="0" w:right="57"/>
                    <w:rPr>
                      <w:b/>
                      <w:szCs w:val="18"/>
                    </w:rPr>
                  </w:pPr>
                  <w:r w:rsidRPr="00D156AF">
                    <w:rPr>
                      <w:b/>
                      <w:szCs w:val="18"/>
                    </w:rPr>
                    <w:t>0.9</w:t>
                  </w:r>
                </w:p>
              </w:tc>
              <w:tc>
                <w:tcPr>
                  <w:tcW w:w="499" w:type="pct"/>
                  <w:vAlign w:val="bottom"/>
                </w:tcPr>
                <w:p w:rsidR="00AC2131" w:rsidRPr="00D156AF" w:rsidRDefault="00AC2131" w:rsidP="00AC2131">
                  <w:pPr>
                    <w:pStyle w:val="TableBodyText"/>
                    <w:spacing w:after="0"/>
                    <w:ind w:left="0" w:right="57"/>
                    <w:rPr>
                      <w:b/>
                      <w:szCs w:val="18"/>
                    </w:rPr>
                  </w:pPr>
                  <w:r w:rsidRPr="00D156AF">
                    <w:rPr>
                      <w:b/>
                      <w:szCs w:val="18"/>
                    </w:rPr>
                    <w:t>0.9</w:t>
                  </w:r>
                </w:p>
              </w:tc>
              <w:tc>
                <w:tcPr>
                  <w:tcW w:w="499" w:type="pct"/>
                  <w:shd w:val="clear" w:color="auto" w:fill="auto"/>
                  <w:vAlign w:val="bottom"/>
                </w:tcPr>
                <w:p w:rsidR="00AC2131" w:rsidRPr="00D156AF" w:rsidRDefault="00AC2131" w:rsidP="00AC2131">
                  <w:pPr>
                    <w:pStyle w:val="TableBodyText"/>
                    <w:spacing w:after="0"/>
                    <w:ind w:left="0" w:right="57"/>
                    <w:rPr>
                      <w:b/>
                      <w:szCs w:val="18"/>
                    </w:rPr>
                  </w:pPr>
                  <w:r w:rsidRPr="00D156AF">
                    <w:rPr>
                      <w:b/>
                      <w:szCs w:val="18"/>
                    </w:rPr>
                    <w:t>1.0</w:t>
                  </w:r>
                </w:p>
              </w:tc>
              <w:tc>
                <w:tcPr>
                  <w:tcW w:w="496" w:type="pct"/>
                  <w:shd w:val="clear" w:color="auto" w:fill="auto"/>
                  <w:vAlign w:val="bottom"/>
                </w:tcPr>
                <w:p w:rsidR="00AC2131" w:rsidRPr="00D156AF" w:rsidRDefault="00AC2131" w:rsidP="00AC2131">
                  <w:pPr>
                    <w:pStyle w:val="TableBodyText"/>
                    <w:spacing w:after="0"/>
                    <w:ind w:left="0" w:right="57"/>
                    <w:rPr>
                      <w:b/>
                      <w:szCs w:val="18"/>
                    </w:rPr>
                  </w:pPr>
                  <w:r w:rsidRPr="00D156AF">
                    <w:rPr>
                      <w:b/>
                      <w:szCs w:val="18"/>
                    </w:rPr>
                    <w:t>1.1</w:t>
                  </w:r>
                </w:p>
              </w:tc>
            </w:tr>
            <w:tr w:rsidR="00AC2131" w:rsidRPr="00D156AF" w:rsidTr="00AC2131">
              <w:tc>
                <w:tcPr>
                  <w:tcW w:w="2002" w:type="pct"/>
                  <w:shd w:val="clear" w:color="auto" w:fill="auto"/>
                  <w:vAlign w:val="bottom"/>
                </w:tcPr>
                <w:p w:rsidR="00AC2131" w:rsidRPr="00D156AF" w:rsidRDefault="00AC2131">
                  <w:pPr>
                    <w:rPr>
                      <w:rFonts w:ascii="Arial" w:hAnsi="Arial" w:cs="Arial"/>
                      <w:b/>
                      <w:bCs/>
                      <w:sz w:val="18"/>
                      <w:szCs w:val="18"/>
                    </w:rPr>
                  </w:pPr>
                  <w:r w:rsidRPr="00D156AF">
                    <w:rPr>
                      <w:rFonts w:ascii="Arial" w:hAnsi="Arial" w:cs="Arial"/>
                      <w:b/>
                      <w:bCs/>
                      <w:sz w:val="18"/>
                      <w:szCs w:val="18"/>
                    </w:rPr>
                    <w:t>Manufacturing</w:t>
                  </w:r>
                </w:p>
              </w:tc>
              <w:tc>
                <w:tcPr>
                  <w:tcW w:w="502" w:type="pct"/>
                  <w:vAlign w:val="bottom"/>
                </w:tcPr>
                <w:p w:rsidR="00AC2131" w:rsidRPr="00D156AF" w:rsidRDefault="00AC2131" w:rsidP="00AC2131">
                  <w:pPr>
                    <w:pStyle w:val="TableBodyText"/>
                    <w:spacing w:after="0"/>
                    <w:ind w:left="0" w:right="57"/>
                    <w:rPr>
                      <w:b/>
                      <w:szCs w:val="18"/>
                    </w:rPr>
                  </w:pPr>
                  <w:r w:rsidRPr="00D156AF">
                    <w:rPr>
                      <w:b/>
                      <w:szCs w:val="18"/>
                    </w:rPr>
                    <w:t>8735.1</w:t>
                  </w:r>
                </w:p>
              </w:tc>
              <w:tc>
                <w:tcPr>
                  <w:tcW w:w="501" w:type="pct"/>
                  <w:vAlign w:val="bottom"/>
                </w:tcPr>
                <w:p w:rsidR="00AC2131" w:rsidRPr="00D156AF" w:rsidRDefault="00AC2131" w:rsidP="00AC2131">
                  <w:pPr>
                    <w:pStyle w:val="TableBodyText"/>
                    <w:spacing w:after="0"/>
                    <w:ind w:left="0" w:right="57"/>
                    <w:rPr>
                      <w:b/>
                      <w:szCs w:val="18"/>
                    </w:rPr>
                  </w:pPr>
                  <w:r w:rsidRPr="00D156AF">
                    <w:rPr>
                      <w:b/>
                      <w:szCs w:val="18"/>
                    </w:rPr>
                    <w:t>8180.5</w:t>
                  </w:r>
                </w:p>
              </w:tc>
              <w:tc>
                <w:tcPr>
                  <w:tcW w:w="501" w:type="pct"/>
                  <w:vAlign w:val="bottom"/>
                </w:tcPr>
                <w:p w:rsidR="00AC2131" w:rsidRPr="00D156AF" w:rsidRDefault="00AC2131" w:rsidP="00AC2131">
                  <w:pPr>
                    <w:pStyle w:val="TableBodyText"/>
                    <w:spacing w:after="0"/>
                    <w:ind w:left="0" w:right="57"/>
                    <w:rPr>
                      <w:b/>
                      <w:szCs w:val="18"/>
                    </w:rPr>
                  </w:pPr>
                  <w:r w:rsidRPr="00D156AF">
                    <w:rPr>
                      <w:b/>
                      <w:szCs w:val="18"/>
                    </w:rPr>
                    <w:t>7823.4</w:t>
                  </w:r>
                </w:p>
              </w:tc>
              <w:tc>
                <w:tcPr>
                  <w:tcW w:w="499" w:type="pct"/>
                  <w:vAlign w:val="bottom"/>
                </w:tcPr>
                <w:p w:rsidR="00AC2131" w:rsidRPr="00D156AF" w:rsidRDefault="00AC2131" w:rsidP="00AC2131">
                  <w:pPr>
                    <w:pStyle w:val="TableBodyText"/>
                    <w:spacing w:after="0"/>
                    <w:ind w:left="0" w:right="57"/>
                    <w:rPr>
                      <w:b/>
                      <w:szCs w:val="18"/>
                    </w:rPr>
                  </w:pPr>
                  <w:r w:rsidRPr="00D156AF">
                    <w:rPr>
                      <w:b/>
                      <w:szCs w:val="18"/>
                    </w:rPr>
                    <w:t>7943.0</w:t>
                  </w:r>
                </w:p>
              </w:tc>
              <w:tc>
                <w:tcPr>
                  <w:tcW w:w="499" w:type="pct"/>
                  <w:shd w:val="clear" w:color="auto" w:fill="auto"/>
                  <w:vAlign w:val="bottom"/>
                </w:tcPr>
                <w:p w:rsidR="00AC2131" w:rsidRPr="00D156AF" w:rsidRDefault="00AC2131" w:rsidP="00AC2131">
                  <w:pPr>
                    <w:pStyle w:val="TableBodyText"/>
                    <w:spacing w:after="0"/>
                    <w:ind w:left="0" w:right="57"/>
                    <w:rPr>
                      <w:b/>
                      <w:szCs w:val="18"/>
                    </w:rPr>
                  </w:pPr>
                  <w:r w:rsidRPr="00D156AF">
                    <w:rPr>
                      <w:b/>
                      <w:szCs w:val="18"/>
                    </w:rPr>
                    <w:t>7617.8</w:t>
                  </w:r>
                </w:p>
              </w:tc>
              <w:tc>
                <w:tcPr>
                  <w:tcW w:w="496" w:type="pct"/>
                  <w:shd w:val="clear" w:color="auto" w:fill="auto"/>
                  <w:vAlign w:val="bottom"/>
                </w:tcPr>
                <w:p w:rsidR="00AC2131" w:rsidRPr="00D156AF" w:rsidRDefault="00AC2131" w:rsidP="00AC2131">
                  <w:pPr>
                    <w:pStyle w:val="TableBodyText"/>
                    <w:spacing w:after="0"/>
                    <w:ind w:left="0" w:right="57"/>
                    <w:rPr>
                      <w:b/>
                      <w:szCs w:val="18"/>
                    </w:rPr>
                  </w:pPr>
                  <w:r w:rsidRPr="00D156AF">
                    <w:rPr>
                      <w:b/>
                      <w:szCs w:val="18"/>
                    </w:rPr>
                    <w:t>7604.5</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Food, beverages and tobacco</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1733.4</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1745.6</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1789.2</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1836.0</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1844.5</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1873.6</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Textile</w:t>
                  </w:r>
                  <w:r>
                    <w:rPr>
                      <w:rFonts w:ascii="Arial" w:hAnsi="Arial" w:cs="Arial"/>
                      <w:sz w:val="18"/>
                      <w:szCs w:val="18"/>
                    </w:rPr>
                    <w:t>s</w:t>
                  </w:r>
                  <w:r w:rsidRPr="00E02BF0">
                    <w:rPr>
                      <w:rFonts w:ascii="Arial" w:hAnsi="Arial" w:cs="Arial"/>
                      <w:sz w:val="18"/>
                      <w:szCs w:val="18"/>
                    </w:rPr>
                    <w:t>, leather, clothing and footwear</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727.2</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459.5</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334.9</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323.2</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314.5</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328.4</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Wood and paper products</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737.9</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737.8</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671.7</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623.5</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612.4</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631.8</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Printing and recorded media</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254.8</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229.0</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224.5</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202.4</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196.3</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188.1</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Petroleum, coal, chemical and rubber</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1015.5</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1034.6</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998.6</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1031.3</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946.4</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902.8</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Non-metallic mineral products</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296.2</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279.6</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290.7</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274.6</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268.8</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275.8</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Metal and fabricated metal products</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1896.2</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1749.3</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1784.8</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1833.8</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1662.9</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1723.1</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Motor vehicle</w:t>
                  </w:r>
                  <w:r>
                    <w:rPr>
                      <w:rFonts w:ascii="Arial" w:hAnsi="Arial" w:cs="Arial"/>
                      <w:sz w:val="18"/>
                      <w:szCs w:val="18"/>
                    </w:rPr>
                    <w:t>s</w:t>
                  </w:r>
                  <w:r w:rsidRPr="00E02BF0">
                    <w:rPr>
                      <w:rFonts w:ascii="Arial" w:hAnsi="Arial" w:cs="Arial"/>
                      <w:sz w:val="18"/>
                      <w:szCs w:val="18"/>
                    </w:rPr>
                    <w:t xml:space="preserve"> and parts</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1126.1</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1025.6</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825.3</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867.9</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845.9</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802.4</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Other transport equipment</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67.3</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76.8</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76.3</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80.3</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78.2</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74.2</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Machinery &amp; equipment manufacturing</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649.8</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635.2</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620.5</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652.6</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636.0</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603.3</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Furniture and other manufacturing</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230.6</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207.4</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206.7</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217.4</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211.9</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201.0</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Unallocated manufacturing</w:t>
                  </w:r>
                  <w:r w:rsidRPr="008405D4">
                    <w:rPr>
                      <w:rStyle w:val="NoteLabel"/>
                    </w:rPr>
                    <w:t>b</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RPr="00D156AF" w:rsidTr="00AC2131">
              <w:tc>
                <w:tcPr>
                  <w:tcW w:w="2002" w:type="pct"/>
                  <w:shd w:val="clear" w:color="auto" w:fill="auto"/>
                  <w:vAlign w:val="bottom"/>
                </w:tcPr>
                <w:p w:rsidR="00AC2131" w:rsidRPr="00D156AF" w:rsidRDefault="00AC2131">
                  <w:pPr>
                    <w:rPr>
                      <w:rFonts w:ascii="Arial" w:hAnsi="Arial" w:cs="Arial"/>
                      <w:b/>
                      <w:bCs/>
                      <w:sz w:val="18"/>
                      <w:szCs w:val="18"/>
                    </w:rPr>
                  </w:pPr>
                  <w:r w:rsidRPr="00D156AF">
                    <w:rPr>
                      <w:rFonts w:ascii="Arial" w:hAnsi="Arial" w:cs="Arial"/>
                      <w:b/>
                      <w:bCs/>
                      <w:sz w:val="18"/>
                      <w:szCs w:val="18"/>
                    </w:rPr>
                    <w:t>Services</w:t>
                  </w:r>
                </w:p>
              </w:tc>
              <w:tc>
                <w:tcPr>
                  <w:tcW w:w="502" w:type="pct"/>
                  <w:vAlign w:val="bottom"/>
                </w:tcPr>
                <w:p w:rsidR="00AC2131" w:rsidRPr="00D156AF" w:rsidRDefault="00AC2131" w:rsidP="00AC2131">
                  <w:pPr>
                    <w:pStyle w:val="TableBodyText"/>
                    <w:spacing w:after="0"/>
                    <w:ind w:left="0" w:right="57"/>
                    <w:rPr>
                      <w:b/>
                      <w:szCs w:val="18"/>
                    </w:rPr>
                  </w:pPr>
                  <w:r w:rsidRPr="00D156AF">
                    <w:rPr>
                      <w:b/>
                      <w:szCs w:val="18"/>
                    </w:rPr>
                    <w:t>0.0</w:t>
                  </w:r>
                </w:p>
              </w:tc>
              <w:tc>
                <w:tcPr>
                  <w:tcW w:w="501" w:type="pct"/>
                  <w:vAlign w:val="bottom"/>
                </w:tcPr>
                <w:p w:rsidR="00AC2131" w:rsidRPr="00D156AF" w:rsidRDefault="00AC2131" w:rsidP="00AC2131">
                  <w:pPr>
                    <w:pStyle w:val="TableBodyText"/>
                    <w:spacing w:after="0"/>
                    <w:ind w:left="0" w:right="57"/>
                    <w:rPr>
                      <w:b/>
                      <w:szCs w:val="18"/>
                    </w:rPr>
                  </w:pPr>
                  <w:r w:rsidRPr="00D156AF">
                    <w:rPr>
                      <w:b/>
                      <w:szCs w:val="18"/>
                    </w:rPr>
                    <w:t>0.0</w:t>
                  </w:r>
                </w:p>
              </w:tc>
              <w:tc>
                <w:tcPr>
                  <w:tcW w:w="501" w:type="pct"/>
                  <w:vAlign w:val="bottom"/>
                </w:tcPr>
                <w:p w:rsidR="00AC2131" w:rsidRPr="00D156AF" w:rsidRDefault="00AC2131" w:rsidP="00AC2131">
                  <w:pPr>
                    <w:pStyle w:val="TableBodyText"/>
                    <w:spacing w:after="0"/>
                    <w:ind w:left="0" w:right="57"/>
                    <w:rPr>
                      <w:b/>
                      <w:szCs w:val="18"/>
                    </w:rPr>
                  </w:pPr>
                  <w:r w:rsidRPr="00D156AF">
                    <w:rPr>
                      <w:b/>
                      <w:szCs w:val="18"/>
                    </w:rPr>
                    <w:t>0.0</w:t>
                  </w:r>
                </w:p>
              </w:tc>
              <w:tc>
                <w:tcPr>
                  <w:tcW w:w="499" w:type="pct"/>
                  <w:vAlign w:val="bottom"/>
                </w:tcPr>
                <w:p w:rsidR="00AC2131" w:rsidRPr="00D156AF" w:rsidRDefault="00AC2131" w:rsidP="00AC2131">
                  <w:pPr>
                    <w:pStyle w:val="TableBodyText"/>
                    <w:spacing w:after="0"/>
                    <w:ind w:left="0" w:right="57"/>
                    <w:rPr>
                      <w:b/>
                      <w:szCs w:val="18"/>
                    </w:rPr>
                  </w:pPr>
                  <w:r w:rsidRPr="00D156AF">
                    <w:rPr>
                      <w:b/>
                      <w:szCs w:val="18"/>
                    </w:rPr>
                    <w:t>0.0</w:t>
                  </w:r>
                </w:p>
              </w:tc>
              <w:tc>
                <w:tcPr>
                  <w:tcW w:w="499" w:type="pct"/>
                  <w:shd w:val="clear" w:color="auto" w:fill="auto"/>
                  <w:vAlign w:val="bottom"/>
                </w:tcPr>
                <w:p w:rsidR="00AC2131" w:rsidRPr="00D156AF" w:rsidRDefault="00AC2131" w:rsidP="00AC2131">
                  <w:pPr>
                    <w:pStyle w:val="TableBodyText"/>
                    <w:spacing w:after="0"/>
                    <w:ind w:left="0" w:right="57"/>
                    <w:rPr>
                      <w:b/>
                      <w:szCs w:val="18"/>
                    </w:rPr>
                  </w:pPr>
                  <w:r w:rsidRPr="00D156AF">
                    <w:rPr>
                      <w:b/>
                      <w:szCs w:val="18"/>
                    </w:rPr>
                    <w:t>0.0</w:t>
                  </w:r>
                </w:p>
              </w:tc>
              <w:tc>
                <w:tcPr>
                  <w:tcW w:w="496" w:type="pct"/>
                  <w:shd w:val="clear" w:color="auto" w:fill="auto"/>
                  <w:vAlign w:val="bottom"/>
                </w:tcPr>
                <w:p w:rsidR="00AC2131" w:rsidRPr="00D156AF" w:rsidRDefault="00AC2131" w:rsidP="00AC2131">
                  <w:pPr>
                    <w:pStyle w:val="TableBodyText"/>
                    <w:spacing w:after="0"/>
                    <w:ind w:left="0" w:right="57"/>
                    <w:rPr>
                      <w:b/>
                      <w:szCs w:val="18"/>
                    </w:rPr>
                  </w:pPr>
                  <w:r w:rsidRPr="00D156AF">
                    <w:rPr>
                      <w:b/>
                      <w:szCs w:val="18"/>
                    </w:rPr>
                    <w:t>0.0</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Electricity, gas, water &amp; waste services</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Construction</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Wholesale trade</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Retail trade</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Accommodation &amp; food services</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Transport, postal &amp; warehousing</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Information &amp; telecommunications</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Financial and insurance services</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Property, professional &amp; admin.</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Public administration and safety</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Education and training</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Health care and social assistance</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Arts and recreation services</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Other services</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Tr="00AC2131">
              <w:tc>
                <w:tcPr>
                  <w:tcW w:w="2002" w:type="pct"/>
                  <w:shd w:val="clear" w:color="auto" w:fill="auto"/>
                  <w:vAlign w:val="center"/>
                </w:tcPr>
                <w:p w:rsidR="00AC2131" w:rsidRPr="00E02BF0" w:rsidRDefault="00AC2131">
                  <w:pPr>
                    <w:rPr>
                      <w:rFonts w:ascii="Arial" w:hAnsi="Arial" w:cs="Arial"/>
                      <w:sz w:val="18"/>
                      <w:szCs w:val="18"/>
                    </w:rPr>
                  </w:pPr>
                  <w:r w:rsidRPr="00E02BF0">
                    <w:rPr>
                      <w:rFonts w:ascii="Arial" w:hAnsi="Arial" w:cs="Arial"/>
                      <w:sz w:val="18"/>
                      <w:szCs w:val="18"/>
                    </w:rPr>
                    <w:t>Unallocated services</w:t>
                  </w:r>
                  <w:r w:rsidRPr="008405D4">
                    <w:rPr>
                      <w:rStyle w:val="NoteLabel"/>
                    </w:rPr>
                    <w:t>b</w:t>
                  </w:r>
                </w:p>
              </w:tc>
              <w:tc>
                <w:tcPr>
                  <w:tcW w:w="502"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501"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9"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c>
                <w:tcPr>
                  <w:tcW w:w="496" w:type="pct"/>
                  <w:shd w:val="clear" w:color="auto" w:fill="auto"/>
                  <w:vAlign w:val="bottom"/>
                </w:tcPr>
                <w:p w:rsidR="00AC2131" w:rsidRPr="00D156AF" w:rsidRDefault="00AC2131" w:rsidP="00AC2131">
                  <w:pPr>
                    <w:pStyle w:val="TableBodyText"/>
                    <w:spacing w:after="0"/>
                    <w:ind w:left="0" w:right="57"/>
                    <w:rPr>
                      <w:szCs w:val="18"/>
                    </w:rPr>
                  </w:pPr>
                  <w:r w:rsidRPr="00D156AF">
                    <w:rPr>
                      <w:szCs w:val="18"/>
                    </w:rPr>
                    <w:t xml:space="preserve">– </w:t>
                  </w:r>
                </w:p>
              </w:tc>
            </w:tr>
            <w:tr w:rsidR="00AC2131" w:rsidRPr="00EF49B4" w:rsidTr="00AC2131">
              <w:tc>
                <w:tcPr>
                  <w:tcW w:w="2002" w:type="pct"/>
                  <w:shd w:val="clear" w:color="auto" w:fill="auto"/>
                  <w:vAlign w:val="center"/>
                </w:tcPr>
                <w:p w:rsidR="00AC2131" w:rsidRPr="00EF49B4" w:rsidRDefault="00AC2131" w:rsidP="00AC2131">
                  <w:pPr>
                    <w:rPr>
                      <w:rFonts w:ascii="Arial" w:hAnsi="Arial" w:cs="Arial"/>
                      <w:b/>
                      <w:bCs/>
                      <w:sz w:val="18"/>
                      <w:szCs w:val="18"/>
                    </w:rPr>
                  </w:pPr>
                  <w:r w:rsidRPr="00EF49B4">
                    <w:rPr>
                      <w:rFonts w:ascii="Arial" w:hAnsi="Arial" w:cs="Arial"/>
                      <w:b/>
                      <w:bCs/>
                      <w:sz w:val="18"/>
                      <w:szCs w:val="18"/>
                    </w:rPr>
                    <w:t>Unallocated other</w:t>
                  </w:r>
                  <w:r w:rsidRPr="008405D4">
                    <w:rPr>
                      <w:rStyle w:val="NoteLabel"/>
                    </w:rPr>
                    <w:t>b</w:t>
                  </w:r>
                </w:p>
              </w:tc>
              <w:tc>
                <w:tcPr>
                  <w:tcW w:w="502" w:type="pct"/>
                  <w:vAlign w:val="bottom"/>
                </w:tcPr>
                <w:p w:rsidR="00AC2131" w:rsidRPr="00EF49B4" w:rsidRDefault="00AC2131" w:rsidP="00AC2131">
                  <w:pPr>
                    <w:pStyle w:val="TableBodyText"/>
                    <w:spacing w:after="0"/>
                    <w:ind w:left="0" w:right="57"/>
                    <w:rPr>
                      <w:b/>
                      <w:szCs w:val="18"/>
                    </w:rPr>
                  </w:pPr>
                  <w:r w:rsidRPr="00EF49B4">
                    <w:rPr>
                      <w:b/>
                      <w:szCs w:val="18"/>
                    </w:rPr>
                    <w:t xml:space="preserve">– </w:t>
                  </w:r>
                </w:p>
              </w:tc>
              <w:tc>
                <w:tcPr>
                  <w:tcW w:w="501" w:type="pct"/>
                  <w:vAlign w:val="bottom"/>
                </w:tcPr>
                <w:p w:rsidR="00AC2131" w:rsidRPr="00EF49B4" w:rsidRDefault="00AC2131" w:rsidP="00AC2131">
                  <w:pPr>
                    <w:pStyle w:val="TableBodyText"/>
                    <w:spacing w:after="0"/>
                    <w:ind w:left="0" w:right="57"/>
                    <w:rPr>
                      <w:b/>
                      <w:szCs w:val="18"/>
                    </w:rPr>
                  </w:pPr>
                  <w:r w:rsidRPr="00EF49B4">
                    <w:rPr>
                      <w:b/>
                      <w:szCs w:val="18"/>
                    </w:rPr>
                    <w:t xml:space="preserve">– </w:t>
                  </w:r>
                </w:p>
              </w:tc>
              <w:tc>
                <w:tcPr>
                  <w:tcW w:w="501" w:type="pct"/>
                  <w:vAlign w:val="bottom"/>
                </w:tcPr>
                <w:p w:rsidR="00AC2131" w:rsidRPr="00EF49B4" w:rsidRDefault="00AC2131" w:rsidP="00AC2131">
                  <w:pPr>
                    <w:pStyle w:val="TableBodyText"/>
                    <w:spacing w:after="0"/>
                    <w:ind w:left="0" w:right="57"/>
                    <w:rPr>
                      <w:b/>
                      <w:szCs w:val="18"/>
                    </w:rPr>
                  </w:pPr>
                  <w:r w:rsidRPr="00EF49B4">
                    <w:rPr>
                      <w:b/>
                      <w:szCs w:val="18"/>
                    </w:rPr>
                    <w:t xml:space="preserve">– </w:t>
                  </w:r>
                </w:p>
              </w:tc>
              <w:tc>
                <w:tcPr>
                  <w:tcW w:w="499" w:type="pct"/>
                  <w:vAlign w:val="bottom"/>
                </w:tcPr>
                <w:p w:rsidR="00AC2131" w:rsidRPr="00EF49B4" w:rsidRDefault="00AC2131" w:rsidP="00AC2131">
                  <w:pPr>
                    <w:pStyle w:val="TableBodyText"/>
                    <w:spacing w:after="0"/>
                    <w:ind w:left="0" w:right="57"/>
                    <w:rPr>
                      <w:b/>
                      <w:szCs w:val="18"/>
                    </w:rPr>
                  </w:pPr>
                  <w:r w:rsidRPr="00EF49B4">
                    <w:rPr>
                      <w:b/>
                      <w:szCs w:val="18"/>
                    </w:rPr>
                    <w:t xml:space="preserve">– </w:t>
                  </w:r>
                </w:p>
              </w:tc>
              <w:tc>
                <w:tcPr>
                  <w:tcW w:w="499" w:type="pct"/>
                  <w:shd w:val="clear" w:color="auto" w:fill="auto"/>
                  <w:vAlign w:val="bottom"/>
                </w:tcPr>
                <w:p w:rsidR="00AC2131" w:rsidRPr="00EF49B4" w:rsidRDefault="00AC2131" w:rsidP="00AC2131">
                  <w:pPr>
                    <w:pStyle w:val="TableBodyText"/>
                    <w:spacing w:after="0"/>
                    <w:ind w:left="0" w:right="57"/>
                    <w:rPr>
                      <w:b/>
                      <w:szCs w:val="18"/>
                    </w:rPr>
                  </w:pPr>
                  <w:r w:rsidRPr="00EF49B4">
                    <w:rPr>
                      <w:b/>
                      <w:szCs w:val="18"/>
                    </w:rPr>
                    <w:t xml:space="preserve">– </w:t>
                  </w:r>
                </w:p>
              </w:tc>
              <w:tc>
                <w:tcPr>
                  <w:tcW w:w="496" w:type="pct"/>
                  <w:shd w:val="clear" w:color="auto" w:fill="auto"/>
                  <w:vAlign w:val="bottom"/>
                </w:tcPr>
                <w:p w:rsidR="00AC2131" w:rsidRPr="00EF49B4" w:rsidRDefault="00AC2131" w:rsidP="00AC2131">
                  <w:pPr>
                    <w:pStyle w:val="TableBodyText"/>
                    <w:spacing w:after="0"/>
                    <w:ind w:left="0" w:right="57"/>
                    <w:rPr>
                      <w:b/>
                      <w:szCs w:val="18"/>
                    </w:rPr>
                  </w:pPr>
                  <w:r w:rsidRPr="00EF49B4">
                    <w:rPr>
                      <w:b/>
                      <w:szCs w:val="18"/>
                    </w:rPr>
                    <w:t xml:space="preserve">– </w:t>
                  </w:r>
                </w:p>
              </w:tc>
            </w:tr>
            <w:tr w:rsidR="00AC2131" w:rsidRPr="00EF49B4" w:rsidTr="00AC2131">
              <w:tc>
                <w:tcPr>
                  <w:tcW w:w="2002" w:type="pct"/>
                  <w:tcBorders>
                    <w:bottom w:val="single" w:sz="6" w:space="0" w:color="BFBFBF"/>
                  </w:tcBorders>
                  <w:shd w:val="clear" w:color="auto" w:fill="auto"/>
                  <w:vAlign w:val="center"/>
                </w:tcPr>
                <w:p w:rsidR="00AC2131" w:rsidRPr="00EF49B4" w:rsidRDefault="00AC2131">
                  <w:pPr>
                    <w:rPr>
                      <w:rFonts w:ascii="Arial" w:hAnsi="Arial" w:cs="Arial"/>
                      <w:b/>
                      <w:bCs/>
                      <w:sz w:val="18"/>
                      <w:szCs w:val="18"/>
                    </w:rPr>
                  </w:pPr>
                  <w:r w:rsidRPr="00EF49B4">
                    <w:rPr>
                      <w:rFonts w:ascii="Arial" w:hAnsi="Arial" w:cs="Arial"/>
                      <w:b/>
                      <w:bCs/>
                      <w:sz w:val="18"/>
                      <w:szCs w:val="18"/>
                    </w:rPr>
                    <w:t>Total</w:t>
                  </w:r>
                </w:p>
              </w:tc>
              <w:tc>
                <w:tcPr>
                  <w:tcW w:w="502" w:type="pct"/>
                  <w:tcBorders>
                    <w:bottom w:val="single" w:sz="6" w:space="0" w:color="BFBFBF"/>
                  </w:tcBorders>
                  <w:vAlign w:val="bottom"/>
                </w:tcPr>
                <w:p w:rsidR="00AC2131" w:rsidRPr="00EF49B4" w:rsidRDefault="00AC2131" w:rsidP="00AC2131">
                  <w:pPr>
                    <w:pStyle w:val="TableBodyText"/>
                    <w:spacing w:after="0"/>
                    <w:ind w:left="0" w:right="57"/>
                    <w:rPr>
                      <w:b/>
                      <w:szCs w:val="18"/>
                    </w:rPr>
                  </w:pPr>
                  <w:r w:rsidRPr="00EF49B4">
                    <w:rPr>
                      <w:b/>
                      <w:szCs w:val="18"/>
                    </w:rPr>
                    <w:t>8936.3</w:t>
                  </w:r>
                </w:p>
              </w:tc>
              <w:tc>
                <w:tcPr>
                  <w:tcW w:w="501" w:type="pct"/>
                  <w:tcBorders>
                    <w:bottom w:val="single" w:sz="6" w:space="0" w:color="BFBFBF"/>
                  </w:tcBorders>
                  <w:vAlign w:val="bottom"/>
                </w:tcPr>
                <w:p w:rsidR="00AC2131" w:rsidRPr="00EF49B4" w:rsidRDefault="00AC2131" w:rsidP="00AC2131">
                  <w:pPr>
                    <w:pStyle w:val="TableBodyText"/>
                    <w:spacing w:after="0"/>
                    <w:ind w:left="0" w:right="57"/>
                    <w:rPr>
                      <w:b/>
                      <w:szCs w:val="18"/>
                    </w:rPr>
                  </w:pPr>
                  <w:r w:rsidRPr="00EF49B4">
                    <w:rPr>
                      <w:b/>
                      <w:szCs w:val="18"/>
                    </w:rPr>
                    <w:t>8396.0</w:t>
                  </w:r>
                </w:p>
              </w:tc>
              <w:tc>
                <w:tcPr>
                  <w:tcW w:w="501" w:type="pct"/>
                  <w:tcBorders>
                    <w:bottom w:val="single" w:sz="6" w:space="0" w:color="BFBFBF"/>
                  </w:tcBorders>
                  <w:vAlign w:val="bottom"/>
                </w:tcPr>
                <w:p w:rsidR="00AC2131" w:rsidRPr="00EF49B4" w:rsidRDefault="00AC2131" w:rsidP="00AC2131">
                  <w:pPr>
                    <w:pStyle w:val="TableBodyText"/>
                    <w:spacing w:after="0"/>
                    <w:ind w:left="0" w:right="57"/>
                    <w:rPr>
                      <w:b/>
                      <w:szCs w:val="18"/>
                    </w:rPr>
                  </w:pPr>
                  <w:r w:rsidRPr="00EF49B4">
                    <w:rPr>
                      <w:b/>
                      <w:szCs w:val="18"/>
                    </w:rPr>
                    <w:t>8035.5</w:t>
                  </w:r>
                </w:p>
              </w:tc>
              <w:tc>
                <w:tcPr>
                  <w:tcW w:w="499" w:type="pct"/>
                  <w:tcBorders>
                    <w:bottom w:val="single" w:sz="6" w:space="0" w:color="BFBFBF"/>
                  </w:tcBorders>
                  <w:vAlign w:val="bottom"/>
                </w:tcPr>
                <w:p w:rsidR="00AC2131" w:rsidRPr="00EF49B4" w:rsidRDefault="00AC2131" w:rsidP="00AC2131">
                  <w:pPr>
                    <w:pStyle w:val="TableBodyText"/>
                    <w:spacing w:after="0"/>
                    <w:ind w:left="0" w:right="57"/>
                    <w:rPr>
                      <w:b/>
                      <w:szCs w:val="18"/>
                    </w:rPr>
                  </w:pPr>
                  <w:r w:rsidRPr="00EF49B4">
                    <w:rPr>
                      <w:b/>
                      <w:szCs w:val="18"/>
                    </w:rPr>
                    <w:t>8152.8</w:t>
                  </w:r>
                </w:p>
              </w:tc>
              <w:tc>
                <w:tcPr>
                  <w:tcW w:w="499" w:type="pct"/>
                  <w:tcBorders>
                    <w:bottom w:val="single" w:sz="6" w:space="0" w:color="BFBFBF"/>
                  </w:tcBorders>
                  <w:shd w:val="clear" w:color="auto" w:fill="auto"/>
                  <w:vAlign w:val="bottom"/>
                </w:tcPr>
                <w:p w:rsidR="00AC2131" w:rsidRPr="00EF49B4" w:rsidRDefault="00AC2131" w:rsidP="00AC2131">
                  <w:pPr>
                    <w:pStyle w:val="TableBodyText"/>
                    <w:spacing w:after="0"/>
                    <w:ind w:left="0" w:right="57"/>
                    <w:rPr>
                      <w:b/>
                      <w:szCs w:val="18"/>
                    </w:rPr>
                  </w:pPr>
                  <w:r w:rsidRPr="00EF49B4">
                    <w:rPr>
                      <w:b/>
                      <w:szCs w:val="18"/>
                    </w:rPr>
                    <w:t>7871.8</w:t>
                  </w:r>
                </w:p>
              </w:tc>
              <w:tc>
                <w:tcPr>
                  <w:tcW w:w="496" w:type="pct"/>
                  <w:tcBorders>
                    <w:bottom w:val="single" w:sz="6" w:space="0" w:color="BFBFBF"/>
                  </w:tcBorders>
                  <w:shd w:val="clear" w:color="auto" w:fill="auto"/>
                  <w:vAlign w:val="bottom"/>
                </w:tcPr>
                <w:p w:rsidR="00AC2131" w:rsidRPr="00EF49B4" w:rsidRDefault="00AC2131" w:rsidP="00AC2131">
                  <w:pPr>
                    <w:pStyle w:val="TableBodyText"/>
                    <w:spacing w:after="0"/>
                    <w:ind w:left="0" w:right="57"/>
                    <w:rPr>
                      <w:b/>
                      <w:szCs w:val="18"/>
                    </w:rPr>
                  </w:pPr>
                  <w:r w:rsidRPr="00EF49B4">
                    <w:rPr>
                      <w:b/>
                      <w:szCs w:val="18"/>
                    </w:rPr>
                    <w:t>7920.0</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Pr>
                <w:rFonts w:cs="Arial"/>
                <w:szCs w:val="18"/>
              </w:rPr>
              <w:t xml:space="preserve">– Nil. </w:t>
            </w:r>
            <w:r w:rsidRPr="00C74A79">
              <w:rPr>
                <w:rFonts w:cs="Arial"/>
                <w:szCs w:val="18"/>
              </w:rPr>
              <w:t>Figures may not add to totals due to rounding.</w:t>
            </w:r>
            <w:r>
              <w:rPr>
                <w:rFonts w:cs="Arial"/>
                <w:szCs w:val="18"/>
              </w:rPr>
              <w:t xml:space="preserve"> </w:t>
            </w:r>
            <w:r w:rsidRPr="008E77FE">
              <w:rPr>
                <w:rStyle w:val="NoteLabel"/>
              </w:rPr>
              <w:t>a</w:t>
            </w:r>
            <w:r>
              <w:t> </w:t>
            </w:r>
            <w:r w:rsidRPr="008405D4">
              <w:t>Tariff assistance estimates are derived using ABS Industry Gross Value Added and other supporting data.</w:t>
            </w:r>
            <w:r>
              <w:t xml:space="preserve"> </w:t>
            </w:r>
            <w:r>
              <w:rPr>
                <w:rStyle w:val="NoteLabel"/>
              </w:rPr>
              <w:t>b</w:t>
            </w:r>
            <w:r>
              <w:t> </w:t>
            </w:r>
            <w:r w:rsidRPr="008405D4">
              <w:t>Unallocated includes budgetary measures where details of beneficiaries are unknown.</w:t>
            </w:r>
            <w:r>
              <w:t xml:space="preserve"> These categories are not applicable for tariff assistance.</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w:t>
            </w:r>
            <w:r>
              <w:rPr>
                <w:b w:val="0"/>
                <w:noProof/>
              </w:rPr>
              <w:t>5</w:t>
            </w:r>
            <w:r>
              <w:tab/>
            </w:r>
            <w:r w:rsidRPr="008330E8">
              <w:t>Input tariff penalty by industry grouping, 2008</w:t>
            </w:r>
            <w:r>
              <w:noBreakHyphen/>
            </w:r>
            <w:r w:rsidRPr="008330E8">
              <w:t>09 to 2013</w:t>
            </w:r>
            <w:r>
              <w:noBreakHyphen/>
            </w:r>
            <w:r w:rsidRPr="008330E8">
              <w:t>14</w:t>
            </w:r>
            <w:r w:rsidRPr="006B64DF">
              <w:rPr>
                <w:rStyle w:val="NoteLabel"/>
                <w:b/>
              </w:rPr>
              <w:t>a</w:t>
            </w:r>
          </w:p>
          <w:p w:rsidR="00AC2131" w:rsidRPr="00784A05" w:rsidRDefault="00AC2131" w:rsidP="00AC2131">
            <w:pPr>
              <w:pStyle w:val="Subtitle"/>
            </w:pPr>
            <w:r w:rsidRPr="008330E8">
              <w:t>$ million (nominal)</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82"/>
              <w:gridCol w:w="851"/>
              <w:gridCol w:w="851"/>
              <w:gridCol w:w="851"/>
              <w:gridCol w:w="850"/>
              <w:gridCol w:w="850"/>
              <w:gridCol w:w="852"/>
            </w:tblGrid>
            <w:tr w:rsidR="00AC2131" w:rsidTr="00AC2131">
              <w:tc>
                <w:tcPr>
                  <w:tcW w:w="1992"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Industry grouping</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501"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502"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RPr="007E34F5" w:rsidTr="00AC2131">
              <w:tc>
                <w:tcPr>
                  <w:tcW w:w="1992" w:type="pct"/>
                  <w:tcBorders>
                    <w:top w:val="single" w:sz="6" w:space="0" w:color="BFBFBF"/>
                  </w:tcBorders>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Primary production</w:t>
                  </w:r>
                </w:p>
              </w:tc>
              <w:tc>
                <w:tcPr>
                  <w:tcW w:w="501"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-75.4</w:t>
                  </w:r>
                </w:p>
              </w:tc>
              <w:tc>
                <w:tcPr>
                  <w:tcW w:w="501"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-72.4</w:t>
                  </w:r>
                </w:p>
              </w:tc>
              <w:tc>
                <w:tcPr>
                  <w:tcW w:w="501"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-75.0</w:t>
                  </w:r>
                </w:p>
              </w:tc>
              <w:tc>
                <w:tcPr>
                  <w:tcW w:w="501"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-78.8</w:t>
                  </w:r>
                </w:p>
              </w:tc>
              <w:tc>
                <w:tcPr>
                  <w:tcW w:w="501"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-81.6</w:t>
                  </w:r>
                </w:p>
              </w:tc>
              <w:tc>
                <w:tcPr>
                  <w:tcW w:w="502"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-86.3</w:t>
                  </w:r>
                </w:p>
              </w:tc>
            </w:tr>
            <w:tr w:rsidR="00AC2131" w:rsidTr="00AC2131">
              <w:tc>
                <w:tcPr>
                  <w:tcW w:w="1992" w:type="pct"/>
                  <w:vAlign w:val="center"/>
                </w:tcPr>
                <w:p w:rsidR="00AC2131" w:rsidRPr="007D1111" w:rsidRDefault="00AC2131">
                  <w:pPr>
                    <w:rPr>
                      <w:rFonts w:ascii="Arial" w:hAnsi="Arial" w:cs="Arial"/>
                      <w:sz w:val="18"/>
                      <w:szCs w:val="18"/>
                    </w:rPr>
                  </w:pPr>
                  <w:r w:rsidRPr="007D1111">
                    <w:rPr>
                      <w:rFonts w:ascii="Arial" w:hAnsi="Arial" w:cs="Arial"/>
                      <w:sz w:val="18"/>
                      <w:szCs w:val="18"/>
                    </w:rPr>
                    <w:t>Horticulture and fruit growing</w:t>
                  </w:r>
                </w:p>
              </w:tc>
              <w:tc>
                <w:tcPr>
                  <w:tcW w:w="501" w:type="pct"/>
                  <w:vAlign w:val="bottom"/>
                </w:tcPr>
                <w:p w:rsidR="00AC2131" w:rsidRPr="007E34F5" w:rsidRDefault="00AC2131" w:rsidP="00AC2131">
                  <w:pPr>
                    <w:pStyle w:val="TableBodyText"/>
                    <w:spacing w:after="0"/>
                    <w:ind w:left="0" w:right="57"/>
                  </w:pPr>
                  <w:r w:rsidRPr="007E34F5">
                    <w:t>-8.1</w:t>
                  </w:r>
                </w:p>
              </w:tc>
              <w:tc>
                <w:tcPr>
                  <w:tcW w:w="501" w:type="pct"/>
                  <w:vAlign w:val="bottom"/>
                </w:tcPr>
                <w:p w:rsidR="00AC2131" w:rsidRPr="007E34F5" w:rsidRDefault="00AC2131" w:rsidP="00AC2131">
                  <w:pPr>
                    <w:pStyle w:val="TableBodyText"/>
                    <w:spacing w:after="0"/>
                    <w:ind w:left="0" w:right="57"/>
                  </w:pPr>
                  <w:r w:rsidRPr="007E34F5">
                    <w:t>-9.9</w:t>
                  </w:r>
                </w:p>
              </w:tc>
              <w:tc>
                <w:tcPr>
                  <w:tcW w:w="501" w:type="pct"/>
                  <w:vAlign w:val="bottom"/>
                </w:tcPr>
                <w:p w:rsidR="00AC2131" w:rsidRPr="007E34F5" w:rsidRDefault="00AC2131" w:rsidP="00AC2131">
                  <w:pPr>
                    <w:pStyle w:val="TableBodyText"/>
                    <w:spacing w:after="0"/>
                    <w:ind w:left="0" w:right="57"/>
                  </w:pPr>
                  <w:r w:rsidRPr="007E34F5">
                    <w:t>-10.5</w:t>
                  </w:r>
                </w:p>
              </w:tc>
              <w:tc>
                <w:tcPr>
                  <w:tcW w:w="501" w:type="pct"/>
                  <w:vAlign w:val="bottom"/>
                </w:tcPr>
                <w:p w:rsidR="00AC2131" w:rsidRPr="007E34F5" w:rsidRDefault="00AC2131" w:rsidP="00AC2131">
                  <w:pPr>
                    <w:pStyle w:val="TableBodyText"/>
                    <w:spacing w:after="0"/>
                    <w:ind w:left="0" w:right="57"/>
                  </w:pPr>
                  <w:r w:rsidRPr="007E34F5">
                    <w:t>-10.0</w:t>
                  </w:r>
                </w:p>
              </w:tc>
              <w:tc>
                <w:tcPr>
                  <w:tcW w:w="501" w:type="pct"/>
                  <w:vAlign w:val="bottom"/>
                </w:tcPr>
                <w:p w:rsidR="00AC2131" w:rsidRPr="007E34F5" w:rsidRDefault="00AC2131" w:rsidP="00AC2131">
                  <w:pPr>
                    <w:pStyle w:val="TableBodyText"/>
                    <w:spacing w:after="0"/>
                    <w:ind w:left="0" w:right="57"/>
                  </w:pPr>
                  <w:r w:rsidRPr="007E34F5">
                    <w:t>-11.5</w:t>
                  </w:r>
                </w:p>
              </w:tc>
              <w:tc>
                <w:tcPr>
                  <w:tcW w:w="502" w:type="pct"/>
                  <w:vAlign w:val="bottom"/>
                </w:tcPr>
                <w:p w:rsidR="00AC2131" w:rsidRPr="007E34F5" w:rsidRDefault="00AC2131" w:rsidP="00AC2131">
                  <w:pPr>
                    <w:pStyle w:val="TableBodyText"/>
                    <w:spacing w:after="0"/>
                    <w:ind w:left="0" w:right="57"/>
                  </w:pPr>
                  <w:r w:rsidRPr="007E34F5">
                    <w:t>-13.7</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Sheep, beef cattle and grain farming</w:t>
                  </w:r>
                </w:p>
              </w:tc>
              <w:tc>
                <w:tcPr>
                  <w:tcW w:w="501" w:type="pct"/>
                  <w:vAlign w:val="bottom"/>
                </w:tcPr>
                <w:p w:rsidR="00AC2131" w:rsidRPr="007E34F5" w:rsidRDefault="00AC2131" w:rsidP="00AC2131">
                  <w:pPr>
                    <w:pStyle w:val="TableBodyText"/>
                    <w:spacing w:after="0"/>
                    <w:ind w:left="0" w:right="57"/>
                  </w:pPr>
                  <w:r w:rsidRPr="007E34F5">
                    <w:t>-15.2</w:t>
                  </w:r>
                </w:p>
              </w:tc>
              <w:tc>
                <w:tcPr>
                  <w:tcW w:w="501" w:type="pct"/>
                  <w:vAlign w:val="bottom"/>
                </w:tcPr>
                <w:p w:rsidR="00AC2131" w:rsidRPr="007E34F5" w:rsidRDefault="00AC2131" w:rsidP="00AC2131">
                  <w:pPr>
                    <w:pStyle w:val="TableBodyText"/>
                    <w:spacing w:after="0"/>
                    <w:ind w:left="0" w:right="57"/>
                  </w:pPr>
                  <w:r w:rsidRPr="007E34F5">
                    <w:t>-12.5</w:t>
                  </w:r>
                </w:p>
              </w:tc>
              <w:tc>
                <w:tcPr>
                  <w:tcW w:w="501" w:type="pct"/>
                  <w:vAlign w:val="bottom"/>
                </w:tcPr>
                <w:p w:rsidR="00AC2131" w:rsidRPr="007E34F5" w:rsidRDefault="00AC2131" w:rsidP="00AC2131">
                  <w:pPr>
                    <w:pStyle w:val="TableBodyText"/>
                    <w:spacing w:after="0"/>
                    <w:ind w:left="0" w:right="57"/>
                  </w:pPr>
                  <w:r w:rsidRPr="007E34F5">
                    <w:t>-15.4</w:t>
                  </w:r>
                </w:p>
              </w:tc>
              <w:tc>
                <w:tcPr>
                  <w:tcW w:w="501" w:type="pct"/>
                  <w:vAlign w:val="bottom"/>
                </w:tcPr>
                <w:p w:rsidR="00AC2131" w:rsidRPr="007E34F5" w:rsidRDefault="00AC2131" w:rsidP="00AC2131">
                  <w:pPr>
                    <w:pStyle w:val="TableBodyText"/>
                    <w:spacing w:after="0"/>
                    <w:ind w:left="0" w:right="57"/>
                  </w:pPr>
                  <w:r w:rsidRPr="007E34F5">
                    <w:t>-17.2</w:t>
                  </w:r>
                </w:p>
              </w:tc>
              <w:tc>
                <w:tcPr>
                  <w:tcW w:w="501" w:type="pct"/>
                  <w:shd w:val="clear" w:color="auto" w:fill="auto"/>
                  <w:vAlign w:val="bottom"/>
                </w:tcPr>
                <w:p w:rsidR="00AC2131" w:rsidRPr="007E34F5" w:rsidRDefault="00AC2131" w:rsidP="00AC2131">
                  <w:pPr>
                    <w:pStyle w:val="TableBodyText"/>
                    <w:spacing w:after="0"/>
                    <w:ind w:left="0" w:right="57"/>
                  </w:pPr>
                  <w:r w:rsidRPr="007E34F5">
                    <w:t>-16.4</w:t>
                  </w:r>
                </w:p>
              </w:tc>
              <w:tc>
                <w:tcPr>
                  <w:tcW w:w="502" w:type="pct"/>
                  <w:shd w:val="clear" w:color="auto" w:fill="auto"/>
                  <w:vAlign w:val="bottom"/>
                </w:tcPr>
                <w:p w:rsidR="00AC2131" w:rsidRPr="007E34F5" w:rsidRDefault="00AC2131" w:rsidP="00AC2131">
                  <w:pPr>
                    <w:pStyle w:val="TableBodyText"/>
                    <w:spacing w:after="0"/>
                    <w:ind w:left="0" w:right="57"/>
                  </w:pPr>
                  <w:r w:rsidRPr="007E34F5">
                    <w:t>-16.0</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Other crop growing</w:t>
                  </w:r>
                </w:p>
              </w:tc>
              <w:tc>
                <w:tcPr>
                  <w:tcW w:w="501" w:type="pct"/>
                  <w:vAlign w:val="bottom"/>
                </w:tcPr>
                <w:p w:rsidR="00AC2131" w:rsidRPr="007E34F5" w:rsidRDefault="00AC2131" w:rsidP="00AC2131">
                  <w:pPr>
                    <w:pStyle w:val="TableBodyText"/>
                    <w:spacing w:after="0"/>
                    <w:ind w:left="0" w:right="57"/>
                  </w:pPr>
                  <w:r w:rsidRPr="007E34F5">
                    <w:t>-3.5</w:t>
                  </w:r>
                </w:p>
              </w:tc>
              <w:tc>
                <w:tcPr>
                  <w:tcW w:w="501" w:type="pct"/>
                  <w:vAlign w:val="bottom"/>
                </w:tcPr>
                <w:p w:rsidR="00AC2131" w:rsidRPr="007E34F5" w:rsidRDefault="00AC2131" w:rsidP="00AC2131">
                  <w:pPr>
                    <w:pStyle w:val="TableBodyText"/>
                    <w:spacing w:after="0"/>
                    <w:ind w:left="0" w:right="57"/>
                  </w:pPr>
                  <w:r w:rsidRPr="007E34F5">
                    <w:t>-4.5</w:t>
                  </w:r>
                </w:p>
              </w:tc>
              <w:tc>
                <w:tcPr>
                  <w:tcW w:w="501" w:type="pct"/>
                  <w:vAlign w:val="bottom"/>
                </w:tcPr>
                <w:p w:rsidR="00AC2131" w:rsidRPr="007E34F5" w:rsidRDefault="00AC2131" w:rsidP="00AC2131">
                  <w:pPr>
                    <w:pStyle w:val="TableBodyText"/>
                    <w:spacing w:after="0"/>
                    <w:ind w:left="0" w:right="57"/>
                  </w:pPr>
                  <w:r w:rsidRPr="007E34F5">
                    <w:t>-3.9</w:t>
                  </w:r>
                </w:p>
              </w:tc>
              <w:tc>
                <w:tcPr>
                  <w:tcW w:w="501" w:type="pct"/>
                  <w:vAlign w:val="bottom"/>
                </w:tcPr>
                <w:p w:rsidR="00AC2131" w:rsidRPr="007E34F5" w:rsidRDefault="00AC2131" w:rsidP="00AC2131">
                  <w:pPr>
                    <w:pStyle w:val="TableBodyText"/>
                    <w:spacing w:after="0"/>
                    <w:ind w:left="0" w:right="57"/>
                  </w:pPr>
                  <w:r w:rsidRPr="007E34F5">
                    <w:t>-4.6</w:t>
                  </w:r>
                </w:p>
              </w:tc>
              <w:tc>
                <w:tcPr>
                  <w:tcW w:w="501" w:type="pct"/>
                  <w:shd w:val="clear" w:color="auto" w:fill="auto"/>
                  <w:vAlign w:val="bottom"/>
                </w:tcPr>
                <w:p w:rsidR="00AC2131" w:rsidRPr="007E34F5" w:rsidRDefault="00AC2131" w:rsidP="00AC2131">
                  <w:pPr>
                    <w:pStyle w:val="TableBodyText"/>
                    <w:spacing w:after="0"/>
                    <w:ind w:left="0" w:right="57"/>
                  </w:pPr>
                  <w:r w:rsidRPr="007E34F5">
                    <w:t>-4.6</w:t>
                  </w:r>
                </w:p>
              </w:tc>
              <w:tc>
                <w:tcPr>
                  <w:tcW w:w="502" w:type="pct"/>
                  <w:shd w:val="clear" w:color="auto" w:fill="auto"/>
                  <w:vAlign w:val="bottom"/>
                </w:tcPr>
                <w:p w:rsidR="00AC2131" w:rsidRPr="007E34F5" w:rsidRDefault="00AC2131" w:rsidP="00AC2131">
                  <w:pPr>
                    <w:pStyle w:val="TableBodyText"/>
                    <w:spacing w:after="0"/>
                    <w:ind w:left="0" w:right="57"/>
                  </w:pPr>
                  <w:r w:rsidRPr="007E34F5">
                    <w:t>-4.6</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Dairy cattle farming</w:t>
                  </w:r>
                </w:p>
              </w:tc>
              <w:tc>
                <w:tcPr>
                  <w:tcW w:w="501" w:type="pct"/>
                  <w:vAlign w:val="bottom"/>
                </w:tcPr>
                <w:p w:rsidR="00AC2131" w:rsidRPr="007E34F5" w:rsidRDefault="00AC2131" w:rsidP="00AC2131">
                  <w:pPr>
                    <w:pStyle w:val="TableBodyText"/>
                    <w:spacing w:after="0"/>
                    <w:ind w:left="0" w:right="57"/>
                  </w:pPr>
                  <w:r w:rsidRPr="007E34F5">
                    <w:t>-2.9</w:t>
                  </w:r>
                </w:p>
              </w:tc>
              <w:tc>
                <w:tcPr>
                  <w:tcW w:w="501" w:type="pct"/>
                  <w:vAlign w:val="bottom"/>
                </w:tcPr>
                <w:p w:rsidR="00AC2131" w:rsidRPr="007E34F5" w:rsidRDefault="00AC2131" w:rsidP="00AC2131">
                  <w:pPr>
                    <w:pStyle w:val="TableBodyText"/>
                    <w:spacing w:after="0"/>
                    <w:ind w:left="0" w:right="57"/>
                  </w:pPr>
                  <w:r w:rsidRPr="007E34F5">
                    <w:t>-1.8</w:t>
                  </w:r>
                </w:p>
              </w:tc>
              <w:tc>
                <w:tcPr>
                  <w:tcW w:w="501" w:type="pct"/>
                  <w:vAlign w:val="bottom"/>
                </w:tcPr>
                <w:p w:rsidR="00AC2131" w:rsidRPr="007E34F5" w:rsidRDefault="00AC2131" w:rsidP="00AC2131">
                  <w:pPr>
                    <w:pStyle w:val="TableBodyText"/>
                    <w:spacing w:after="0"/>
                    <w:ind w:left="0" w:right="57"/>
                  </w:pPr>
                  <w:r w:rsidRPr="007E34F5">
                    <w:t>-2.0</w:t>
                  </w:r>
                </w:p>
              </w:tc>
              <w:tc>
                <w:tcPr>
                  <w:tcW w:w="501" w:type="pct"/>
                  <w:vAlign w:val="bottom"/>
                </w:tcPr>
                <w:p w:rsidR="00AC2131" w:rsidRPr="007E34F5" w:rsidRDefault="00AC2131" w:rsidP="00AC2131">
                  <w:pPr>
                    <w:pStyle w:val="TableBodyText"/>
                    <w:spacing w:after="0"/>
                    <w:ind w:left="0" w:right="57"/>
                  </w:pPr>
                  <w:r w:rsidRPr="007E34F5">
                    <w:t>-1.5</w:t>
                  </w:r>
                </w:p>
              </w:tc>
              <w:tc>
                <w:tcPr>
                  <w:tcW w:w="501" w:type="pct"/>
                  <w:shd w:val="clear" w:color="auto" w:fill="auto"/>
                  <w:vAlign w:val="bottom"/>
                </w:tcPr>
                <w:p w:rsidR="00AC2131" w:rsidRPr="007E34F5" w:rsidRDefault="00AC2131" w:rsidP="00AC2131">
                  <w:pPr>
                    <w:pStyle w:val="TableBodyText"/>
                    <w:spacing w:after="0"/>
                    <w:ind w:left="0" w:right="57"/>
                  </w:pPr>
                  <w:r w:rsidRPr="007E34F5">
                    <w:t>-2.0</w:t>
                  </w:r>
                </w:p>
              </w:tc>
              <w:tc>
                <w:tcPr>
                  <w:tcW w:w="502" w:type="pct"/>
                  <w:shd w:val="clear" w:color="auto" w:fill="auto"/>
                  <w:vAlign w:val="bottom"/>
                </w:tcPr>
                <w:p w:rsidR="00AC2131" w:rsidRPr="007E34F5" w:rsidRDefault="00AC2131" w:rsidP="00AC2131">
                  <w:pPr>
                    <w:pStyle w:val="TableBodyText"/>
                    <w:spacing w:after="0"/>
                    <w:ind w:left="0" w:right="57"/>
                  </w:pPr>
                  <w:r w:rsidRPr="007E34F5">
                    <w:t>-2.7</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Other livestock farming</w:t>
                  </w:r>
                </w:p>
              </w:tc>
              <w:tc>
                <w:tcPr>
                  <w:tcW w:w="501" w:type="pct"/>
                  <w:vAlign w:val="bottom"/>
                </w:tcPr>
                <w:p w:rsidR="00AC2131" w:rsidRPr="007E34F5" w:rsidRDefault="00AC2131" w:rsidP="00AC2131">
                  <w:pPr>
                    <w:pStyle w:val="TableBodyText"/>
                    <w:spacing w:after="0"/>
                    <w:ind w:left="0" w:right="57"/>
                  </w:pPr>
                  <w:r w:rsidRPr="007E34F5">
                    <w:t>-3.8</w:t>
                  </w:r>
                </w:p>
              </w:tc>
              <w:tc>
                <w:tcPr>
                  <w:tcW w:w="501" w:type="pct"/>
                  <w:vAlign w:val="bottom"/>
                </w:tcPr>
                <w:p w:rsidR="00AC2131" w:rsidRPr="007E34F5" w:rsidRDefault="00AC2131" w:rsidP="00AC2131">
                  <w:pPr>
                    <w:pStyle w:val="TableBodyText"/>
                    <w:spacing w:after="0"/>
                    <w:ind w:left="0" w:right="57"/>
                  </w:pPr>
                  <w:r w:rsidRPr="007E34F5">
                    <w:t>-3.5</w:t>
                  </w:r>
                </w:p>
              </w:tc>
              <w:tc>
                <w:tcPr>
                  <w:tcW w:w="501" w:type="pct"/>
                  <w:vAlign w:val="bottom"/>
                </w:tcPr>
                <w:p w:rsidR="00AC2131" w:rsidRPr="007E34F5" w:rsidRDefault="00AC2131" w:rsidP="00AC2131">
                  <w:pPr>
                    <w:pStyle w:val="TableBodyText"/>
                    <w:spacing w:after="0"/>
                    <w:ind w:left="0" w:right="57"/>
                  </w:pPr>
                  <w:r w:rsidRPr="007E34F5">
                    <w:t>-4.0</w:t>
                  </w:r>
                </w:p>
              </w:tc>
              <w:tc>
                <w:tcPr>
                  <w:tcW w:w="501" w:type="pct"/>
                  <w:vAlign w:val="bottom"/>
                </w:tcPr>
                <w:p w:rsidR="00AC2131" w:rsidRPr="007E34F5" w:rsidRDefault="00AC2131" w:rsidP="00AC2131">
                  <w:pPr>
                    <w:pStyle w:val="TableBodyText"/>
                    <w:spacing w:after="0"/>
                    <w:ind w:left="0" w:right="57"/>
                  </w:pPr>
                  <w:r w:rsidRPr="007E34F5">
                    <w:t>-4.2</w:t>
                  </w:r>
                </w:p>
              </w:tc>
              <w:tc>
                <w:tcPr>
                  <w:tcW w:w="501" w:type="pct"/>
                  <w:shd w:val="clear" w:color="auto" w:fill="auto"/>
                  <w:vAlign w:val="bottom"/>
                </w:tcPr>
                <w:p w:rsidR="00AC2131" w:rsidRPr="007E34F5" w:rsidRDefault="00AC2131" w:rsidP="00AC2131">
                  <w:pPr>
                    <w:pStyle w:val="TableBodyText"/>
                    <w:spacing w:after="0"/>
                    <w:ind w:left="0" w:right="57"/>
                  </w:pPr>
                  <w:r w:rsidRPr="007E34F5">
                    <w:t>-4.2</w:t>
                  </w:r>
                </w:p>
              </w:tc>
              <w:tc>
                <w:tcPr>
                  <w:tcW w:w="502" w:type="pct"/>
                  <w:shd w:val="clear" w:color="auto" w:fill="auto"/>
                  <w:vAlign w:val="bottom"/>
                </w:tcPr>
                <w:p w:rsidR="00AC2131" w:rsidRPr="007E34F5" w:rsidRDefault="00AC2131" w:rsidP="00AC2131">
                  <w:pPr>
                    <w:pStyle w:val="TableBodyText"/>
                    <w:spacing w:after="0"/>
                    <w:ind w:left="0" w:right="57"/>
                  </w:pPr>
                  <w:r w:rsidRPr="007E34F5">
                    <w:t>-4.4</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Aquaculture and fishing</w:t>
                  </w:r>
                </w:p>
              </w:tc>
              <w:tc>
                <w:tcPr>
                  <w:tcW w:w="501" w:type="pct"/>
                  <w:vAlign w:val="bottom"/>
                </w:tcPr>
                <w:p w:rsidR="00AC2131" w:rsidRPr="007E34F5" w:rsidRDefault="00AC2131" w:rsidP="00AC2131">
                  <w:pPr>
                    <w:pStyle w:val="TableBodyText"/>
                    <w:spacing w:after="0"/>
                    <w:ind w:left="0" w:right="57"/>
                  </w:pPr>
                  <w:r w:rsidRPr="007E34F5">
                    <w:t>-16.3</w:t>
                  </w:r>
                </w:p>
              </w:tc>
              <w:tc>
                <w:tcPr>
                  <w:tcW w:w="501" w:type="pct"/>
                  <w:vAlign w:val="bottom"/>
                </w:tcPr>
                <w:p w:rsidR="00AC2131" w:rsidRPr="007E34F5" w:rsidRDefault="00AC2131" w:rsidP="00AC2131">
                  <w:pPr>
                    <w:pStyle w:val="TableBodyText"/>
                    <w:spacing w:after="0"/>
                    <w:ind w:left="0" w:right="57"/>
                  </w:pPr>
                  <w:r w:rsidRPr="007E34F5">
                    <w:t>-13.6</w:t>
                  </w:r>
                </w:p>
              </w:tc>
              <w:tc>
                <w:tcPr>
                  <w:tcW w:w="501" w:type="pct"/>
                  <w:vAlign w:val="bottom"/>
                </w:tcPr>
                <w:p w:rsidR="00AC2131" w:rsidRPr="007E34F5" w:rsidRDefault="00AC2131" w:rsidP="00AC2131">
                  <w:pPr>
                    <w:pStyle w:val="TableBodyText"/>
                    <w:spacing w:after="0"/>
                    <w:ind w:left="0" w:right="57"/>
                  </w:pPr>
                  <w:r w:rsidRPr="007E34F5">
                    <w:t>-13.1</w:t>
                  </w:r>
                </w:p>
              </w:tc>
              <w:tc>
                <w:tcPr>
                  <w:tcW w:w="501" w:type="pct"/>
                  <w:vAlign w:val="bottom"/>
                </w:tcPr>
                <w:p w:rsidR="00AC2131" w:rsidRPr="007E34F5" w:rsidRDefault="00AC2131" w:rsidP="00AC2131">
                  <w:pPr>
                    <w:pStyle w:val="TableBodyText"/>
                    <w:spacing w:after="0"/>
                    <w:ind w:left="0" w:right="57"/>
                  </w:pPr>
                  <w:r w:rsidRPr="007E34F5">
                    <w:t>-13.9</w:t>
                  </w:r>
                </w:p>
              </w:tc>
              <w:tc>
                <w:tcPr>
                  <w:tcW w:w="501" w:type="pct"/>
                  <w:shd w:val="clear" w:color="auto" w:fill="auto"/>
                  <w:vAlign w:val="bottom"/>
                </w:tcPr>
                <w:p w:rsidR="00AC2131" w:rsidRPr="007E34F5" w:rsidRDefault="00AC2131" w:rsidP="00AC2131">
                  <w:pPr>
                    <w:pStyle w:val="TableBodyText"/>
                    <w:spacing w:after="0"/>
                    <w:ind w:left="0" w:right="57"/>
                  </w:pPr>
                  <w:r w:rsidRPr="007E34F5">
                    <w:t>-14.5</w:t>
                  </w:r>
                </w:p>
              </w:tc>
              <w:tc>
                <w:tcPr>
                  <w:tcW w:w="502" w:type="pct"/>
                  <w:shd w:val="clear" w:color="auto" w:fill="auto"/>
                  <w:vAlign w:val="bottom"/>
                </w:tcPr>
                <w:p w:rsidR="00AC2131" w:rsidRPr="007E34F5" w:rsidRDefault="00AC2131" w:rsidP="00AC2131">
                  <w:pPr>
                    <w:pStyle w:val="TableBodyText"/>
                    <w:spacing w:after="0"/>
                    <w:ind w:left="0" w:right="57"/>
                  </w:pPr>
                  <w:r w:rsidRPr="007E34F5">
                    <w:t>-14.9</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Forestry and logging</w:t>
                  </w:r>
                </w:p>
              </w:tc>
              <w:tc>
                <w:tcPr>
                  <w:tcW w:w="501" w:type="pct"/>
                  <w:vAlign w:val="bottom"/>
                </w:tcPr>
                <w:p w:rsidR="00AC2131" w:rsidRPr="007E34F5" w:rsidRDefault="00AC2131" w:rsidP="00AC2131">
                  <w:pPr>
                    <w:pStyle w:val="TableBodyText"/>
                    <w:spacing w:after="0"/>
                    <w:ind w:left="0" w:right="57"/>
                  </w:pPr>
                  <w:r w:rsidRPr="007E34F5">
                    <w:t>-11.8</w:t>
                  </w:r>
                </w:p>
              </w:tc>
              <w:tc>
                <w:tcPr>
                  <w:tcW w:w="501" w:type="pct"/>
                  <w:vAlign w:val="bottom"/>
                </w:tcPr>
                <w:p w:rsidR="00AC2131" w:rsidRPr="007E34F5" w:rsidRDefault="00AC2131" w:rsidP="00AC2131">
                  <w:pPr>
                    <w:pStyle w:val="TableBodyText"/>
                    <w:spacing w:after="0"/>
                    <w:ind w:left="0" w:right="57"/>
                  </w:pPr>
                  <w:r w:rsidRPr="007E34F5">
                    <w:t>-12.0</w:t>
                  </w:r>
                </w:p>
              </w:tc>
              <w:tc>
                <w:tcPr>
                  <w:tcW w:w="501" w:type="pct"/>
                  <w:vAlign w:val="bottom"/>
                </w:tcPr>
                <w:p w:rsidR="00AC2131" w:rsidRPr="007E34F5" w:rsidRDefault="00AC2131" w:rsidP="00AC2131">
                  <w:pPr>
                    <w:pStyle w:val="TableBodyText"/>
                    <w:spacing w:after="0"/>
                    <w:ind w:left="0" w:right="57"/>
                  </w:pPr>
                  <w:r w:rsidRPr="007E34F5">
                    <w:t>-10.4</w:t>
                  </w:r>
                </w:p>
              </w:tc>
              <w:tc>
                <w:tcPr>
                  <w:tcW w:w="501" w:type="pct"/>
                  <w:vAlign w:val="bottom"/>
                </w:tcPr>
                <w:p w:rsidR="00AC2131" w:rsidRPr="007E34F5" w:rsidRDefault="00AC2131" w:rsidP="00AC2131">
                  <w:pPr>
                    <w:pStyle w:val="TableBodyText"/>
                    <w:spacing w:after="0"/>
                    <w:ind w:left="0" w:right="57"/>
                  </w:pPr>
                  <w:r w:rsidRPr="007E34F5">
                    <w:t>-11.0</w:t>
                  </w:r>
                </w:p>
              </w:tc>
              <w:tc>
                <w:tcPr>
                  <w:tcW w:w="501" w:type="pct"/>
                  <w:shd w:val="clear" w:color="auto" w:fill="auto"/>
                  <w:vAlign w:val="bottom"/>
                </w:tcPr>
                <w:p w:rsidR="00AC2131" w:rsidRPr="007E34F5" w:rsidRDefault="00AC2131" w:rsidP="00AC2131">
                  <w:pPr>
                    <w:pStyle w:val="TableBodyText"/>
                    <w:spacing w:after="0"/>
                    <w:ind w:left="0" w:right="57"/>
                  </w:pPr>
                  <w:r w:rsidRPr="007E34F5">
                    <w:t>-11.5</w:t>
                  </w:r>
                </w:p>
              </w:tc>
              <w:tc>
                <w:tcPr>
                  <w:tcW w:w="502" w:type="pct"/>
                  <w:shd w:val="clear" w:color="auto" w:fill="auto"/>
                  <w:vAlign w:val="bottom"/>
                </w:tcPr>
                <w:p w:rsidR="00AC2131" w:rsidRPr="007E34F5" w:rsidRDefault="00AC2131" w:rsidP="00AC2131">
                  <w:pPr>
                    <w:pStyle w:val="TableBodyText"/>
                    <w:spacing w:after="0"/>
                    <w:ind w:left="0" w:right="57"/>
                  </w:pPr>
                  <w:r w:rsidRPr="007E34F5">
                    <w:t>-11.8</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Primary production support services</w:t>
                  </w:r>
                </w:p>
              </w:tc>
              <w:tc>
                <w:tcPr>
                  <w:tcW w:w="501" w:type="pct"/>
                  <w:vAlign w:val="bottom"/>
                </w:tcPr>
                <w:p w:rsidR="00AC2131" w:rsidRPr="007E34F5" w:rsidRDefault="00AC2131" w:rsidP="00AC2131">
                  <w:pPr>
                    <w:pStyle w:val="TableBodyText"/>
                    <w:spacing w:after="0"/>
                    <w:ind w:left="0" w:right="57"/>
                  </w:pPr>
                  <w:r w:rsidRPr="007E34F5">
                    <w:t>-13.7</w:t>
                  </w:r>
                </w:p>
              </w:tc>
              <w:tc>
                <w:tcPr>
                  <w:tcW w:w="501" w:type="pct"/>
                  <w:vAlign w:val="bottom"/>
                </w:tcPr>
                <w:p w:rsidR="00AC2131" w:rsidRPr="007E34F5" w:rsidRDefault="00AC2131" w:rsidP="00AC2131">
                  <w:pPr>
                    <w:pStyle w:val="TableBodyText"/>
                    <w:spacing w:after="0"/>
                    <w:ind w:left="0" w:right="57"/>
                  </w:pPr>
                  <w:r w:rsidRPr="007E34F5">
                    <w:t>-14.7</w:t>
                  </w:r>
                </w:p>
              </w:tc>
              <w:tc>
                <w:tcPr>
                  <w:tcW w:w="501" w:type="pct"/>
                  <w:vAlign w:val="bottom"/>
                </w:tcPr>
                <w:p w:rsidR="00AC2131" w:rsidRPr="007E34F5" w:rsidRDefault="00AC2131" w:rsidP="00AC2131">
                  <w:pPr>
                    <w:pStyle w:val="TableBodyText"/>
                    <w:spacing w:after="0"/>
                    <w:ind w:left="0" w:right="57"/>
                  </w:pPr>
                  <w:r w:rsidRPr="007E34F5">
                    <w:t>-15.7</w:t>
                  </w:r>
                </w:p>
              </w:tc>
              <w:tc>
                <w:tcPr>
                  <w:tcW w:w="501" w:type="pct"/>
                  <w:vAlign w:val="bottom"/>
                </w:tcPr>
                <w:p w:rsidR="00AC2131" w:rsidRPr="007E34F5" w:rsidRDefault="00AC2131" w:rsidP="00AC2131">
                  <w:pPr>
                    <w:pStyle w:val="TableBodyText"/>
                    <w:spacing w:after="0"/>
                    <w:ind w:left="0" w:right="57"/>
                  </w:pPr>
                  <w:r w:rsidRPr="007E34F5">
                    <w:t>-16.4</w:t>
                  </w:r>
                </w:p>
              </w:tc>
              <w:tc>
                <w:tcPr>
                  <w:tcW w:w="501" w:type="pct"/>
                  <w:shd w:val="clear" w:color="auto" w:fill="auto"/>
                  <w:vAlign w:val="bottom"/>
                </w:tcPr>
                <w:p w:rsidR="00AC2131" w:rsidRPr="007E34F5" w:rsidRDefault="00AC2131" w:rsidP="00AC2131">
                  <w:pPr>
                    <w:pStyle w:val="TableBodyText"/>
                    <w:spacing w:after="0"/>
                    <w:ind w:left="0" w:right="57"/>
                  </w:pPr>
                  <w:r w:rsidRPr="007E34F5">
                    <w:t>-16.9</w:t>
                  </w:r>
                </w:p>
              </w:tc>
              <w:tc>
                <w:tcPr>
                  <w:tcW w:w="502" w:type="pct"/>
                  <w:shd w:val="clear" w:color="auto" w:fill="auto"/>
                  <w:vAlign w:val="bottom"/>
                </w:tcPr>
                <w:p w:rsidR="00AC2131" w:rsidRPr="007E34F5" w:rsidRDefault="00AC2131" w:rsidP="00AC2131">
                  <w:pPr>
                    <w:pStyle w:val="TableBodyText"/>
                    <w:spacing w:after="0"/>
                    <w:ind w:left="0" w:right="57"/>
                  </w:pPr>
                  <w:r w:rsidRPr="007E34F5">
                    <w:t>-18.1</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Unallocated primary production</w:t>
                  </w:r>
                  <w:r w:rsidRPr="008405D4">
                    <w:rPr>
                      <w:rStyle w:val="NoteLabel"/>
                    </w:rPr>
                    <w:t>b</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shd w:val="clear" w:color="auto" w:fill="auto"/>
                  <w:vAlign w:val="bottom"/>
                </w:tcPr>
                <w:p w:rsidR="00AC2131" w:rsidRPr="007E34F5" w:rsidRDefault="00AC2131" w:rsidP="00AC2131">
                  <w:pPr>
                    <w:pStyle w:val="TableBodyText"/>
                    <w:spacing w:after="0"/>
                    <w:ind w:left="0" w:right="57"/>
                  </w:pPr>
                  <w:r w:rsidRPr="007E34F5">
                    <w:t xml:space="preserve">– </w:t>
                  </w:r>
                </w:p>
              </w:tc>
              <w:tc>
                <w:tcPr>
                  <w:tcW w:w="502" w:type="pct"/>
                  <w:shd w:val="clear" w:color="auto" w:fill="auto"/>
                  <w:vAlign w:val="bottom"/>
                </w:tcPr>
                <w:p w:rsidR="00AC2131" w:rsidRPr="007E34F5" w:rsidRDefault="00AC2131" w:rsidP="00AC2131">
                  <w:pPr>
                    <w:pStyle w:val="TableBodyText"/>
                    <w:spacing w:after="0"/>
                    <w:ind w:left="0" w:right="57"/>
                  </w:pPr>
                  <w:r w:rsidRPr="007E34F5">
                    <w:t xml:space="preserve">– </w:t>
                  </w:r>
                </w:p>
              </w:tc>
            </w:tr>
            <w:tr w:rsidR="00AC2131" w:rsidRPr="007E34F5" w:rsidTr="00AC2131">
              <w:tc>
                <w:tcPr>
                  <w:tcW w:w="1992" w:type="pct"/>
                  <w:shd w:val="clear" w:color="auto" w:fill="auto"/>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Mining</w:t>
                  </w:r>
                </w:p>
              </w:tc>
              <w:tc>
                <w:tcPr>
                  <w:tcW w:w="501" w:type="pct"/>
                  <w:vAlign w:val="bottom"/>
                </w:tcPr>
                <w:p w:rsidR="00AC2131" w:rsidRPr="007E34F5" w:rsidRDefault="00AC2131" w:rsidP="00AC2131">
                  <w:pPr>
                    <w:pStyle w:val="TableBodyText"/>
                    <w:spacing w:after="0"/>
                    <w:ind w:left="0" w:right="57"/>
                    <w:rPr>
                      <w:b/>
                    </w:rPr>
                  </w:pPr>
                  <w:r w:rsidRPr="007E34F5">
                    <w:rPr>
                      <w:b/>
                    </w:rPr>
                    <w:t>-180.2</w:t>
                  </w:r>
                </w:p>
              </w:tc>
              <w:tc>
                <w:tcPr>
                  <w:tcW w:w="501" w:type="pct"/>
                  <w:vAlign w:val="bottom"/>
                </w:tcPr>
                <w:p w:rsidR="00AC2131" w:rsidRPr="007E34F5" w:rsidRDefault="00AC2131" w:rsidP="00AC2131">
                  <w:pPr>
                    <w:pStyle w:val="TableBodyText"/>
                    <w:spacing w:after="0"/>
                    <w:ind w:left="0" w:right="57"/>
                    <w:rPr>
                      <w:b/>
                    </w:rPr>
                  </w:pPr>
                  <w:r w:rsidRPr="007E34F5">
                    <w:rPr>
                      <w:b/>
                    </w:rPr>
                    <w:t>-187.7</w:t>
                  </w:r>
                </w:p>
              </w:tc>
              <w:tc>
                <w:tcPr>
                  <w:tcW w:w="501" w:type="pct"/>
                  <w:vAlign w:val="bottom"/>
                </w:tcPr>
                <w:p w:rsidR="00AC2131" w:rsidRPr="007E34F5" w:rsidRDefault="00AC2131" w:rsidP="00AC2131">
                  <w:pPr>
                    <w:pStyle w:val="TableBodyText"/>
                    <w:spacing w:after="0"/>
                    <w:ind w:left="0" w:right="57"/>
                    <w:rPr>
                      <w:b/>
                    </w:rPr>
                  </w:pPr>
                  <w:r w:rsidRPr="007E34F5">
                    <w:rPr>
                      <w:b/>
                    </w:rPr>
                    <w:t>-184.7</w:t>
                  </w:r>
                </w:p>
              </w:tc>
              <w:tc>
                <w:tcPr>
                  <w:tcW w:w="501" w:type="pct"/>
                  <w:vAlign w:val="bottom"/>
                </w:tcPr>
                <w:p w:rsidR="00AC2131" w:rsidRPr="007E34F5" w:rsidRDefault="00AC2131" w:rsidP="00AC2131">
                  <w:pPr>
                    <w:pStyle w:val="TableBodyText"/>
                    <w:spacing w:after="0"/>
                    <w:ind w:left="0" w:right="57"/>
                    <w:rPr>
                      <w:b/>
                    </w:rPr>
                  </w:pPr>
                  <w:r w:rsidRPr="007E34F5">
                    <w:rPr>
                      <w:b/>
                    </w:rPr>
                    <w:t>-198.5</w:t>
                  </w:r>
                </w:p>
              </w:tc>
              <w:tc>
                <w:tcPr>
                  <w:tcW w:w="501" w:type="pct"/>
                  <w:shd w:val="clear" w:color="auto" w:fill="auto"/>
                  <w:vAlign w:val="bottom"/>
                </w:tcPr>
                <w:p w:rsidR="00AC2131" w:rsidRPr="007E34F5" w:rsidRDefault="00AC2131" w:rsidP="00AC2131">
                  <w:pPr>
                    <w:pStyle w:val="TableBodyText"/>
                    <w:spacing w:after="0"/>
                    <w:ind w:left="0" w:right="57"/>
                    <w:rPr>
                      <w:b/>
                    </w:rPr>
                  </w:pPr>
                  <w:r w:rsidRPr="007E34F5">
                    <w:rPr>
                      <w:b/>
                    </w:rPr>
                    <w:t>-215.5</w:t>
                  </w:r>
                </w:p>
              </w:tc>
              <w:tc>
                <w:tcPr>
                  <w:tcW w:w="502" w:type="pct"/>
                  <w:shd w:val="clear" w:color="auto" w:fill="auto"/>
                  <w:vAlign w:val="bottom"/>
                </w:tcPr>
                <w:p w:rsidR="00AC2131" w:rsidRPr="007E34F5" w:rsidRDefault="00AC2131" w:rsidP="00AC2131">
                  <w:pPr>
                    <w:pStyle w:val="TableBodyText"/>
                    <w:spacing w:after="0"/>
                    <w:ind w:left="0" w:right="57"/>
                    <w:rPr>
                      <w:b/>
                    </w:rPr>
                  </w:pPr>
                  <w:r w:rsidRPr="007E34F5">
                    <w:rPr>
                      <w:b/>
                    </w:rPr>
                    <w:t>-236.0</w:t>
                  </w:r>
                </w:p>
              </w:tc>
            </w:tr>
            <w:tr w:rsidR="00AC2131" w:rsidRPr="007E34F5" w:rsidTr="00AC2131">
              <w:tc>
                <w:tcPr>
                  <w:tcW w:w="1992" w:type="pct"/>
                  <w:shd w:val="clear" w:color="auto" w:fill="auto"/>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Manufacturing</w:t>
                  </w:r>
                </w:p>
              </w:tc>
              <w:tc>
                <w:tcPr>
                  <w:tcW w:w="501" w:type="pct"/>
                  <w:vAlign w:val="bottom"/>
                </w:tcPr>
                <w:p w:rsidR="00AC2131" w:rsidRPr="007E34F5" w:rsidRDefault="00AC2131" w:rsidP="00AC2131">
                  <w:pPr>
                    <w:pStyle w:val="TableBodyText"/>
                    <w:spacing w:after="0"/>
                    <w:ind w:left="0" w:right="57"/>
                    <w:rPr>
                      <w:b/>
                    </w:rPr>
                  </w:pPr>
                  <w:r w:rsidRPr="007E34F5">
                    <w:rPr>
                      <w:b/>
                    </w:rPr>
                    <w:t>-2326.3</w:t>
                  </w:r>
                </w:p>
              </w:tc>
              <w:tc>
                <w:tcPr>
                  <w:tcW w:w="501" w:type="pct"/>
                  <w:vAlign w:val="bottom"/>
                </w:tcPr>
                <w:p w:rsidR="00AC2131" w:rsidRPr="007E34F5" w:rsidRDefault="00AC2131" w:rsidP="00AC2131">
                  <w:pPr>
                    <w:pStyle w:val="TableBodyText"/>
                    <w:spacing w:after="0"/>
                    <w:ind w:left="0" w:right="57"/>
                    <w:rPr>
                      <w:b/>
                    </w:rPr>
                  </w:pPr>
                  <w:r w:rsidRPr="007E34F5">
                    <w:rPr>
                      <w:b/>
                    </w:rPr>
                    <w:t>-2212.7</w:t>
                  </w:r>
                </w:p>
              </w:tc>
              <w:tc>
                <w:tcPr>
                  <w:tcW w:w="501" w:type="pct"/>
                  <w:vAlign w:val="bottom"/>
                </w:tcPr>
                <w:p w:rsidR="00AC2131" w:rsidRPr="007E34F5" w:rsidRDefault="00AC2131" w:rsidP="00AC2131">
                  <w:pPr>
                    <w:pStyle w:val="TableBodyText"/>
                    <w:spacing w:after="0"/>
                    <w:ind w:left="0" w:right="57"/>
                    <w:rPr>
                      <w:b/>
                    </w:rPr>
                  </w:pPr>
                  <w:r w:rsidRPr="007E34F5">
                    <w:rPr>
                      <w:b/>
                    </w:rPr>
                    <w:t>-2124.3</w:t>
                  </w:r>
                </w:p>
              </w:tc>
              <w:tc>
                <w:tcPr>
                  <w:tcW w:w="501" w:type="pct"/>
                  <w:vAlign w:val="bottom"/>
                </w:tcPr>
                <w:p w:rsidR="00AC2131" w:rsidRPr="007E34F5" w:rsidRDefault="00AC2131" w:rsidP="00AC2131">
                  <w:pPr>
                    <w:pStyle w:val="TableBodyText"/>
                    <w:spacing w:after="0"/>
                    <w:ind w:left="0" w:right="57"/>
                    <w:rPr>
                      <w:b/>
                    </w:rPr>
                  </w:pPr>
                  <w:r w:rsidRPr="007E34F5">
                    <w:rPr>
                      <w:b/>
                    </w:rPr>
                    <w:t>-2171.8</w:t>
                  </w:r>
                </w:p>
              </w:tc>
              <w:tc>
                <w:tcPr>
                  <w:tcW w:w="501" w:type="pct"/>
                  <w:shd w:val="clear" w:color="auto" w:fill="auto"/>
                  <w:vAlign w:val="bottom"/>
                </w:tcPr>
                <w:p w:rsidR="00AC2131" w:rsidRPr="007E34F5" w:rsidRDefault="00AC2131" w:rsidP="00AC2131">
                  <w:pPr>
                    <w:pStyle w:val="TableBodyText"/>
                    <w:spacing w:after="0"/>
                    <w:ind w:left="0" w:right="57"/>
                    <w:rPr>
                      <w:b/>
                    </w:rPr>
                  </w:pPr>
                  <w:r w:rsidRPr="007E34F5">
                    <w:rPr>
                      <w:b/>
                    </w:rPr>
                    <w:t>-2086.5</w:t>
                  </w:r>
                </w:p>
              </w:tc>
              <w:tc>
                <w:tcPr>
                  <w:tcW w:w="502" w:type="pct"/>
                  <w:shd w:val="clear" w:color="auto" w:fill="auto"/>
                  <w:vAlign w:val="bottom"/>
                </w:tcPr>
                <w:p w:rsidR="00AC2131" w:rsidRPr="007E34F5" w:rsidRDefault="00AC2131" w:rsidP="00AC2131">
                  <w:pPr>
                    <w:pStyle w:val="TableBodyText"/>
                    <w:spacing w:after="0"/>
                    <w:ind w:left="0" w:right="57"/>
                    <w:rPr>
                      <w:b/>
                    </w:rPr>
                  </w:pPr>
                  <w:r w:rsidRPr="007E34F5">
                    <w:rPr>
                      <w:b/>
                    </w:rPr>
                    <w:t>-2070.9</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Food, beverages and tobacco</w:t>
                  </w:r>
                </w:p>
              </w:tc>
              <w:tc>
                <w:tcPr>
                  <w:tcW w:w="501" w:type="pct"/>
                  <w:vAlign w:val="bottom"/>
                </w:tcPr>
                <w:p w:rsidR="00AC2131" w:rsidRPr="007E34F5" w:rsidRDefault="00AC2131" w:rsidP="00AC2131">
                  <w:pPr>
                    <w:pStyle w:val="TableBodyText"/>
                    <w:spacing w:after="0"/>
                    <w:ind w:left="0" w:right="57"/>
                  </w:pPr>
                  <w:r w:rsidRPr="007E34F5">
                    <w:t>-502.9</w:t>
                  </w:r>
                </w:p>
              </w:tc>
              <w:tc>
                <w:tcPr>
                  <w:tcW w:w="501" w:type="pct"/>
                  <w:vAlign w:val="bottom"/>
                </w:tcPr>
                <w:p w:rsidR="00AC2131" w:rsidRPr="007E34F5" w:rsidRDefault="00AC2131" w:rsidP="00AC2131">
                  <w:pPr>
                    <w:pStyle w:val="TableBodyText"/>
                    <w:spacing w:after="0"/>
                    <w:ind w:left="0" w:right="57"/>
                  </w:pPr>
                  <w:r w:rsidRPr="007E34F5">
                    <w:t>-499.7</w:t>
                  </w:r>
                </w:p>
              </w:tc>
              <w:tc>
                <w:tcPr>
                  <w:tcW w:w="501" w:type="pct"/>
                  <w:vAlign w:val="bottom"/>
                </w:tcPr>
                <w:p w:rsidR="00AC2131" w:rsidRPr="007E34F5" w:rsidRDefault="00AC2131" w:rsidP="00AC2131">
                  <w:pPr>
                    <w:pStyle w:val="TableBodyText"/>
                    <w:spacing w:after="0"/>
                    <w:ind w:left="0" w:right="57"/>
                  </w:pPr>
                  <w:r w:rsidRPr="007E34F5">
                    <w:t>-508.8</w:t>
                  </w:r>
                </w:p>
              </w:tc>
              <w:tc>
                <w:tcPr>
                  <w:tcW w:w="501" w:type="pct"/>
                  <w:vAlign w:val="bottom"/>
                </w:tcPr>
                <w:p w:rsidR="00AC2131" w:rsidRPr="007E34F5" w:rsidRDefault="00AC2131" w:rsidP="00AC2131">
                  <w:pPr>
                    <w:pStyle w:val="TableBodyText"/>
                    <w:spacing w:after="0"/>
                    <w:ind w:left="0" w:right="57"/>
                  </w:pPr>
                  <w:r w:rsidRPr="007E34F5">
                    <w:t>-522.1</w:t>
                  </w:r>
                </w:p>
              </w:tc>
              <w:tc>
                <w:tcPr>
                  <w:tcW w:w="501" w:type="pct"/>
                  <w:shd w:val="clear" w:color="auto" w:fill="auto"/>
                  <w:vAlign w:val="bottom"/>
                </w:tcPr>
                <w:p w:rsidR="00AC2131" w:rsidRPr="007E34F5" w:rsidRDefault="00AC2131" w:rsidP="00AC2131">
                  <w:pPr>
                    <w:pStyle w:val="TableBodyText"/>
                    <w:spacing w:after="0"/>
                    <w:ind w:left="0" w:right="57"/>
                  </w:pPr>
                  <w:r w:rsidRPr="007E34F5">
                    <w:t>-524.5</w:t>
                  </w:r>
                </w:p>
              </w:tc>
              <w:tc>
                <w:tcPr>
                  <w:tcW w:w="502" w:type="pct"/>
                  <w:shd w:val="clear" w:color="auto" w:fill="auto"/>
                  <w:vAlign w:val="bottom"/>
                </w:tcPr>
                <w:p w:rsidR="00AC2131" w:rsidRPr="007E34F5" w:rsidRDefault="00AC2131" w:rsidP="00AC2131">
                  <w:pPr>
                    <w:pStyle w:val="TableBodyText"/>
                    <w:spacing w:after="0"/>
                    <w:ind w:left="0" w:right="57"/>
                  </w:pPr>
                  <w:r w:rsidRPr="007E34F5">
                    <w:t>-532.8</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Textile</w:t>
                  </w:r>
                  <w:r>
                    <w:rPr>
                      <w:rFonts w:ascii="Arial" w:hAnsi="Arial" w:cs="Arial"/>
                      <w:sz w:val="18"/>
                      <w:szCs w:val="18"/>
                    </w:rPr>
                    <w:t>s</w:t>
                  </w:r>
                  <w:r w:rsidRPr="007D1111">
                    <w:rPr>
                      <w:rFonts w:ascii="Arial" w:hAnsi="Arial" w:cs="Arial"/>
                      <w:sz w:val="18"/>
                      <w:szCs w:val="18"/>
                    </w:rPr>
                    <w:t>, leather, clothing and footwear</w:t>
                  </w:r>
                </w:p>
              </w:tc>
              <w:tc>
                <w:tcPr>
                  <w:tcW w:w="501" w:type="pct"/>
                  <w:vAlign w:val="bottom"/>
                </w:tcPr>
                <w:p w:rsidR="00AC2131" w:rsidRPr="007E34F5" w:rsidRDefault="00AC2131" w:rsidP="00AC2131">
                  <w:pPr>
                    <w:pStyle w:val="TableBodyText"/>
                    <w:spacing w:after="0"/>
                    <w:ind w:left="0" w:right="57"/>
                  </w:pPr>
                  <w:r w:rsidRPr="007E34F5">
                    <w:t>-136.1</w:t>
                  </w:r>
                </w:p>
              </w:tc>
              <w:tc>
                <w:tcPr>
                  <w:tcW w:w="501" w:type="pct"/>
                  <w:vAlign w:val="bottom"/>
                </w:tcPr>
                <w:p w:rsidR="00AC2131" w:rsidRPr="007E34F5" w:rsidRDefault="00AC2131" w:rsidP="00AC2131">
                  <w:pPr>
                    <w:pStyle w:val="TableBodyText"/>
                    <w:spacing w:after="0"/>
                    <w:ind w:left="0" w:right="57"/>
                  </w:pPr>
                  <w:r w:rsidRPr="007E34F5">
                    <w:t>-88.9</w:t>
                  </w:r>
                </w:p>
              </w:tc>
              <w:tc>
                <w:tcPr>
                  <w:tcW w:w="501" w:type="pct"/>
                  <w:vAlign w:val="bottom"/>
                </w:tcPr>
                <w:p w:rsidR="00AC2131" w:rsidRPr="007E34F5" w:rsidRDefault="00AC2131" w:rsidP="00AC2131">
                  <w:pPr>
                    <w:pStyle w:val="TableBodyText"/>
                    <w:spacing w:after="0"/>
                    <w:ind w:left="0" w:right="57"/>
                  </w:pPr>
                  <w:r w:rsidRPr="007E34F5">
                    <w:t>-68.4</w:t>
                  </w:r>
                </w:p>
              </w:tc>
              <w:tc>
                <w:tcPr>
                  <w:tcW w:w="501" w:type="pct"/>
                  <w:vAlign w:val="bottom"/>
                </w:tcPr>
                <w:p w:rsidR="00AC2131" w:rsidRPr="007E34F5" w:rsidRDefault="00AC2131" w:rsidP="00AC2131">
                  <w:pPr>
                    <w:pStyle w:val="TableBodyText"/>
                    <w:spacing w:after="0"/>
                    <w:ind w:left="0" w:right="57"/>
                  </w:pPr>
                  <w:r w:rsidRPr="007E34F5">
                    <w:t>-66.0</w:t>
                  </w:r>
                </w:p>
              </w:tc>
              <w:tc>
                <w:tcPr>
                  <w:tcW w:w="501" w:type="pct"/>
                  <w:shd w:val="clear" w:color="auto" w:fill="auto"/>
                  <w:vAlign w:val="bottom"/>
                </w:tcPr>
                <w:p w:rsidR="00AC2131" w:rsidRPr="007E34F5" w:rsidRDefault="00AC2131" w:rsidP="00AC2131">
                  <w:pPr>
                    <w:pStyle w:val="TableBodyText"/>
                    <w:spacing w:after="0"/>
                    <w:ind w:left="0" w:right="57"/>
                  </w:pPr>
                  <w:r w:rsidRPr="007E34F5">
                    <w:t>-64.2</w:t>
                  </w:r>
                </w:p>
              </w:tc>
              <w:tc>
                <w:tcPr>
                  <w:tcW w:w="502" w:type="pct"/>
                  <w:shd w:val="clear" w:color="auto" w:fill="auto"/>
                  <w:vAlign w:val="bottom"/>
                </w:tcPr>
                <w:p w:rsidR="00AC2131" w:rsidRPr="007E34F5" w:rsidRDefault="00AC2131" w:rsidP="00AC2131">
                  <w:pPr>
                    <w:pStyle w:val="TableBodyText"/>
                    <w:spacing w:after="0"/>
                    <w:ind w:left="0" w:right="57"/>
                  </w:pPr>
                  <w:r w:rsidRPr="007E34F5">
                    <w:t>-67.1</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Wood and paper products</w:t>
                  </w:r>
                </w:p>
              </w:tc>
              <w:tc>
                <w:tcPr>
                  <w:tcW w:w="501" w:type="pct"/>
                  <w:vAlign w:val="bottom"/>
                </w:tcPr>
                <w:p w:rsidR="00AC2131" w:rsidRPr="007E34F5" w:rsidRDefault="00AC2131" w:rsidP="00AC2131">
                  <w:pPr>
                    <w:pStyle w:val="TableBodyText"/>
                    <w:spacing w:after="0"/>
                    <w:ind w:left="0" w:right="57"/>
                  </w:pPr>
                  <w:r w:rsidRPr="007E34F5">
                    <w:t>-151.3</w:t>
                  </w:r>
                </w:p>
              </w:tc>
              <w:tc>
                <w:tcPr>
                  <w:tcW w:w="501" w:type="pct"/>
                  <w:vAlign w:val="bottom"/>
                </w:tcPr>
                <w:p w:rsidR="00AC2131" w:rsidRPr="007E34F5" w:rsidRDefault="00AC2131" w:rsidP="00AC2131">
                  <w:pPr>
                    <w:pStyle w:val="TableBodyText"/>
                    <w:spacing w:after="0"/>
                    <w:ind w:left="0" w:right="57"/>
                  </w:pPr>
                  <w:r w:rsidRPr="007E34F5">
                    <w:t>-150.4</w:t>
                  </w:r>
                </w:p>
              </w:tc>
              <w:tc>
                <w:tcPr>
                  <w:tcW w:w="501" w:type="pct"/>
                  <w:vAlign w:val="bottom"/>
                </w:tcPr>
                <w:p w:rsidR="00AC2131" w:rsidRPr="007E34F5" w:rsidRDefault="00AC2131" w:rsidP="00AC2131">
                  <w:pPr>
                    <w:pStyle w:val="TableBodyText"/>
                    <w:spacing w:after="0"/>
                    <w:ind w:left="0" w:right="57"/>
                  </w:pPr>
                  <w:r w:rsidRPr="007E34F5">
                    <w:t>-136.1</w:t>
                  </w:r>
                </w:p>
              </w:tc>
              <w:tc>
                <w:tcPr>
                  <w:tcW w:w="501" w:type="pct"/>
                  <w:vAlign w:val="bottom"/>
                </w:tcPr>
                <w:p w:rsidR="00AC2131" w:rsidRPr="007E34F5" w:rsidRDefault="00AC2131" w:rsidP="00AC2131">
                  <w:pPr>
                    <w:pStyle w:val="TableBodyText"/>
                    <w:spacing w:after="0"/>
                    <w:ind w:left="0" w:right="57"/>
                  </w:pPr>
                  <w:r w:rsidRPr="007E34F5">
                    <w:t>-126.3</w:t>
                  </w:r>
                </w:p>
              </w:tc>
              <w:tc>
                <w:tcPr>
                  <w:tcW w:w="501" w:type="pct"/>
                  <w:shd w:val="clear" w:color="auto" w:fill="auto"/>
                  <w:vAlign w:val="bottom"/>
                </w:tcPr>
                <w:p w:rsidR="00AC2131" w:rsidRPr="007E34F5" w:rsidRDefault="00AC2131" w:rsidP="00AC2131">
                  <w:pPr>
                    <w:pStyle w:val="TableBodyText"/>
                    <w:spacing w:after="0"/>
                    <w:ind w:left="0" w:right="57"/>
                  </w:pPr>
                  <w:r w:rsidRPr="007E34F5">
                    <w:t>-124.0</w:t>
                  </w:r>
                </w:p>
              </w:tc>
              <w:tc>
                <w:tcPr>
                  <w:tcW w:w="502" w:type="pct"/>
                  <w:shd w:val="clear" w:color="auto" w:fill="auto"/>
                  <w:vAlign w:val="bottom"/>
                </w:tcPr>
                <w:p w:rsidR="00AC2131" w:rsidRPr="007E34F5" w:rsidRDefault="00AC2131" w:rsidP="00AC2131">
                  <w:pPr>
                    <w:pStyle w:val="TableBodyText"/>
                    <w:spacing w:after="0"/>
                    <w:ind w:left="0" w:right="57"/>
                  </w:pPr>
                  <w:r w:rsidRPr="007E34F5">
                    <w:t>-128.0</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Printing and recorded media</w:t>
                  </w:r>
                </w:p>
              </w:tc>
              <w:tc>
                <w:tcPr>
                  <w:tcW w:w="501" w:type="pct"/>
                  <w:vAlign w:val="bottom"/>
                </w:tcPr>
                <w:p w:rsidR="00AC2131" w:rsidRPr="007E34F5" w:rsidRDefault="00AC2131" w:rsidP="00AC2131">
                  <w:pPr>
                    <w:pStyle w:val="TableBodyText"/>
                    <w:spacing w:after="0"/>
                    <w:ind w:left="0" w:right="57"/>
                  </w:pPr>
                  <w:r w:rsidRPr="007E34F5">
                    <w:t>-42.8</w:t>
                  </w:r>
                </w:p>
              </w:tc>
              <w:tc>
                <w:tcPr>
                  <w:tcW w:w="501" w:type="pct"/>
                  <w:vAlign w:val="bottom"/>
                </w:tcPr>
                <w:p w:rsidR="00AC2131" w:rsidRPr="007E34F5" w:rsidRDefault="00AC2131" w:rsidP="00AC2131">
                  <w:pPr>
                    <w:pStyle w:val="TableBodyText"/>
                    <w:spacing w:after="0"/>
                    <w:ind w:left="0" w:right="57"/>
                  </w:pPr>
                  <w:r w:rsidRPr="007E34F5">
                    <w:t>-37.8</w:t>
                  </w:r>
                </w:p>
              </w:tc>
              <w:tc>
                <w:tcPr>
                  <w:tcW w:w="501" w:type="pct"/>
                  <w:vAlign w:val="bottom"/>
                </w:tcPr>
                <w:p w:rsidR="00AC2131" w:rsidRPr="007E34F5" w:rsidRDefault="00AC2131" w:rsidP="00AC2131">
                  <w:pPr>
                    <w:pStyle w:val="TableBodyText"/>
                    <w:spacing w:after="0"/>
                    <w:ind w:left="0" w:right="57"/>
                  </w:pPr>
                  <w:r w:rsidRPr="007E34F5">
                    <w:t>-36.4</w:t>
                  </w:r>
                </w:p>
              </w:tc>
              <w:tc>
                <w:tcPr>
                  <w:tcW w:w="501" w:type="pct"/>
                  <w:vAlign w:val="bottom"/>
                </w:tcPr>
                <w:p w:rsidR="00AC2131" w:rsidRPr="007E34F5" w:rsidRDefault="00AC2131" w:rsidP="00AC2131">
                  <w:pPr>
                    <w:pStyle w:val="TableBodyText"/>
                    <w:spacing w:after="0"/>
                    <w:ind w:left="0" w:right="57"/>
                  </w:pPr>
                  <w:r w:rsidRPr="007E34F5">
                    <w:t>-32.8</w:t>
                  </w:r>
                </w:p>
              </w:tc>
              <w:tc>
                <w:tcPr>
                  <w:tcW w:w="501" w:type="pct"/>
                  <w:shd w:val="clear" w:color="auto" w:fill="auto"/>
                  <w:vAlign w:val="bottom"/>
                </w:tcPr>
                <w:p w:rsidR="00AC2131" w:rsidRPr="007E34F5" w:rsidRDefault="00AC2131" w:rsidP="00AC2131">
                  <w:pPr>
                    <w:pStyle w:val="TableBodyText"/>
                    <w:spacing w:after="0"/>
                    <w:ind w:left="0" w:right="57"/>
                  </w:pPr>
                  <w:r w:rsidRPr="007E34F5">
                    <w:t>-31.8</w:t>
                  </w:r>
                </w:p>
              </w:tc>
              <w:tc>
                <w:tcPr>
                  <w:tcW w:w="502" w:type="pct"/>
                  <w:shd w:val="clear" w:color="auto" w:fill="auto"/>
                  <w:vAlign w:val="bottom"/>
                </w:tcPr>
                <w:p w:rsidR="00AC2131" w:rsidRPr="007E34F5" w:rsidRDefault="00AC2131" w:rsidP="00AC2131">
                  <w:pPr>
                    <w:pStyle w:val="TableBodyText"/>
                    <w:spacing w:after="0"/>
                    <w:ind w:left="0" w:right="57"/>
                  </w:pPr>
                  <w:r w:rsidRPr="007E34F5">
                    <w:t>-30.5</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Petroleum, coal, chemical and rubber</w:t>
                  </w:r>
                </w:p>
              </w:tc>
              <w:tc>
                <w:tcPr>
                  <w:tcW w:w="501" w:type="pct"/>
                  <w:vAlign w:val="bottom"/>
                </w:tcPr>
                <w:p w:rsidR="00AC2131" w:rsidRPr="007E34F5" w:rsidRDefault="00AC2131" w:rsidP="00AC2131">
                  <w:pPr>
                    <w:pStyle w:val="TableBodyText"/>
                    <w:spacing w:after="0"/>
                    <w:ind w:left="0" w:right="57"/>
                  </w:pPr>
                  <w:r w:rsidRPr="007E34F5">
                    <w:t>-293.0</w:t>
                  </w:r>
                </w:p>
              </w:tc>
              <w:tc>
                <w:tcPr>
                  <w:tcW w:w="501" w:type="pct"/>
                  <w:vAlign w:val="bottom"/>
                </w:tcPr>
                <w:p w:rsidR="00AC2131" w:rsidRPr="007E34F5" w:rsidRDefault="00AC2131" w:rsidP="00AC2131">
                  <w:pPr>
                    <w:pStyle w:val="TableBodyText"/>
                    <w:spacing w:after="0"/>
                    <w:ind w:left="0" w:right="57"/>
                  </w:pPr>
                  <w:r w:rsidRPr="007E34F5">
                    <w:t>-301.0</w:t>
                  </w:r>
                </w:p>
              </w:tc>
              <w:tc>
                <w:tcPr>
                  <w:tcW w:w="501" w:type="pct"/>
                  <w:vAlign w:val="bottom"/>
                </w:tcPr>
                <w:p w:rsidR="00AC2131" w:rsidRPr="007E34F5" w:rsidRDefault="00AC2131" w:rsidP="00AC2131">
                  <w:pPr>
                    <w:pStyle w:val="TableBodyText"/>
                    <w:spacing w:after="0"/>
                    <w:ind w:left="0" w:right="57"/>
                  </w:pPr>
                  <w:r w:rsidRPr="007E34F5">
                    <w:t>-291.6</w:t>
                  </w:r>
                </w:p>
              </w:tc>
              <w:tc>
                <w:tcPr>
                  <w:tcW w:w="501" w:type="pct"/>
                  <w:vAlign w:val="bottom"/>
                </w:tcPr>
                <w:p w:rsidR="00AC2131" w:rsidRPr="007E34F5" w:rsidRDefault="00AC2131" w:rsidP="00AC2131">
                  <w:pPr>
                    <w:pStyle w:val="TableBodyText"/>
                    <w:spacing w:after="0"/>
                    <w:ind w:left="0" w:right="57"/>
                  </w:pPr>
                  <w:r w:rsidRPr="007E34F5">
                    <w:t>-301.2</w:t>
                  </w:r>
                </w:p>
              </w:tc>
              <w:tc>
                <w:tcPr>
                  <w:tcW w:w="501" w:type="pct"/>
                  <w:shd w:val="clear" w:color="auto" w:fill="auto"/>
                  <w:vAlign w:val="bottom"/>
                </w:tcPr>
                <w:p w:rsidR="00AC2131" w:rsidRPr="007E34F5" w:rsidRDefault="00AC2131" w:rsidP="00AC2131">
                  <w:pPr>
                    <w:pStyle w:val="TableBodyText"/>
                    <w:spacing w:after="0"/>
                    <w:ind w:left="0" w:right="57"/>
                  </w:pPr>
                  <w:r w:rsidRPr="007E34F5">
                    <w:t>-276.4</w:t>
                  </w:r>
                </w:p>
              </w:tc>
              <w:tc>
                <w:tcPr>
                  <w:tcW w:w="502" w:type="pct"/>
                  <w:shd w:val="clear" w:color="auto" w:fill="auto"/>
                  <w:vAlign w:val="bottom"/>
                </w:tcPr>
                <w:p w:rsidR="00AC2131" w:rsidRPr="007E34F5" w:rsidRDefault="00AC2131" w:rsidP="00AC2131">
                  <w:pPr>
                    <w:pStyle w:val="TableBodyText"/>
                    <w:spacing w:after="0"/>
                    <w:ind w:left="0" w:right="57"/>
                  </w:pPr>
                  <w:r w:rsidRPr="007E34F5">
                    <w:t>-263.7</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Non-metallic mineral products</w:t>
                  </w:r>
                </w:p>
              </w:tc>
              <w:tc>
                <w:tcPr>
                  <w:tcW w:w="501" w:type="pct"/>
                  <w:vAlign w:val="bottom"/>
                </w:tcPr>
                <w:p w:rsidR="00AC2131" w:rsidRPr="007E34F5" w:rsidRDefault="00AC2131" w:rsidP="00AC2131">
                  <w:pPr>
                    <w:pStyle w:val="TableBodyText"/>
                    <w:spacing w:after="0"/>
                    <w:ind w:left="0" w:right="57"/>
                  </w:pPr>
                  <w:r w:rsidRPr="007E34F5">
                    <w:t>-51.2</w:t>
                  </w:r>
                </w:p>
              </w:tc>
              <w:tc>
                <w:tcPr>
                  <w:tcW w:w="501" w:type="pct"/>
                  <w:vAlign w:val="bottom"/>
                </w:tcPr>
                <w:p w:rsidR="00AC2131" w:rsidRPr="007E34F5" w:rsidRDefault="00AC2131" w:rsidP="00AC2131">
                  <w:pPr>
                    <w:pStyle w:val="TableBodyText"/>
                    <w:spacing w:after="0"/>
                    <w:ind w:left="0" w:right="57"/>
                  </w:pPr>
                  <w:r w:rsidRPr="007E34F5">
                    <w:t>-48.1</w:t>
                  </w:r>
                </w:p>
              </w:tc>
              <w:tc>
                <w:tcPr>
                  <w:tcW w:w="501" w:type="pct"/>
                  <w:vAlign w:val="bottom"/>
                </w:tcPr>
                <w:p w:rsidR="00AC2131" w:rsidRPr="007E34F5" w:rsidRDefault="00AC2131" w:rsidP="00AC2131">
                  <w:pPr>
                    <w:pStyle w:val="TableBodyText"/>
                    <w:spacing w:after="0"/>
                    <w:ind w:left="0" w:right="57"/>
                  </w:pPr>
                  <w:r w:rsidRPr="007E34F5">
                    <w:t>-49.9</w:t>
                  </w:r>
                </w:p>
              </w:tc>
              <w:tc>
                <w:tcPr>
                  <w:tcW w:w="501" w:type="pct"/>
                  <w:vAlign w:val="bottom"/>
                </w:tcPr>
                <w:p w:rsidR="00AC2131" w:rsidRPr="007E34F5" w:rsidRDefault="00AC2131" w:rsidP="00AC2131">
                  <w:pPr>
                    <w:pStyle w:val="TableBodyText"/>
                    <w:spacing w:after="0"/>
                    <w:ind w:left="0" w:right="57"/>
                  </w:pPr>
                  <w:r w:rsidRPr="007E34F5">
                    <w:t>-47.1</w:t>
                  </w:r>
                </w:p>
              </w:tc>
              <w:tc>
                <w:tcPr>
                  <w:tcW w:w="501" w:type="pct"/>
                  <w:shd w:val="clear" w:color="auto" w:fill="auto"/>
                  <w:vAlign w:val="bottom"/>
                </w:tcPr>
                <w:p w:rsidR="00AC2131" w:rsidRPr="007E34F5" w:rsidRDefault="00AC2131" w:rsidP="00AC2131">
                  <w:pPr>
                    <w:pStyle w:val="TableBodyText"/>
                    <w:spacing w:after="0"/>
                    <w:ind w:left="0" w:right="57"/>
                  </w:pPr>
                  <w:r w:rsidRPr="007E34F5">
                    <w:t>-46.1</w:t>
                  </w:r>
                </w:p>
              </w:tc>
              <w:tc>
                <w:tcPr>
                  <w:tcW w:w="502" w:type="pct"/>
                  <w:shd w:val="clear" w:color="auto" w:fill="auto"/>
                  <w:vAlign w:val="bottom"/>
                </w:tcPr>
                <w:p w:rsidR="00AC2131" w:rsidRPr="007E34F5" w:rsidRDefault="00AC2131" w:rsidP="00AC2131">
                  <w:pPr>
                    <w:pStyle w:val="TableBodyText"/>
                    <w:spacing w:after="0"/>
                    <w:ind w:left="0" w:right="57"/>
                  </w:pPr>
                  <w:r w:rsidRPr="007E34F5">
                    <w:t>-47.3</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Metal and fabricated metal products</w:t>
                  </w:r>
                </w:p>
              </w:tc>
              <w:tc>
                <w:tcPr>
                  <w:tcW w:w="501" w:type="pct"/>
                  <w:vAlign w:val="bottom"/>
                </w:tcPr>
                <w:p w:rsidR="00AC2131" w:rsidRPr="007E34F5" w:rsidRDefault="00AC2131" w:rsidP="00AC2131">
                  <w:pPr>
                    <w:pStyle w:val="TableBodyText"/>
                    <w:spacing w:after="0"/>
                    <w:ind w:left="0" w:right="57"/>
                  </w:pPr>
                  <w:r w:rsidRPr="007E34F5">
                    <w:t>-459.8</w:t>
                  </w:r>
                </w:p>
              </w:tc>
              <w:tc>
                <w:tcPr>
                  <w:tcW w:w="501" w:type="pct"/>
                  <w:vAlign w:val="bottom"/>
                </w:tcPr>
                <w:p w:rsidR="00AC2131" w:rsidRPr="007E34F5" w:rsidRDefault="00AC2131" w:rsidP="00AC2131">
                  <w:pPr>
                    <w:pStyle w:val="TableBodyText"/>
                    <w:spacing w:after="0"/>
                    <w:ind w:left="0" w:right="57"/>
                  </w:pPr>
                  <w:r w:rsidRPr="007E34F5">
                    <w:t>-419.4</w:t>
                  </w:r>
                </w:p>
              </w:tc>
              <w:tc>
                <w:tcPr>
                  <w:tcW w:w="501" w:type="pct"/>
                  <w:vAlign w:val="bottom"/>
                </w:tcPr>
                <w:p w:rsidR="00AC2131" w:rsidRPr="007E34F5" w:rsidRDefault="00AC2131" w:rsidP="00AC2131">
                  <w:pPr>
                    <w:pStyle w:val="TableBodyText"/>
                    <w:spacing w:after="0"/>
                    <w:ind w:left="0" w:right="57"/>
                  </w:pPr>
                  <w:r w:rsidRPr="007E34F5">
                    <w:t>-423.8</w:t>
                  </w:r>
                </w:p>
              </w:tc>
              <w:tc>
                <w:tcPr>
                  <w:tcW w:w="501" w:type="pct"/>
                  <w:vAlign w:val="bottom"/>
                </w:tcPr>
                <w:p w:rsidR="00AC2131" w:rsidRPr="007E34F5" w:rsidRDefault="00AC2131" w:rsidP="00AC2131">
                  <w:pPr>
                    <w:pStyle w:val="TableBodyText"/>
                    <w:spacing w:after="0"/>
                    <w:ind w:left="0" w:right="57"/>
                  </w:pPr>
                  <w:r w:rsidRPr="007E34F5">
                    <w:t>-435.5</w:t>
                  </w:r>
                </w:p>
              </w:tc>
              <w:tc>
                <w:tcPr>
                  <w:tcW w:w="501" w:type="pct"/>
                  <w:shd w:val="clear" w:color="auto" w:fill="auto"/>
                  <w:vAlign w:val="bottom"/>
                </w:tcPr>
                <w:p w:rsidR="00AC2131" w:rsidRPr="007E34F5" w:rsidRDefault="00AC2131" w:rsidP="00AC2131">
                  <w:pPr>
                    <w:pStyle w:val="TableBodyText"/>
                    <w:spacing w:after="0"/>
                    <w:ind w:left="0" w:right="57"/>
                  </w:pPr>
                  <w:r w:rsidRPr="007E34F5">
                    <w:t>-394.9</w:t>
                  </w:r>
                </w:p>
              </w:tc>
              <w:tc>
                <w:tcPr>
                  <w:tcW w:w="502" w:type="pct"/>
                  <w:shd w:val="clear" w:color="auto" w:fill="auto"/>
                  <w:vAlign w:val="bottom"/>
                </w:tcPr>
                <w:p w:rsidR="00AC2131" w:rsidRPr="007E34F5" w:rsidRDefault="00AC2131" w:rsidP="00AC2131">
                  <w:pPr>
                    <w:pStyle w:val="TableBodyText"/>
                    <w:spacing w:after="0"/>
                    <w:ind w:left="0" w:right="57"/>
                  </w:pPr>
                  <w:r w:rsidRPr="007E34F5">
                    <w:t>-409.2</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Motor vehicle</w:t>
                  </w:r>
                  <w:r>
                    <w:rPr>
                      <w:rFonts w:ascii="Arial" w:hAnsi="Arial" w:cs="Arial"/>
                      <w:sz w:val="18"/>
                      <w:szCs w:val="18"/>
                    </w:rPr>
                    <w:t>s</w:t>
                  </w:r>
                  <w:r w:rsidRPr="007D1111">
                    <w:rPr>
                      <w:rFonts w:ascii="Arial" w:hAnsi="Arial" w:cs="Arial"/>
                      <w:sz w:val="18"/>
                      <w:szCs w:val="18"/>
                    </w:rPr>
                    <w:t xml:space="preserve"> and parts</w:t>
                  </w:r>
                </w:p>
              </w:tc>
              <w:tc>
                <w:tcPr>
                  <w:tcW w:w="501" w:type="pct"/>
                  <w:vAlign w:val="bottom"/>
                </w:tcPr>
                <w:p w:rsidR="00AC2131" w:rsidRPr="007E34F5" w:rsidRDefault="00AC2131" w:rsidP="00AC2131">
                  <w:pPr>
                    <w:pStyle w:val="TableBodyText"/>
                    <w:spacing w:after="0"/>
                    <w:ind w:left="0" w:right="57"/>
                  </w:pPr>
                  <w:r w:rsidRPr="007E34F5">
                    <w:t>-370.1</w:t>
                  </w:r>
                </w:p>
              </w:tc>
              <w:tc>
                <w:tcPr>
                  <w:tcW w:w="501" w:type="pct"/>
                  <w:vAlign w:val="bottom"/>
                </w:tcPr>
                <w:p w:rsidR="00AC2131" w:rsidRPr="007E34F5" w:rsidRDefault="00AC2131" w:rsidP="00AC2131">
                  <w:pPr>
                    <w:pStyle w:val="TableBodyText"/>
                    <w:spacing w:after="0"/>
                    <w:ind w:left="0" w:right="57"/>
                  </w:pPr>
                  <w:r w:rsidRPr="007E34F5">
                    <w:t>-353.4</w:t>
                  </w:r>
                </w:p>
              </w:tc>
              <w:tc>
                <w:tcPr>
                  <w:tcW w:w="501" w:type="pct"/>
                  <w:vAlign w:val="bottom"/>
                </w:tcPr>
                <w:p w:rsidR="00AC2131" w:rsidRPr="007E34F5" w:rsidRDefault="00AC2131" w:rsidP="00AC2131">
                  <w:pPr>
                    <w:pStyle w:val="TableBodyText"/>
                    <w:spacing w:after="0"/>
                    <w:ind w:left="0" w:right="57"/>
                  </w:pPr>
                  <w:r w:rsidRPr="007E34F5">
                    <w:t>-303.9</w:t>
                  </w:r>
                </w:p>
              </w:tc>
              <w:tc>
                <w:tcPr>
                  <w:tcW w:w="501" w:type="pct"/>
                  <w:vAlign w:val="bottom"/>
                </w:tcPr>
                <w:p w:rsidR="00AC2131" w:rsidRPr="007E34F5" w:rsidRDefault="00AC2131" w:rsidP="00AC2131">
                  <w:pPr>
                    <w:pStyle w:val="TableBodyText"/>
                    <w:spacing w:after="0"/>
                    <w:ind w:left="0" w:right="57"/>
                  </w:pPr>
                  <w:r w:rsidRPr="007E34F5">
                    <w:t>-319.6</w:t>
                  </w:r>
                </w:p>
              </w:tc>
              <w:tc>
                <w:tcPr>
                  <w:tcW w:w="501" w:type="pct"/>
                  <w:shd w:val="clear" w:color="auto" w:fill="auto"/>
                  <w:vAlign w:val="bottom"/>
                </w:tcPr>
                <w:p w:rsidR="00AC2131" w:rsidRPr="007E34F5" w:rsidRDefault="00AC2131" w:rsidP="00AC2131">
                  <w:pPr>
                    <w:pStyle w:val="TableBodyText"/>
                    <w:spacing w:after="0"/>
                    <w:ind w:left="0" w:right="57"/>
                  </w:pPr>
                  <w:r w:rsidRPr="007E34F5">
                    <w:t>-311.5</w:t>
                  </w:r>
                </w:p>
              </w:tc>
              <w:tc>
                <w:tcPr>
                  <w:tcW w:w="502" w:type="pct"/>
                  <w:shd w:val="clear" w:color="auto" w:fill="auto"/>
                  <w:vAlign w:val="bottom"/>
                </w:tcPr>
                <w:p w:rsidR="00AC2131" w:rsidRPr="007E34F5" w:rsidRDefault="00AC2131" w:rsidP="00AC2131">
                  <w:pPr>
                    <w:pStyle w:val="TableBodyText"/>
                    <w:spacing w:after="0"/>
                    <w:ind w:left="0" w:right="57"/>
                  </w:pPr>
                  <w:r w:rsidRPr="007E34F5">
                    <w:t>-295.5</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Other transport equipment</w:t>
                  </w:r>
                </w:p>
              </w:tc>
              <w:tc>
                <w:tcPr>
                  <w:tcW w:w="501" w:type="pct"/>
                  <w:vAlign w:val="bottom"/>
                </w:tcPr>
                <w:p w:rsidR="00AC2131" w:rsidRPr="007E34F5" w:rsidRDefault="00AC2131" w:rsidP="00AC2131">
                  <w:pPr>
                    <w:pStyle w:val="TableBodyText"/>
                    <w:spacing w:after="0"/>
                    <w:ind w:left="0" w:right="57"/>
                  </w:pPr>
                  <w:r w:rsidRPr="007E34F5">
                    <w:t>-62.1</w:t>
                  </w:r>
                </w:p>
              </w:tc>
              <w:tc>
                <w:tcPr>
                  <w:tcW w:w="501" w:type="pct"/>
                  <w:vAlign w:val="bottom"/>
                </w:tcPr>
                <w:p w:rsidR="00AC2131" w:rsidRPr="007E34F5" w:rsidRDefault="00AC2131" w:rsidP="00AC2131">
                  <w:pPr>
                    <w:pStyle w:val="TableBodyText"/>
                    <w:spacing w:after="0"/>
                    <w:ind w:left="0" w:right="57"/>
                  </w:pPr>
                  <w:r w:rsidRPr="007E34F5">
                    <w:t>-69.7</w:t>
                  </w:r>
                </w:p>
              </w:tc>
              <w:tc>
                <w:tcPr>
                  <w:tcW w:w="501" w:type="pct"/>
                  <w:vAlign w:val="bottom"/>
                </w:tcPr>
                <w:p w:rsidR="00AC2131" w:rsidRPr="007E34F5" w:rsidRDefault="00AC2131" w:rsidP="00AC2131">
                  <w:pPr>
                    <w:pStyle w:val="TableBodyText"/>
                    <w:spacing w:after="0"/>
                    <w:ind w:left="0" w:right="57"/>
                  </w:pPr>
                  <w:r w:rsidRPr="007E34F5">
                    <w:t>-68.1</w:t>
                  </w:r>
                </w:p>
              </w:tc>
              <w:tc>
                <w:tcPr>
                  <w:tcW w:w="501" w:type="pct"/>
                  <w:vAlign w:val="bottom"/>
                </w:tcPr>
                <w:p w:rsidR="00AC2131" w:rsidRPr="007E34F5" w:rsidRDefault="00AC2131" w:rsidP="00AC2131">
                  <w:pPr>
                    <w:pStyle w:val="TableBodyText"/>
                    <w:spacing w:after="0"/>
                    <w:ind w:left="0" w:right="57"/>
                  </w:pPr>
                  <w:r w:rsidRPr="007E34F5">
                    <w:t>-71.6</w:t>
                  </w:r>
                </w:p>
              </w:tc>
              <w:tc>
                <w:tcPr>
                  <w:tcW w:w="501" w:type="pct"/>
                  <w:shd w:val="clear" w:color="auto" w:fill="auto"/>
                  <w:vAlign w:val="bottom"/>
                </w:tcPr>
                <w:p w:rsidR="00AC2131" w:rsidRPr="007E34F5" w:rsidRDefault="00AC2131" w:rsidP="00AC2131">
                  <w:pPr>
                    <w:pStyle w:val="TableBodyText"/>
                    <w:spacing w:after="0"/>
                    <w:ind w:left="0" w:right="57"/>
                  </w:pPr>
                  <w:r w:rsidRPr="007E34F5">
                    <w:t>-69.8</w:t>
                  </w:r>
                </w:p>
              </w:tc>
              <w:tc>
                <w:tcPr>
                  <w:tcW w:w="502" w:type="pct"/>
                  <w:shd w:val="clear" w:color="auto" w:fill="auto"/>
                  <w:vAlign w:val="bottom"/>
                </w:tcPr>
                <w:p w:rsidR="00AC2131" w:rsidRPr="007E34F5" w:rsidRDefault="00AC2131" w:rsidP="00AC2131">
                  <w:pPr>
                    <w:pStyle w:val="TableBodyText"/>
                    <w:spacing w:after="0"/>
                    <w:ind w:left="0" w:right="57"/>
                  </w:pPr>
                  <w:r w:rsidRPr="007E34F5">
                    <w:t>-66.2</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Machinery &amp; equipment manufacturing</w:t>
                  </w:r>
                </w:p>
              </w:tc>
              <w:tc>
                <w:tcPr>
                  <w:tcW w:w="501" w:type="pct"/>
                  <w:vAlign w:val="bottom"/>
                </w:tcPr>
                <w:p w:rsidR="00AC2131" w:rsidRPr="007E34F5" w:rsidRDefault="00AC2131" w:rsidP="00AC2131">
                  <w:pPr>
                    <w:pStyle w:val="TableBodyText"/>
                    <w:spacing w:after="0"/>
                    <w:ind w:left="0" w:right="57"/>
                  </w:pPr>
                  <w:r w:rsidRPr="007E34F5">
                    <w:t>-196.6</w:t>
                  </w:r>
                </w:p>
              </w:tc>
              <w:tc>
                <w:tcPr>
                  <w:tcW w:w="501" w:type="pct"/>
                  <w:vAlign w:val="bottom"/>
                </w:tcPr>
                <w:p w:rsidR="00AC2131" w:rsidRPr="007E34F5" w:rsidRDefault="00AC2131" w:rsidP="00AC2131">
                  <w:pPr>
                    <w:pStyle w:val="TableBodyText"/>
                    <w:spacing w:after="0"/>
                    <w:ind w:left="0" w:right="57"/>
                  </w:pPr>
                  <w:r w:rsidRPr="007E34F5">
                    <w:t>-191.8</w:t>
                  </w:r>
                </w:p>
              </w:tc>
              <w:tc>
                <w:tcPr>
                  <w:tcW w:w="501" w:type="pct"/>
                  <w:vAlign w:val="bottom"/>
                </w:tcPr>
                <w:p w:rsidR="00AC2131" w:rsidRPr="007E34F5" w:rsidRDefault="00AC2131" w:rsidP="00AC2131">
                  <w:pPr>
                    <w:pStyle w:val="TableBodyText"/>
                    <w:spacing w:after="0"/>
                    <w:ind w:left="0" w:right="57"/>
                  </w:pPr>
                  <w:r w:rsidRPr="007E34F5">
                    <w:t>-187.0</w:t>
                  </w:r>
                </w:p>
              </w:tc>
              <w:tc>
                <w:tcPr>
                  <w:tcW w:w="501" w:type="pct"/>
                  <w:vAlign w:val="bottom"/>
                </w:tcPr>
                <w:p w:rsidR="00AC2131" w:rsidRPr="007E34F5" w:rsidRDefault="00AC2131" w:rsidP="00AC2131">
                  <w:pPr>
                    <w:pStyle w:val="TableBodyText"/>
                    <w:spacing w:after="0"/>
                    <w:ind w:left="0" w:right="57"/>
                  </w:pPr>
                  <w:r w:rsidRPr="007E34F5">
                    <w:t>-196.7</w:t>
                  </w:r>
                </w:p>
              </w:tc>
              <w:tc>
                <w:tcPr>
                  <w:tcW w:w="501" w:type="pct"/>
                  <w:shd w:val="clear" w:color="auto" w:fill="auto"/>
                  <w:vAlign w:val="bottom"/>
                </w:tcPr>
                <w:p w:rsidR="00AC2131" w:rsidRPr="007E34F5" w:rsidRDefault="00AC2131" w:rsidP="00AC2131">
                  <w:pPr>
                    <w:pStyle w:val="TableBodyText"/>
                    <w:spacing w:after="0"/>
                    <w:ind w:left="0" w:right="57"/>
                  </w:pPr>
                  <w:r w:rsidRPr="007E34F5">
                    <w:t>-191.7</w:t>
                  </w:r>
                </w:p>
              </w:tc>
              <w:tc>
                <w:tcPr>
                  <w:tcW w:w="502" w:type="pct"/>
                  <w:shd w:val="clear" w:color="auto" w:fill="auto"/>
                  <w:vAlign w:val="bottom"/>
                </w:tcPr>
                <w:p w:rsidR="00AC2131" w:rsidRPr="007E34F5" w:rsidRDefault="00AC2131" w:rsidP="00AC2131">
                  <w:pPr>
                    <w:pStyle w:val="TableBodyText"/>
                    <w:spacing w:after="0"/>
                    <w:ind w:left="0" w:right="57"/>
                  </w:pPr>
                  <w:r w:rsidRPr="007E34F5">
                    <w:t>-181.8</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Furniture and other manufacturing</w:t>
                  </w:r>
                </w:p>
              </w:tc>
              <w:tc>
                <w:tcPr>
                  <w:tcW w:w="501" w:type="pct"/>
                  <w:vAlign w:val="bottom"/>
                </w:tcPr>
                <w:p w:rsidR="00AC2131" w:rsidRPr="007E34F5" w:rsidRDefault="00AC2131" w:rsidP="00AC2131">
                  <w:pPr>
                    <w:pStyle w:val="TableBodyText"/>
                    <w:spacing w:after="0"/>
                    <w:ind w:left="0" w:right="57"/>
                  </w:pPr>
                  <w:r w:rsidRPr="007E34F5">
                    <w:t>-60.5</w:t>
                  </w:r>
                </w:p>
              </w:tc>
              <w:tc>
                <w:tcPr>
                  <w:tcW w:w="501" w:type="pct"/>
                  <w:vAlign w:val="bottom"/>
                </w:tcPr>
                <w:p w:rsidR="00AC2131" w:rsidRPr="007E34F5" w:rsidRDefault="00AC2131" w:rsidP="00AC2131">
                  <w:pPr>
                    <w:pStyle w:val="TableBodyText"/>
                    <w:spacing w:after="0"/>
                    <w:ind w:left="0" w:right="57"/>
                  </w:pPr>
                  <w:r w:rsidRPr="007E34F5">
                    <w:t>-52.5</w:t>
                  </w:r>
                </w:p>
              </w:tc>
              <w:tc>
                <w:tcPr>
                  <w:tcW w:w="501" w:type="pct"/>
                  <w:vAlign w:val="bottom"/>
                </w:tcPr>
                <w:p w:rsidR="00AC2131" w:rsidRPr="007E34F5" w:rsidRDefault="00AC2131" w:rsidP="00AC2131">
                  <w:pPr>
                    <w:pStyle w:val="TableBodyText"/>
                    <w:spacing w:after="0"/>
                    <w:ind w:left="0" w:right="57"/>
                  </w:pPr>
                  <w:r w:rsidRPr="007E34F5">
                    <w:t>-50.4</w:t>
                  </w:r>
                </w:p>
              </w:tc>
              <w:tc>
                <w:tcPr>
                  <w:tcW w:w="501" w:type="pct"/>
                  <w:vAlign w:val="bottom"/>
                </w:tcPr>
                <w:p w:rsidR="00AC2131" w:rsidRPr="007E34F5" w:rsidRDefault="00AC2131" w:rsidP="00AC2131">
                  <w:pPr>
                    <w:pStyle w:val="TableBodyText"/>
                    <w:spacing w:after="0"/>
                    <w:ind w:left="0" w:right="57"/>
                  </w:pPr>
                  <w:r w:rsidRPr="007E34F5">
                    <w:t>-53.0</w:t>
                  </w:r>
                </w:p>
              </w:tc>
              <w:tc>
                <w:tcPr>
                  <w:tcW w:w="501" w:type="pct"/>
                  <w:shd w:val="clear" w:color="auto" w:fill="auto"/>
                  <w:vAlign w:val="bottom"/>
                </w:tcPr>
                <w:p w:rsidR="00AC2131" w:rsidRPr="007E34F5" w:rsidRDefault="00AC2131" w:rsidP="00AC2131">
                  <w:pPr>
                    <w:pStyle w:val="TableBodyText"/>
                    <w:spacing w:after="0"/>
                    <w:ind w:left="0" w:right="57"/>
                  </w:pPr>
                  <w:r w:rsidRPr="007E34F5">
                    <w:t>-51.6</w:t>
                  </w:r>
                </w:p>
              </w:tc>
              <w:tc>
                <w:tcPr>
                  <w:tcW w:w="502" w:type="pct"/>
                  <w:shd w:val="clear" w:color="auto" w:fill="auto"/>
                  <w:vAlign w:val="bottom"/>
                </w:tcPr>
                <w:p w:rsidR="00AC2131" w:rsidRPr="007E34F5" w:rsidRDefault="00AC2131" w:rsidP="00AC2131">
                  <w:pPr>
                    <w:pStyle w:val="TableBodyText"/>
                    <w:spacing w:after="0"/>
                    <w:ind w:left="0" w:right="57"/>
                  </w:pPr>
                  <w:r w:rsidRPr="007E34F5">
                    <w:t>-49.0</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Unallocated manufacturing</w:t>
                  </w:r>
                  <w:r w:rsidRPr="008405D4">
                    <w:rPr>
                      <w:rStyle w:val="NoteLabel"/>
                    </w:rPr>
                    <w:t>b</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shd w:val="clear" w:color="auto" w:fill="auto"/>
                  <w:vAlign w:val="bottom"/>
                </w:tcPr>
                <w:p w:rsidR="00AC2131" w:rsidRPr="007E34F5" w:rsidRDefault="00AC2131" w:rsidP="00AC2131">
                  <w:pPr>
                    <w:pStyle w:val="TableBodyText"/>
                    <w:spacing w:after="0"/>
                    <w:ind w:left="0" w:right="57"/>
                  </w:pPr>
                  <w:r w:rsidRPr="007E34F5">
                    <w:t xml:space="preserve">– </w:t>
                  </w:r>
                </w:p>
              </w:tc>
              <w:tc>
                <w:tcPr>
                  <w:tcW w:w="502" w:type="pct"/>
                  <w:shd w:val="clear" w:color="auto" w:fill="auto"/>
                  <w:vAlign w:val="bottom"/>
                </w:tcPr>
                <w:p w:rsidR="00AC2131" w:rsidRPr="007E34F5" w:rsidRDefault="00AC2131" w:rsidP="00AC2131">
                  <w:pPr>
                    <w:pStyle w:val="TableBodyText"/>
                    <w:spacing w:after="0"/>
                    <w:ind w:left="0" w:right="57"/>
                  </w:pPr>
                  <w:r w:rsidRPr="007E34F5">
                    <w:t xml:space="preserve">– </w:t>
                  </w:r>
                </w:p>
              </w:tc>
            </w:tr>
            <w:tr w:rsidR="00AC2131" w:rsidRPr="007E34F5" w:rsidTr="00AC2131">
              <w:tc>
                <w:tcPr>
                  <w:tcW w:w="1992" w:type="pct"/>
                  <w:shd w:val="clear" w:color="auto" w:fill="auto"/>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Services</w:t>
                  </w:r>
                </w:p>
              </w:tc>
              <w:tc>
                <w:tcPr>
                  <w:tcW w:w="501" w:type="pct"/>
                  <w:vAlign w:val="bottom"/>
                </w:tcPr>
                <w:p w:rsidR="00AC2131" w:rsidRPr="007E34F5" w:rsidRDefault="00AC2131" w:rsidP="00AC2131">
                  <w:pPr>
                    <w:pStyle w:val="TableBodyText"/>
                    <w:spacing w:after="0"/>
                    <w:ind w:left="0" w:right="57"/>
                    <w:rPr>
                      <w:b/>
                    </w:rPr>
                  </w:pPr>
                  <w:r w:rsidRPr="007E34F5">
                    <w:rPr>
                      <w:b/>
                    </w:rPr>
                    <w:t>-4135.1</w:t>
                  </w:r>
                </w:p>
              </w:tc>
              <w:tc>
                <w:tcPr>
                  <w:tcW w:w="501" w:type="pct"/>
                  <w:vAlign w:val="bottom"/>
                </w:tcPr>
                <w:p w:rsidR="00AC2131" w:rsidRPr="007E34F5" w:rsidRDefault="00AC2131" w:rsidP="00AC2131">
                  <w:pPr>
                    <w:pStyle w:val="TableBodyText"/>
                    <w:spacing w:after="0"/>
                    <w:ind w:left="0" w:right="57"/>
                    <w:rPr>
                      <w:b/>
                    </w:rPr>
                  </w:pPr>
                  <w:r w:rsidRPr="007E34F5">
                    <w:rPr>
                      <w:b/>
                    </w:rPr>
                    <w:t>-4192.6</w:t>
                  </w:r>
                </w:p>
              </w:tc>
              <w:tc>
                <w:tcPr>
                  <w:tcW w:w="501" w:type="pct"/>
                  <w:vAlign w:val="bottom"/>
                </w:tcPr>
                <w:p w:rsidR="00AC2131" w:rsidRPr="007E34F5" w:rsidRDefault="00AC2131" w:rsidP="00AC2131">
                  <w:pPr>
                    <w:pStyle w:val="TableBodyText"/>
                    <w:spacing w:after="0"/>
                    <w:ind w:left="0" w:right="57"/>
                    <w:rPr>
                      <w:b/>
                    </w:rPr>
                  </w:pPr>
                  <w:r w:rsidRPr="007E34F5">
                    <w:rPr>
                      <w:b/>
                    </w:rPr>
                    <w:t>-4273.0</w:t>
                  </w:r>
                </w:p>
              </w:tc>
              <w:tc>
                <w:tcPr>
                  <w:tcW w:w="501" w:type="pct"/>
                  <w:vAlign w:val="bottom"/>
                </w:tcPr>
                <w:p w:rsidR="00AC2131" w:rsidRPr="007E34F5" w:rsidRDefault="00AC2131" w:rsidP="00AC2131">
                  <w:pPr>
                    <w:pStyle w:val="TableBodyText"/>
                    <w:spacing w:after="0"/>
                    <w:ind w:left="0" w:right="57"/>
                    <w:rPr>
                      <w:b/>
                    </w:rPr>
                  </w:pPr>
                  <w:r w:rsidRPr="007E34F5">
                    <w:rPr>
                      <w:b/>
                    </w:rPr>
                    <w:t>-4627.7</w:t>
                  </w:r>
                </w:p>
              </w:tc>
              <w:tc>
                <w:tcPr>
                  <w:tcW w:w="501" w:type="pct"/>
                  <w:shd w:val="clear" w:color="auto" w:fill="auto"/>
                  <w:vAlign w:val="bottom"/>
                </w:tcPr>
                <w:p w:rsidR="00AC2131" w:rsidRPr="007E34F5" w:rsidRDefault="00AC2131" w:rsidP="00AC2131">
                  <w:pPr>
                    <w:pStyle w:val="TableBodyText"/>
                    <w:spacing w:after="0"/>
                    <w:ind w:left="0" w:right="57"/>
                    <w:rPr>
                      <w:b/>
                    </w:rPr>
                  </w:pPr>
                  <w:r w:rsidRPr="007E34F5">
                    <w:rPr>
                      <w:b/>
                    </w:rPr>
                    <w:t>-4782.0</w:t>
                  </w:r>
                </w:p>
              </w:tc>
              <w:tc>
                <w:tcPr>
                  <w:tcW w:w="502" w:type="pct"/>
                  <w:shd w:val="clear" w:color="auto" w:fill="auto"/>
                  <w:vAlign w:val="bottom"/>
                </w:tcPr>
                <w:p w:rsidR="00AC2131" w:rsidRPr="007E34F5" w:rsidRDefault="00AC2131" w:rsidP="00AC2131">
                  <w:pPr>
                    <w:pStyle w:val="TableBodyText"/>
                    <w:spacing w:after="0"/>
                    <w:ind w:left="0" w:right="57"/>
                    <w:rPr>
                      <w:b/>
                    </w:rPr>
                  </w:pPr>
                  <w:r w:rsidRPr="007E34F5">
                    <w:rPr>
                      <w:b/>
                    </w:rPr>
                    <w:t>-4928.3</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Electricity, gas, water &amp; waste services</w:t>
                  </w:r>
                </w:p>
              </w:tc>
              <w:tc>
                <w:tcPr>
                  <w:tcW w:w="501" w:type="pct"/>
                  <w:vAlign w:val="bottom"/>
                </w:tcPr>
                <w:p w:rsidR="00AC2131" w:rsidRPr="007E34F5" w:rsidRDefault="00AC2131" w:rsidP="00AC2131">
                  <w:pPr>
                    <w:pStyle w:val="TableBodyText"/>
                    <w:spacing w:after="0"/>
                    <w:ind w:left="0" w:right="57"/>
                  </w:pPr>
                  <w:r w:rsidRPr="007E34F5">
                    <w:t>-71.3</w:t>
                  </w:r>
                </w:p>
              </w:tc>
              <w:tc>
                <w:tcPr>
                  <w:tcW w:w="501" w:type="pct"/>
                  <w:vAlign w:val="bottom"/>
                </w:tcPr>
                <w:p w:rsidR="00AC2131" w:rsidRPr="007E34F5" w:rsidRDefault="00AC2131" w:rsidP="00AC2131">
                  <w:pPr>
                    <w:pStyle w:val="TableBodyText"/>
                    <w:spacing w:after="0"/>
                    <w:ind w:left="0" w:right="57"/>
                  </w:pPr>
                  <w:r w:rsidRPr="007E34F5">
                    <w:t>-71.1</w:t>
                  </w:r>
                </w:p>
              </w:tc>
              <w:tc>
                <w:tcPr>
                  <w:tcW w:w="501" w:type="pct"/>
                  <w:vAlign w:val="bottom"/>
                </w:tcPr>
                <w:p w:rsidR="00AC2131" w:rsidRPr="007E34F5" w:rsidRDefault="00AC2131" w:rsidP="00AC2131">
                  <w:pPr>
                    <w:pStyle w:val="TableBodyText"/>
                    <w:spacing w:after="0"/>
                    <w:ind w:left="0" w:right="57"/>
                  </w:pPr>
                  <w:r w:rsidRPr="007E34F5">
                    <w:t>-73.8</w:t>
                  </w:r>
                </w:p>
              </w:tc>
              <w:tc>
                <w:tcPr>
                  <w:tcW w:w="501" w:type="pct"/>
                  <w:vAlign w:val="bottom"/>
                </w:tcPr>
                <w:p w:rsidR="00AC2131" w:rsidRPr="007E34F5" w:rsidRDefault="00AC2131" w:rsidP="00AC2131">
                  <w:pPr>
                    <w:pStyle w:val="TableBodyText"/>
                    <w:spacing w:after="0"/>
                    <w:ind w:left="0" w:right="57"/>
                  </w:pPr>
                  <w:r w:rsidRPr="007E34F5">
                    <w:t>-83.5</w:t>
                  </w:r>
                </w:p>
              </w:tc>
              <w:tc>
                <w:tcPr>
                  <w:tcW w:w="501" w:type="pct"/>
                  <w:shd w:val="clear" w:color="auto" w:fill="auto"/>
                  <w:vAlign w:val="bottom"/>
                </w:tcPr>
                <w:p w:rsidR="00AC2131" w:rsidRPr="007E34F5" w:rsidRDefault="00AC2131" w:rsidP="00AC2131">
                  <w:pPr>
                    <w:pStyle w:val="TableBodyText"/>
                    <w:spacing w:after="0"/>
                    <w:ind w:left="0" w:right="57"/>
                  </w:pPr>
                  <w:r w:rsidRPr="007E34F5">
                    <w:t>-94.8</w:t>
                  </w:r>
                </w:p>
              </w:tc>
              <w:tc>
                <w:tcPr>
                  <w:tcW w:w="502" w:type="pct"/>
                  <w:shd w:val="clear" w:color="auto" w:fill="auto"/>
                  <w:vAlign w:val="bottom"/>
                </w:tcPr>
                <w:p w:rsidR="00AC2131" w:rsidRPr="007E34F5" w:rsidRDefault="00AC2131" w:rsidP="00AC2131">
                  <w:pPr>
                    <w:pStyle w:val="TableBodyText"/>
                    <w:spacing w:after="0"/>
                    <w:ind w:left="0" w:right="57"/>
                  </w:pPr>
                  <w:r w:rsidRPr="007E34F5">
                    <w:t>-93.8</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Construction</w:t>
                  </w:r>
                </w:p>
              </w:tc>
              <w:tc>
                <w:tcPr>
                  <w:tcW w:w="501" w:type="pct"/>
                  <w:vAlign w:val="bottom"/>
                </w:tcPr>
                <w:p w:rsidR="00AC2131" w:rsidRPr="007E34F5" w:rsidRDefault="00AC2131" w:rsidP="00AC2131">
                  <w:pPr>
                    <w:pStyle w:val="TableBodyText"/>
                    <w:spacing w:after="0"/>
                    <w:ind w:left="0" w:right="57"/>
                  </w:pPr>
                  <w:r w:rsidRPr="007E34F5">
                    <w:t>-1359.2</w:t>
                  </w:r>
                </w:p>
              </w:tc>
              <w:tc>
                <w:tcPr>
                  <w:tcW w:w="501" w:type="pct"/>
                  <w:vAlign w:val="bottom"/>
                </w:tcPr>
                <w:p w:rsidR="00AC2131" w:rsidRPr="007E34F5" w:rsidRDefault="00AC2131" w:rsidP="00AC2131">
                  <w:pPr>
                    <w:pStyle w:val="TableBodyText"/>
                    <w:spacing w:after="0"/>
                    <w:ind w:left="0" w:right="57"/>
                  </w:pPr>
                  <w:r w:rsidRPr="007E34F5">
                    <w:t>-1428.5</w:t>
                  </w:r>
                </w:p>
              </w:tc>
              <w:tc>
                <w:tcPr>
                  <w:tcW w:w="501" w:type="pct"/>
                  <w:vAlign w:val="bottom"/>
                </w:tcPr>
                <w:p w:rsidR="00AC2131" w:rsidRPr="007E34F5" w:rsidRDefault="00AC2131" w:rsidP="00AC2131">
                  <w:pPr>
                    <w:pStyle w:val="TableBodyText"/>
                    <w:spacing w:after="0"/>
                    <w:ind w:left="0" w:right="57"/>
                  </w:pPr>
                  <w:r w:rsidRPr="007E34F5">
                    <w:t>-1507.7</w:t>
                  </w:r>
                </w:p>
              </w:tc>
              <w:tc>
                <w:tcPr>
                  <w:tcW w:w="501" w:type="pct"/>
                  <w:vAlign w:val="bottom"/>
                </w:tcPr>
                <w:p w:rsidR="00AC2131" w:rsidRPr="007E34F5" w:rsidRDefault="00AC2131" w:rsidP="00AC2131">
                  <w:pPr>
                    <w:pStyle w:val="TableBodyText"/>
                    <w:spacing w:after="0"/>
                    <w:ind w:left="0" w:right="57"/>
                  </w:pPr>
                  <w:r w:rsidRPr="007E34F5">
                    <w:t>-1667.4</w:t>
                  </w:r>
                </w:p>
              </w:tc>
              <w:tc>
                <w:tcPr>
                  <w:tcW w:w="501" w:type="pct"/>
                  <w:shd w:val="clear" w:color="auto" w:fill="auto"/>
                  <w:vAlign w:val="bottom"/>
                </w:tcPr>
                <w:p w:rsidR="00AC2131" w:rsidRPr="007E34F5" w:rsidRDefault="00AC2131" w:rsidP="00AC2131">
                  <w:pPr>
                    <w:pStyle w:val="TableBodyText"/>
                    <w:spacing w:after="0"/>
                    <w:ind w:left="0" w:right="57"/>
                  </w:pPr>
                  <w:r w:rsidRPr="007E34F5">
                    <w:t>-1728.9</w:t>
                  </w:r>
                </w:p>
              </w:tc>
              <w:tc>
                <w:tcPr>
                  <w:tcW w:w="502" w:type="pct"/>
                  <w:shd w:val="clear" w:color="auto" w:fill="auto"/>
                  <w:vAlign w:val="bottom"/>
                </w:tcPr>
                <w:p w:rsidR="00AC2131" w:rsidRPr="007E34F5" w:rsidRDefault="00AC2131" w:rsidP="00AC2131">
                  <w:pPr>
                    <w:pStyle w:val="TableBodyText"/>
                    <w:spacing w:after="0"/>
                    <w:ind w:left="0" w:right="57"/>
                  </w:pPr>
                  <w:r w:rsidRPr="007E34F5">
                    <w:t>-1804.9</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Wholesale trade</w:t>
                  </w:r>
                </w:p>
              </w:tc>
              <w:tc>
                <w:tcPr>
                  <w:tcW w:w="501" w:type="pct"/>
                  <w:vAlign w:val="bottom"/>
                </w:tcPr>
                <w:p w:rsidR="00AC2131" w:rsidRPr="007E34F5" w:rsidRDefault="00AC2131" w:rsidP="00AC2131">
                  <w:pPr>
                    <w:pStyle w:val="TableBodyText"/>
                    <w:spacing w:after="0"/>
                    <w:ind w:left="0" w:right="57"/>
                  </w:pPr>
                  <w:r w:rsidRPr="007E34F5">
                    <w:t>-249.6</w:t>
                  </w:r>
                </w:p>
              </w:tc>
              <w:tc>
                <w:tcPr>
                  <w:tcW w:w="501" w:type="pct"/>
                  <w:vAlign w:val="bottom"/>
                </w:tcPr>
                <w:p w:rsidR="00AC2131" w:rsidRPr="007E34F5" w:rsidRDefault="00AC2131" w:rsidP="00AC2131">
                  <w:pPr>
                    <w:pStyle w:val="TableBodyText"/>
                    <w:spacing w:after="0"/>
                    <w:ind w:left="0" w:right="57"/>
                  </w:pPr>
                  <w:r w:rsidRPr="007E34F5">
                    <w:t>-248.2</w:t>
                  </w:r>
                </w:p>
              </w:tc>
              <w:tc>
                <w:tcPr>
                  <w:tcW w:w="501" w:type="pct"/>
                  <w:vAlign w:val="bottom"/>
                </w:tcPr>
                <w:p w:rsidR="00AC2131" w:rsidRPr="007E34F5" w:rsidRDefault="00AC2131" w:rsidP="00AC2131">
                  <w:pPr>
                    <w:pStyle w:val="TableBodyText"/>
                    <w:spacing w:after="0"/>
                    <w:ind w:left="0" w:right="57"/>
                  </w:pPr>
                  <w:r w:rsidRPr="007E34F5">
                    <w:t>-250.4</w:t>
                  </w:r>
                </w:p>
              </w:tc>
              <w:tc>
                <w:tcPr>
                  <w:tcW w:w="501" w:type="pct"/>
                  <w:vAlign w:val="bottom"/>
                </w:tcPr>
                <w:p w:rsidR="00AC2131" w:rsidRPr="007E34F5" w:rsidRDefault="00AC2131" w:rsidP="00AC2131">
                  <w:pPr>
                    <w:pStyle w:val="TableBodyText"/>
                    <w:spacing w:after="0"/>
                    <w:ind w:left="0" w:right="57"/>
                  </w:pPr>
                  <w:r w:rsidRPr="007E34F5">
                    <w:t>-260.2</w:t>
                  </w:r>
                </w:p>
              </w:tc>
              <w:tc>
                <w:tcPr>
                  <w:tcW w:w="501" w:type="pct"/>
                  <w:shd w:val="clear" w:color="auto" w:fill="auto"/>
                  <w:vAlign w:val="bottom"/>
                </w:tcPr>
                <w:p w:rsidR="00AC2131" w:rsidRPr="007E34F5" w:rsidRDefault="00AC2131" w:rsidP="00AC2131">
                  <w:pPr>
                    <w:pStyle w:val="TableBodyText"/>
                    <w:spacing w:after="0"/>
                    <w:ind w:left="0" w:right="57"/>
                  </w:pPr>
                  <w:r w:rsidRPr="007E34F5">
                    <w:t>-263.2</w:t>
                  </w:r>
                </w:p>
              </w:tc>
              <w:tc>
                <w:tcPr>
                  <w:tcW w:w="502" w:type="pct"/>
                  <w:shd w:val="clear" w:color="auto" w:fill="auto"/>
                  <w:vAlign w:val="bottom"/>
                </w:tcPr>
                <w:p w:rsidR="00AC2131" w:rsidRPr="007E34F5" w:rsidRDefault="00AC2131" w:rsidP="00AC2131">
                  <w:pPr>
                    <w:pStyle w:val="TableBodyText"/>
                    <w:spacing w:after="0"/>
                    <w:ind w:left="0" w:right="57"/>
                  </w:pPr>
                  <w:r w:rsidRPr="007E34F5">
                    <w:t>-262.0</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Retail trade</w:t>
                  </w:r>
                </w:p>
              </w:tc>
              <w:tc>
                <w:tcPr>
                  <w:tcW w:w="501" w:type="pct"/>
                  <w:vAlign w:val="bottom"/>
                </w:tcPr>
                <w:p w:rsidR="00AC2131" w:rsidRPr="007E34F5" w:rsidRDefault="00AC2131" w:rsidP="00AC2131">
                  <w:pPr>
                    <w:pStyle w:val="TableBodyText"/>
                    <w:spacing w:after="0"/>
                    <w:ind w:left="0" w:right="57"/>
                  </w:pPr>
                  <w:r w:rsidRPr="007E34F5">
                    <w:t>-167.4</w:t>
                  </w:r>
                </w:p>
              </w:tc>
              <w:tc>
                <w:tcPr>
                  <w:tcW w:w="501" w:type="pct"/>
                  <w:vAlign w:val="bottom"/>
                </w:tcPr>
                <w:p w:rsidR="00AC2131" w:rsidRPr="007E34F5" w:rsidRDefault="00AC2131" w:rsidP="00AC2131">
                  <w:pPr>
                    <w:pStyle w:val="TableBodyText"/>
                    <w:spacing w:after="0"/>
                    <w:ind w:left="0" w:right="57"/>
                  </w:pPr>
                  <w:r w:rsidRPr="007E34F5">
                    <w:t>-165.5</w:t>
                  </w:r>
                </w:p>
              </w:tc>
              <w:tc>
                <w:tcPr>
                  <w:tcW w:w="501" w:type="pct"/>
                  <w:vAlign w:val="bottom"/>
                </w:tcPr>
                <w:p w:rsidR="00AC2131" w:rsidRPr="007E34F5" w:rsidRDefault="00AC2131" w:rsidP="00AC2131">
                  <w:pPr>
                    <w:pStyle w:val="TableBodyText"/>
                    <w:spacing w:after="0"/>
                    <w:ind w:left="0" w:right="57"/>
                  </w:pPr>
                  <w:r w:rsidRPr="007E34F5">
                    <w:t>-169.6</w:t>
                  </w:r>
                </w:p>
              </w:tc>
              <w:tc>
                <w:tcPr>
                  <w:tcW w:w="501" w:type="pct"/>
                  <w:vAlign w:val="bottom"/>
                </w:tcPr>
                <w:p w:rsidR="00AC2131" w:rsidRPr="007E34F5" w:rsidRDefault="00AC2131" w:rsidP="00AC2131">
                  <w:pPr>
                    <w:pStyle w:val="TableBodyText"/>
                    <w:spacing w:after="0"/>
                    <w:ind w:left="0" w:right="57"/>
                  </w:pPr>
                  <w:r w:rsidRPr="007E34F5">
                    <w:t>-182.1</w:t>
                  </w:r>
                </w:p>
              </w:tc>
              <w:tc>
                <w:tcPr>
                  <w:tcW w:w="501" w:type="pct"/>
                  <w:shd w:val="clear" w:color="auto" w:fill="auto"/>
                  <w:vAlign w:val="bottom"/>
                </w:tcPr>
                <w:p w:rsidR="00AC2131" w:rsidRPr="007E34F5" w:rsidRDefault="00AC2131" w:rsidP="00AC2131">
                  <w:pPr>
                    <w:pStyle w:val="TableBodyText"/>
                    <w:spacing w:after="0"/>
                    <w:ind w:left="0" w:right="57"/>
                  </w:pPr>
                  <w:r w:rsidRPr="007E34F5">
                    <w:t>-186.9</w:t>
                  </w:r>
                </w:p>
              </w:tc>
              <w:tc>
                <w:tcPr>
                  <w:tcW w:w="502" w:type="pct"/>
                  <w:shd w:val="clear" w:color="auto" w:fill="auto"/>
                  <w:vAlign w:val="bottom"/>
                </w:tcPr>
                <w:p w:rsidR="00AC2131" w:rsidRPr="007E34F5" w:rsidRDefault="00AC2131" w:rsidP="00AC2131">
                  <w:pPr>
                    <w:pStyle w:val="TableBodyText"/>
                    <w:spacing w:after="0"/>
                    <w:ind w:left="0" w:right="57"/>
                  </w:pPr>
                  <w:r w:rsidRPr="007E34F5">
                    <w:t>-191.3</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Accommodation &amp; food services</w:t>
                  </w:r>
                </w:p>
              </w:tc>
              <w:tc>
                <w:tcPr>
                  <w:tcW w:w="501" w:type="pct"/>
                  <w:vAlign w:val="bottom"/>
                </w:tcPr>
                <w:p w:rsidR="00AC2131" w:rsidRPr="007E34F5" w:rsidRDefault="00AC2131" w:rsidP="00AC2131">
                  <w:pPr>
                    <w:pStyle w:val="TableBodyText"/>
                    <w:spacing w:after="0"/>
                    <w:ind w:left="0" w:right="57"/>
                  </w:pPr>
                  <w:r w:rsidRPr="007E34F5">
                    <w:t>-450.4</w:t>
                  </w:r>
                </w:p>
              </w:tc>
              <w:tc>
                <w:tcPr>
                  <w:tcW w:w="501" w:type="pct"/>
                  <w:vAlign w:val="bottom"/>
                </w:tcPr>
                <w:p w:rsidR="00AC2131" w:rsidRPr="007E34F5" w:rsidRDefault="00AC2131" w:rsidP="00AC2131">
                  <w:pPr>
                    <w:pStyle w:val="TableBodyText"/>
                    <w:spacing w:after="0"/>
                    <w:ind w:left="0" w:right="57"/>
                  </w:pPr>
                  <w:r w:rsidRPr="007E34F5">
                    <w:t>-469.3</w:t>
                  </w:r>
                </w:p>
              </w:tc>
              <w:tc>
                <w:tcPr>
                  <w:tcW w:w="501" w:type="pct"/>
                  <w:vAlign w:val="bottom"/>
                </w:tcPr>
                <w:p w:rsidR="00AC2131" w:rsidRPr="007E34F5" w:rsidRDefault="00AC2131" w:rsidP="00AC2131">
                  <w:pPr>
                    <w:pStyle w:val="TableBodyText"/>
                    <w:spacing w:after="0"/>
                    <w:ind w:left="0" w:right="57"/>
                  </w:pPr>
                  <w:r w:rsidRPr="007E34F5">
                    <w:t>-493.1</w:t>
                  </w:r>
                </w:p>
              </w:tc>
              <w:tc>
                <w:tcPr>
                  <w:tcW w:w="501" w:type="pct"/>
                  <w:vAlign w:val="bottom"/>
                </w:tcPr>
                <w:p w:rsidR="00AC2131" w:rsidRPr="007E34F5" w:rsidRDefault="00AC2131" w:rsidP="00AC2131">
                  <w:pPr>
                    <w:pStyle w:val="TableBodyText"/>
                    <w:spacing w:after="0"/>
                    <w:ind w:left="0" w:right="57"/>
                  </w:pPr>
                  <w:r w:rsidRPr="007E34F5">
                    <w:t>-526.2</w:t>
                  </w:r>
                </w:p>
              </w:tc>
              <w:tc>
                <w:tcPr>
                  <w:tcW w:w="501" w:type="pct"/>
                  <w:shd w:val="clear" w:color="auto" w:fill="auto"/>
                  <w:vAlign w:val="bottom"/>
                </w:tcPr>
                <w:p w:rsidR="00AC2131" w:rsidRPr="007E34F5" w:rsidRDefault="00AC2131" w:rsidP="00AC2131">
                  <w:pPr>
                    <w:pStyle w:val="TableBodyText"/>
                    <w:spacing w:after="0"/>
                    <w:ind w:left="0" w:right="57"/>
                  </w:pPr>
                  <w:r w:rsidRPr="007E34F5">
                    <w:t>-540.9</w:t>
                  </w:r>
                </w:p>
              </w:tc>
              <w:tc>
                <w:tcPr>
                  <w:tcW w:w="502" w:type="pct"/>
                  <w:shd w:val="clear" w:color="auto" w:fill="auto"/>
                  <w:vAlign w:val="bottom"/>
                </w:tcPr>
                <w:p w:rsidR="00AC2131" w:rsidRPr="007E34F5" w:rsidRDefault="00AC2131" w:rsidP="00AC2131">
                  <w:pPr>
                    <w:pStyle w:val="TableBodyText"/>
                    <w:spacing w:after="0"/>
                    <w:ind w:left="0" w:right="57"/>
                  </w:pPr>
                  <w:r w:rsidRPr="007E34F5">
                    <w:t>-543.8</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Transport, postal &amp; warehousing</w:t>
                  </w:r>
                </w:p>
              </w:tc>
              <w:tc>
                <w:tcPr>
                  <w:tcW w:w="501" w:type="pct"/>
                  <w:vAlign w:val="bottom"/>
                </w:tcPr>
                <w:p w:rsidR="00AC2131" w:rsidRPr="007E34F5" w:rsidRDefault="00AC2131" w:rsidP="00AC2131">
                  <w:pPr>
                    <w:pStyle w:val="TableBodyText"/>
                    <w:spacing w:after="0"/>
                    <w:ind w:left="0" w:right="57"/>
                  </w:pPr>
                  <w:r w:rsidRPr="007E34F5">
                    <w:t>-225.2</w:t>
                  </w:r>
                </w:p>
              </w:tc>
              <w:tc>
                <w:tcPr>
                  <w:tcW w:w="501" w:type="pct"/>
                  <w:vAlign w:val="bottom"/>
                </w:tcPr>
                <w:p w:rsidR="00AC2131" w:rsidRPr="007E34F5" w:rsidRDefault="00AC2131" w:rsidP="00AC2131">
                  <w:pPr>
                    <w:pStyle w:val="TableBodyText"/>
                    <w:spacing w:after="0"/>
                    <w:ind w:left="0" w:right="57"/>
                  </w:pPr>
                  <w:r w:rsidRPr="007E34F5">
                    <w:t>-203.0</w:t>
                  </w:r>
                </w:p>
              </w:tc>
              <w:tc>
                <w:tcPr>
                  <w:tcW w:w="501" w:type="pct"/>
                  <w:vAlign w:val="bottom"/>
                </w:tcPr>
                <w:p w:rsidR="00AC2131" w:rsidRPr="007E34F5" w:rsidRDefault="00AC2131" w:rsidP="00AC2131">
                  <w:pPr>
                    <w:pStyle w:val="TableBodyText"/>
                    <w:spacing w:after="0"/>
                    <w:ind w:left="0" w:right="57"/>
                  </w:pPr>
                  <w:r w:rsidRPr="007E34F5">
                    <w:t>-187.3</w:t>
                  </w:r>
                </w:p>
              </w:tc>
              <w:tc>
                <w:tcPr>
                  <w:tcW w:w="501" w:type="pct"/>
                  <w:vAlign w:val="bottom"/>
                </w:tcPr>
                <w:p w:rsidR="00AC2131" w:rsidRPr="007E34F5" w:rsidRDefault="00AC2131" w:rsidP="00AC2131">
                  <w:pPr>
                    <w:pStyle w:val="TableBodyText"/>
                    <w:spacing w:after="0"/>
                    <w:ind w:left="0" w:right="57"/>
                  </w:pPr>
                  <w:r w:rsidRPr="007E34F5">
                    <w:t>-204.7</w:t>
                  </w:r>
                </w:p>
              </w:tc>
              <w:tc>
                <w:tcPr>
                  <w:tcW w:w="501" w:type="pct"/>
                  <w:shd w:val="clear" w:color="auto" w:fill="auto"/>
                  <w:vAlign w:val="bottom"/>
                </w:tcPr>
                <w:p w:rsidR="00AC2131" w:rsidRPr="007E34F5" w:rsidRDefault="00AC2131" w:rsidP="00AC2131">
                  <w:pPr>
                    <w:pStyle w:val="TableBodyText"/>
                    <w:spacing w:after="0"/>
                    <w:ind w:left="0" w:right="57"/>
                  </w:pPr>
                  <w:r w:rsidRPr="007E34F5">
                    <w:t>-214.0</w:t>
                  </w:r>
                </w:p>
              </w:tc>
              <w:tc>
                <w:tcPr>
                  <w:tcW w:w="502" w:type="pct"/>
                  <w:shd w:val="clear" w:color="auto" w:fill="auto"/>
                  <w:vAlign w:val="bottom"/>
                </w:tcPr>
                <w:p w:rsidR="00AC2131" w:rsidRPr="007E34F5" w:rsidRDefault="00AC2131" w:rsidP="00AC2131">
                  <w:pPr>
                    <w:pStyle w:val="TableBodyText"/>
                    <w:spacing w:after="0"/>
                    <w:ind w:left="0" w:right="57"/>
                  </w:pPr>
                  <w:r w:rsidRPr="007E34F5">
                    <w:t>-216.1</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Information &amp; telecommunications</w:t>
                  </w:r>
                </w:p>
              </w:tc>
              <w:tc>
                <w:tcPr>
                  <w:tcW w:w="501" w:type="pct"/>
                  <w:vAlign w:val="bottom"/>
                </w:tcPr>
                <w:p w:rsidR="00AC2131" w:rsidRPr="007E34F5" w:rsidRDefault="00AC2131" w:rsidP="00AC2131">
                  <w:pPr>
                    <w:pStyle w:val="TableBodyText"/>
                    <w:spacing w:after="0"/>
                    <w:ind w:left="0" w:right="57"/>
                  </w:pPr>
                  <w:r w:rsidRPr="007E34F5">
                    <w:t>-148.7</w:t>
                  </w:r>
                </w:p>
              </w:tc>
              <w:tc>
                <w:tcPr>
                  <w:tcW w:w="501" w:type="pct"/>
                  <w:vAlign w:val="bottom"/>
                </w:tcPr>
                <w:p w:rsidR="00AC2131" w:rsidRPr="007E34F5" w:rsidRDefault="00AC2131" w:rsidP="00AC2131">
                  <w:pPr>
                    <w:pStyle w:val="TableBodyText"/>
                    <w:spacing w:after="0"/>
                    <w:ind w:left="0" w:right="57"/>
                  </w:pPr>
                  <w:r w:rsidRPr="007E34F5">
                    <w:t>-150.4</w:t>
                  </w:r>
                </w:p>
              </w:tc>
              <w:tc>
                <w:tcPr>
                  <w:tcW w:w="501" w:type="pct"/>
                  <w:vAlign w:val="bottom"/>
                </w:tcPr>
                <w:p w:rsidR="00AC2131" w:rsidRPr="007E34F5" w:rsidRDefault="00AC2131" w:rsidP="00AC2131">
                  <w:pPr>
                    <w:pStyle w:val="TableBodyText"/>
                    <w:spacing w:after="0"/>
                    <w:ind w:left="0" w:right="57"/>
                  </w:pPr>
                  <w:r w:rsidRPr="007E34F5">
                    <w:t>-143.3</w:t>
                  </w:r>
                </w:p>
              </w:tc>
              <w:tc>
                <w:tcPr>
                  <w:tcW w:w="501" w:type="pct"/>
                  <w:vAlign w:val="bottom"/>
                </w:tcPr>
                <w:p w:rsidR="00AC2131" w:rsidRPr="007E34F5" w:rsidRDefault="00AC2131" w:rsidP="00AC2131">
                  <w:pPr>
                    <w:pStyle w:val="TableBodyText"/>
                    <w:spacing w:after="0"/>
                    <w:ind w:left="0" w:right="57"/>
                  </w:pPr>
                  <w:r w:rsidRPr="007E34F5">
                    <w:t>-145.8</w:t>
                  </w:r>
                </w:p>
              </w:tc>
              <w:tc>
                <w:tcPr>
                  <w:tcW w:w="501" w:type="pct"/>
                  <w:shd w:val="clear" w:color="auto" w:fill="auto"/>
                  <w:vAlign w:val="bottom"/>
                </w:tcPr>
                <w:p w:rsidR="00AC2131" w:rsidRPr="007E34F5" w:rsidRDefault="00AC2131" w:rsidP="00AC2131">
                  <w:pPr>
                    <w:pStyle w:val="TableBodyText"/>
                    <w:spacing w:after="0"/>
                    <w:ind w:left="0" w:right="57"/>
                  </w:pPr>
                  <w:r w:rsidRPr="007E34F5">
                    <w:t>-146.8</w:t>
                  </w:r>
                </w:p>
              </w:tc>
              <w:tc>
                <w:tcPr>
                  <w:tcW w:w="502" w:type="pct"/>
                  <w:shd w:val="clear" w:color="auto" w:fill="auto"/>
                  <w:vAlign w:val="bottom"/>
                </w:tcPr>
                <w:p w:rsidR="00AC2131" w:rsidRPr="007E34F5" w:rsidRDefault="00AC2131" w:rsidP="00AC2131">
                  <w:pPr>
                    <w:pStyle w:val="TableBodyText"/>
                    <w:spacing w:after="0"/>
                    <w:ind w:left="0" w:right="57"/>
                  </w:pPr>
                  <w:r w:rsidRPr="007E34F5">
                    <w:t>-151.0</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Financial and insurance services</w:t>
                  </w:r>
                </w:p>
              </w:tc>
              <w:tc>
                <w:tcPr>
                  <w:tcW w:w="501" w:type="pct"/>
                  <w:vAlign w:val="bottom"/>
                </w:tcPr>
                <w:p w:rsidR="00AC2131" w:rsidRPr="007E34F5" w:rsidRDefault="00AC2131" w:rsidP="00AC2131">
                  <w:pPr>
                    <w:pStyle w:val="TableBodyText"/>
                    <w:spacing w:after="0"/>
                    <w:ind w:left="0" w:right="57"/>
                  </w:pPr>
                  <w:r w:rsidRPr="007E34F5">
                    <w:t>-8.4</w:t>
                  </w:r>
                </w:p>
              </w:tc>
              <w:tc>
                <w:tcPr>
                  <w:tcW w:w="501" w:type="pct"/>
                  <w:vAlign w:val="bottom"/>
                </w:tcPr>
                <w:p w:rsidR="00AC2131" w:rsidRPr="007E34F5" w:rsidRDefault="00AC2131" w:rsidP="00AC2131">
                  <w:pPr>
                    <w:pStyle w:val="TableBodyText"/>
                    <w:spacing w:after="0"/>
                    <w:ind w:left="0" w:right="57"/>
                  </w:pPr>
                  <w:r w:rsidRPr="007E34F5">
                    <w:t>-8.5</w:t>
                  </w:r>
                </w:p>
              </w:tc>
              <w:tc>
                <w:tcPr>
                  <w:tcW w:w="501" w:type="pct"/>
                  <w:vAlign w:val="bottom"/>
                </w:tcPr>
                <w:p w:rsidR="00AC2131" w:rsidRPr="007E34F5" w:rsidRDefault="00AC2131" w:rsidP="00AC2131">
                  <w:pPr>
                    <w:pStyle w:val="TableBodyText"/>
                    <w:spacing w:after="0"/>
                    <w:ind w:left="0" w:right="57"/>
                  </w:pPr>
                  <w:r w:rsidRPr="007E34F5">
                    <w:t>-9.0</w:t>
                  </w:r>
                </w:p>
              </w:tc>
              <w:tc>
                <w:tcPr>
                  <w:tcW w:w="501" w:type="pct"/>
                  <w:vAlign w:val="bottom"/>
                </w:tcPr>
                <w:p w:rsidR="00AC2131" w:rsidRPr="007E34F5" w:rsidRDefault="00AC2131" w:rsidP="00AC2131">
                  <w:pPr>
                    <w:pStyle w:val="TableBodyText"/>
                    <w:spacing w:after="0"/>
                    <w:ind w:left="0" w:right="57"/>
                  </w:pPr>
                  <w:r w:rsidRPr="007E34F5">
                    <w:t>-9.3</w:t>
                  </w:r>
                </w:p>
              </w:tc>
              <w:tc>
                <w:tcPr>
                  <w:tcW w:w="501" w:type="pct"/>
                  <w:shd w:val="clear" w:color="auto" w:fill="auto"/>
                  <w:vAlign w:val="bottom"/>
                </w:tcPr>
                <w:p w:rsidR="00AC2131" w:rsidRPr="007E34F5" w:rsidRDefault="00AC2131" w:rsidP="00AC2131">
                  <w:pPr>
                    <w:pStyle w:val="TableBodyText"/>
                    <w:spacing w:after="0"/>
                    <w:ind w:left="0" w:right="57"/>
                  </w:pPr>
                  <w:r w:rsidRPr="007E34F5">
                    <w:t>-9.8</w:t>
                  </w:r>
                </w:p>
              </w:tc>
              <w:tc>
                <w:tcPr>
                  <w:tcW w:w="502" w:type="pct"/>
                  <w:shd w:val="clear" w:color="auto" w:fill="auto"/>
                  <w:vAlign w:val="bottom"/>
                </w:tcPr>
                <w:p w:rsidR="00AC2131" w:rsidRPr="007E34F5" w:rsidRDefault="00AC2131" w:rsidP="00AC2131">
                  <w:pPr>
                    <w:pStyle w:val="TableBodyText"/>
                    <w:spacing w:after="0"/>
                    <w:ind w:left="0" w:right="57"/>
                  </w:pPr>
                  <w:r w:rsidRPr="007E34F5">
                    <w:t>-10.5</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Property, professional &amp; admin.</w:t>
                  </w:r>
                </w:p>
              </w:tc>
              <w:tc>
                <w:tcPr>
                  <w:tcW w:w="501" w:type="pct"/>
                  <w:vAlign w:val="bottom"/>
                </w:tcPr>
                <w:p w:rsidR="00AC2131" w:rsidRPr="007E34F5" w:rsidRDefault="00AC2131" w:rsidP="00AC2131">
                  <w:pPr>
                    <w:pStyle w:val="TableBodyText"/>
                    <w:spacing w:after="0"/>
                    <w:ind w:left="0" w:right="57"/>
                  </w:pPr>
                  <w:r w:rsidRPr="007E34F5">
                    <w:t>-511.9</w:t>
                  </w:r>
                </w:p>
              </w:tc>
              <w:tc>
                <w:tcPr>
                  <w:tcW w:w="501" w:type="pct"/>
                  <w:vAlign w:val="bottom"/>
                </w:tcPr>
                <w:p w:rsidR="00AC2131" w:rsidRPr="007E34F5" w:rsidRDefault="00AC2131" w:rsidP="00AC2131">
                  <w:pPr>
                    <w:pStyle w:val="TableBodyText"/>
                    <w:spacing w:after="0"/>
                    <w:ind w:left="0" w:right="57"/>
                  </w:pPr>
                  <w:r w:rsidRPr="007E34F5">
                    <w:t>-528.0</w:t>
                  </w:r>
                </w:p>
              </w:tc>
              <w:tc>
                <w:tcPr>
                  <w:tcW w:w="501" w:type="pct"/>
                  <w:vAlign w:val="bottom"/>
                </w:tcPr>
                <w:p w:rsidR="00AC2131" w:rsidRPr="007E34F5" w:rsidRDefault="00AC2131" w:rsidP="00AC2131">
                  <w:pPr>
                    <w:pStyle w:val="TableBodyText"/>
                    <w:spacing w:after="0"/>
                    <w:ind w:left="0" w:right="57"/>
                  </w:pPr>
                  <w:r w:rsidRPr="007E34F5">
                    <w:t>-543.9</w:t>
                  </w:r>
                </w:p>
              </w:tc>
              <w:tc>
                <w:tcPr>
                  <w:tcW w:w="501" w:type="pct"/>
                  <w:vAlign w:val="bottom"/>
                </w:tcPr>
                <w:p w:rsidR="00AC2131" w:rsidRPr="007E34F5" w:rsidRDefault="00AC2131" w:rsidP="00AC2131">
                  <w:pPr>
                    <w:pStyle w:val="TableBodyText"/>
                    <w:spacing w:after="0"/>
                    <w:ind w:left="0" w:right="57"/>
                  </w:pPr>
                  <w:r w:rsidRPr="007E34F5">
                    <w:t>-589.7</w:t>
                  </w:r>
                </w:p>
              </w:tc>
              <w:tc>
                <w:tcPr>
                  <w:tcW w:w="501" w:type="pct"/>
                  <w:shd w:val="clear" w:color="auto" w:fill="auto"/>
                  <w:vAlign w:val="bottom"/>
                </w:tcPr>
                <w:p w:rsidR="00AC2131" w:rsidRPr="007E34F5" w:rsidRDefault="00AC2131" w:rsidP="00AC2131">
                  <w:pPr>
                    <w:pStyle w:val="TableBodyText"/>
                    <w:spacing w:after="0"/>
                    <w:ind w:left="0" w:right="57"/>
                  </w:pPr>
                  <w:r w:rsidRPr="007E34F5">
                    <w:t>-619.7</w:t>
                  </w:r>
                </w:p>
              </w:tc>
              <w:tc>
                <w:tcPr>
                  <w:tcW w:w="502" w:type="pct"/>
                  <w:shd w:val="clear" w:color="auto" w:fill="auto"/>
                  <w:vAlign w:val="bottom"/>
                </w:tcPr>
                <w:p w:rsidR="00AC2131" w:rsidRPr="007E34F5" w:rsidRDefault="00AC2131" w:rsidP="00AC2131">
                  <w:pPr>
                    <w:pStyle w:val="TableBodyText"/>
                    <w:spacing w:after="0"/>
                    <w:ind w:left="0" w:right="57"/>
                  </w:pPr>
                  <w:r w:rsidRPr="007E34F5">
                    <w:t>-637.2</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Public administration and safety</w:t>
                  </w:r>
                </w:p>
              </w:tc>
              <w:tc>
                <w:tcPr>
                  <w:tcW w:w="501" w:type="pct"/>
                  <w:vAlign w:val="bottom"/>
                </w:tcPr>
                <w:p w:rsidR="00AC2131" w:rsidRPr="007E34F5" w:rsidRDefault="00AC2131" w:rsidP="00AC2131">
                  <w:pPr>
                    <w:pStyle w:val="TableBodyText"/>
                    <w:spacing w:after="0"/>
                    <w:ind w:left="0" w:right="57"/>
                  </w:pPr>
                  <w:r w:rsidRPr="007E34F5">
                    <w:t>-204.3</w:t>
                  </w:r>
                </w:p>
              </w:tc>
              <w:tc>
                <w:tcPr>
                  <w:tcW w:w="501" w:type="pct"/>
                  <w:vAlign w:val="bottom"/>
                </w:tcPr>
                <w:p w:rsidR="00AC2131" w:rsidRPr="007E34F5" w:rsidRDefault="00AC2131" w:rsidP="00AC2131">
                  <w:pPr>
                    <w:pStyle w:val="TableBodyText"/>
                    <w:spacing w:after="0"/>
                    <w:ind w:left="0" w:right="57"/>
                  </w:pPr>
                  <w:r w:rsidRPr="007E34F5">
                    <w:t>-202.0</w:t>
                  </w:r>
                </w:p>
              </w:tc>
              <w:tc>
                <w:tcPr>
                  <w:tcW w:w="501" w:type="pct"/>
                  <w:vAlign w:val="bottom"/>
                </w:tcPr>
                <w:p w:rsidR="00AC2131" w:rsidRPr="007E34F5" w:rsidRDefault="00AC2131" w:rsidP="00AC2131">
                  <w:pPr>
                    <w:pStyle w:val="TableBodyText"/>
                    <w:spacing w:after="0"/>
                    <w:ind w:left="0" w:right="57"/>
                  </w:pPr>
                  <w:r w:rsidRPr="007E34F5">
                    <w:t>-200.5</w:t>
                  </w:r>
                </w:p>
              </w:tc>
              <w:tc>
                <w:tcPr>
                  <w:tcW w:w="501" w:type="pct"/>
                  <w:vAlign w:val="bottom"/>
                </w:tcPr>
                <w:p w:rsidR="00AC2131" w:rsidRPr="007E34F5" w:rsidRDefault="00AC2131" w:rsidP="00AC2131">
                  <w:pPr>
                    <w:pStyle w:val="TableBodyText"/>
                    <w:spacing w:after="0"/>
                    <w:ind w:left="0" w:right="57"/>
                  </w:pPr>
                  <w:r w:rsidRPr="007E34F5">
                    <w:t>-212.8</w:t>
                  </w:r>
                </w:p>
              </w:tc>
              <w:tc>
                <w:tcPr>
                  <w:tcW w:w="501" w:type="pct"/>
                  <w:shd w:val="clear" w:color="auto" w:fill="auto"/>
                  <w:vAlign w:val="bottom"/>
                </w:tcPr>
                <w:p w:rsidR="00AC2131" w:rsidRPr="007E34F5" w:rsidRDefault="00AC2131" w:rsidP="00AC2131">
                  <w:pPr>
                    <w:pStyle w:val="TableBodyText"/>
                    <w:spacing w:after="0"/>
                    <w:ind w:left="0" w:right="57"/>
                  </w:pPr>
                  <w:r w:rsidRPr="007E34F5">
                    <w:t>-219.4</w:t>
                  </w:r>
                </w:p>
              </w:tc>
              <w:tc>
                <w:tcPr>
                  <w:tcW w:w="502" w:type="pct"/>
                  <w:shd w:val="clear" w:color="auto" w:fill="auto"/>
                  <w:vAlign w:val="bottom"/>
                </w:tcPr>
                <w:p w:rsidR="00AC2131" w:rsidRPr="007E34F5" w:rsidRDefault="00AC2131" w:rsidP="00AC2131">
                  <w:pPr>
                    <w:pStyle w:val="TableBodyText"/>
                    <w:spacing w:after="0"/>
                    <w:ind w:left="0" w:right="57"/>
                  </w:pPr>
                  <w:r w:rsidRPr="007E34F5">
                    <w:t>-228.2</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Education and training</w:t>
                  </w:r>
                </w:p>
              </w:tc>
              <w:tc>
                <w:tcPr>
                  <w:tcW w:w="501" w:type="pct"/>
                  <w:vAlign w:val="bottom"/>
                </w:tcPr>
                <w:p w:rsidR="00AC2131" w:rsidRPr="007E34F5" w:rsidRDefault="00AC2131" w:rsidP="00AC2131">
                  <w:pPr>
                    <w:pStyle w:val="TableBodyText"/>
                    <w:spacing w:after="0"/>
                    <w:ind w:left="0" w:right="57"/>
                  </w:pPr>
                  <w:r w:rsidRPr="007E34F5">
                    <w:t>-101.9</w:t>
                  </w:r>
                </w:p>
              </w:tc>
              <w:tc>
                <w:tcPr>
                  <w:tcW w:w="501" w:type="pct"/>
                  <w:vAlign w:val="bottom"/>
                </w:tcPr>
                <w:p w:rsidR="00AC2131" w:rsidRPr="007E34F5" w:rsidRDefault="00AC2131" w:rsidP="00AC2131">
                  <w:pPr>
                    <w:pStyle w:val="TableBodyText"/>
                    <w:spacing w:after="0"/>
                    <w:ind w:left="0" w:right="57"/>
                  </w:pPr>
                  <w:r w:rsidRPr="007E34F5">
                    <w:t>-105.0</w:t>
                  </w:r>
                </w:p>
              </w:tc>
              <w:tc>
                <w:tcPr>
                  <w:tcW w:w="501" w:type="pct"/>
                  <w:vAlign w:val="bottom"/>
                </w:tcPr>
                <w:p w:rsidR="00AC2131" w:rsidRPr="007E34F5" w:rsidRDefault="00AC2131" w:rsidP="00AC2131">
                  <w:pPr>
                    <w:pStyle w:val="TableBodyText"/>
                    <w:spacing w:after="0"/>
                    <w:ind w:left="0" w:right="57"/>
                  </w:pPr>
                  <w:r w:rsidRPr="007E34F5">
                    <w:t>-105.8</w:t>
                  </w:r>
                </w:p>
              </w:tc>
              <w:tc>
                <w:tcPr>
                  <w:tcW w:w="501" w:type="pct"/>
                  <w:vAlign w:val="bottom"/>
                </w:tcPr>
                <w:p w:rsidR="00AC2131" w:rsidRPr="007E34F5" w:rsidRDefault="00AC2131" w:rsidP="00AC2131">
                  <w:pPr>
                    <w:pStyle w:val="TableBodyText"/>
                    <w:spacing w:after="0"/>
                    <w:ind w:left="0" w:right="57"/>
                  </w:pPr>
                  <w:r w:rsidRPr="007E34F5">
                    <w:t>-115.0</w:t>
                  </w:r>
                </w:p>
              </w:tc>
              <w:tc>
                <w:tcPr>
                  <w:tcW w:w="501" w:type="pct"/>
                  <w:shd w:val="clear" w:color="auto" w:fill="auto"/>
                  <w:vAlign w:val="bottom"/>
                </w:tcPr>
                <w:p w:rsidR="00AC2131" w:rsidRPr="007E34F5" w:rsidRDefault="00AC2131" w:rsidP="00AC2131">
                  <w:pPr>
                    <w:pStyle w:val="TableBodyText"/>
                    <w:spacing w:after="0"/>
                    <w:ind w:left="0" w:right="57"/>
                  </w:pPr>
                  <w:r w:rsidRPr="007E34F5">
                    <w:t>-120.7</w:t>
                  </w:r>
                </w:p>
              </w:tc>
              <w:tc>
                <w:tcPr>
                  <w:tcW w:w="502" w:type="pct"/>
                  <w:shd w:val="clear" w:color="auto" w:fill="auto"/>
                  <w:vAlign w:val="bottom"/>
                </w:tcPr>
                <w:p w:rsidR="00AC2131" w:rsidRPr="007E34F5" w:rsidRDefault="00AC2131" w:rsidP="00AC2131">
                  <w:pPr>
                    <w:pStyle w:val="TableBodyText"/>
                    <w:spacing w:after="0"/>
                    <w:ind w:left="0" w:right="57"/>
                  </w:pPr>
                  <w:r w:rsidRPr="007E34F5">
                    <w:t>-126.8</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Health care and social assistance</w:t>
                  </w:r>
                </w:p>
              </w:tc>
              <w:tc>
                <w:tcPr>
                  <w:tcW w:w="501" w:type="pct"/>
                  <w:vAlign w:val="bottom"/>
                </w:tcPr>
                <w:p w:rsidR="00AC2131" w:rsidRPr="007E34F5" w:rsidRDefault="00AC2131" w:rsidP="00AC2131">
                  <w:pPr>
                    <w:pStyle w:val="TableBodyText"/>
                    <w:spacing w:after="0"/>
                    <w:ind w:left="0" w:right="57"/>
                  </w:pPr>
                  <w:r w:rsidRPr="007E34F5">
                    <w:t>-242.5</w:t>
                  </w:r>
                </w:p>
              </w:tc>
              <w:tc>
                <w:tcPr>
                  <w:tcW w:w="501" w:type="pct"/>
                  <w:vAlign w:val="bottom"/>
                </w:tcPr>
                <w:p w:rsidR="00AC2131" w:rsidRPr="007E34F5" w:rsidRDefault="00AC2131" w:rsidP="00AC2131">
                  <w:pPr>
                    <w:pStyle w:val="TableBodyText"/>
                    <w:spacing w:after="0"/>
                    <w:ind w:left="0" w:right="57"/>
                  </w:pPr>
                  <w:r w:rsidRPr="007E34F5">
                    <w:t>-242.9</w:t>
                  </w:r>
                </w:p>
              </w:tc>
              <w:tc>
                <w:tcPr>
                  <w:tcW w:w="501" w:type="pct"/>
                  <w:vAlign w:val="bottom"/>
                </w:tcPr>
                <w:p w:rsidR="00AC2131" w:rsidRPr="007E34F5" w:rsidRDefault="00AC2131" w:rsidP="00AC2131">
                  <w:pPr>
                    <w:pStyle w:val="TableBodyText"/>
                    <w:spacing w:after="0"/>
                    <w:ind w:left="0" w:right="57"/>
                  </w:pPr>
                  <w:r w:rsidRPr="007E34F5">
                    <w:t>-244.3</w:t>
                  </w:r>
                </w:p>
              </w:tc>
              <w:tc>
                <w:tcPr>
                  <w:tcW w:w="501" w:type="pct"/>
                  <w:vAlign w:val="bottom"/>
                </w:tcPr>
                <w:p w:rsidR="00AC2131" w:rsidRPr="007E34F5" w:rsidRDefault="00AC2131" w:rsidP="00AC2131">
                  <w:pPr>
                    <w:pStyle w:val="TableBodyText"/>
                    <w:spacing w:after="0"/>
                    <w:ind w:left="0" w:right="57"/>
                  </w:pPr>
                  <w:r w:rsidRPr="007E34F5">
                    <w:t>-255.4</w:t>
                  </w:r>
                </w:p>
              </w:tc>
              <w:tc>
                <w:tcPr>
                  <w:tcW w:w="501" w:type="pct"/>
                  <w:shd w:val="clear" w:color="auto" w:fill="auto"/>
                  <w:vAlign w:val="bottom"/>
                </w:tcPr>
                <w:p w:rsidR="00AC2131" w:rsidRPr="007E34F5" w:rsidRDefault="00AC2131" w:rsidP="00AC2131">
                  <w:pPr>
                    <w:pStyle w:val="TableBodyText"/>
                    <w:spacing w:after="0"/>
                    <w:ind w:left="0" w:right="57"/>
                  </w:pPr>
                  <w:r w:rsidRPr="007E34F5">
                    <w:t>-269.1</w:t>
                  </w:r>
                </w:p>
              </w:tc>
              <w:tc>
                <w:tcPr>
                  <w:tcW w:w="502" w:type="pct"/>
                  <w:shd w:val="clear" w:color="auto" w:fill="auto"/>
                  <w:vAlign w:val="bottom"/>
                </w:tcPr>
                <w:p w:rsidR="00AC2131" w:rsidRPr="007E34F5" w:rsidRDefault="00AC2131" w:rsidP="00AC2131">
                  <w:pPr>
                    <w:pStyle w:val="TableBodyText"/>
                    <w:spacing w:after="0"/>
                    <w:ind w:left="0" w:right="57"/>
                  </w:pPr>
                  <w:r w:rsidRPr="007E34F5">
                    <w:t>-281.6</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Arts and recreation services</w:t>
                  </w:r>
                </w:p>
              </w:tc>
              <w:tc>
                <w:tcPr>
                  <w:tcW w:w="501" w:type="pct"/>
                  <w:vAlign w:val="bottom"/>
                </w:tcPr>
                <w:p w:rsidR="00AC2131" w:rsidRPr="007E34F5" w:rsidRDefault="00AC2131" w:rsidP="00AC2131">
                  <w:pPr>
                    <w:pStyle w:val="TableBodyText"/>
                    <w:spacing w:after="0"/>
                    <w:ind w:left="0" w:right="57"/>
                  </w:pPr>
                  <w:r w:rsidRPr="007E34F5">
                    <w:t>-74.5</w:t>
                  </w:r>
                </w:p>
              </w:tc>
              <w:tc>
                <w:tcPr>
                  <w:tcW w:w="501" w:type="pct"/>
                  <w:vAlign w:val="bottom"/>
                </w:tcPr>
                <w:p w:rsidR="00AC2131" w:rsidRPr="007E34F5" w:rsidRDefault="00AC2131" w:rsidP="00AC2131">
                  <w:pPr>
                    <w:pStyle w:val="TableBodyText"/>
                    <w:spacing w:after="0"/>
                    <w:ind w:left="0" w:right="57"/>
                  </w:pPr>
                  <w:r w:rsidRPr="007E34F5">
                    <w:t>-74.7</w:t>
                  </w:r>
                </w:p>
              </w:tc>
              <w:tc>
                <w:tcPr>
                  <w:tcW w:w="501" w:type="pct"/>
                  <w:vAlign w:val="bottom"/>
                </w:tcPr>
                <w:p w:rsidR="00AC2131" w:rsidRPr="007E34F5" w:rsidRDefault="00AC2131" w:rsidP="00AC2131">
                  <w:pPr>
                    <w:pStyle w:val="TableBodyText"/>
                    <w:spacing w:after="0"/>
                    <w:ind w:left="0" w:right="57"/>
                  </w:pPr>
                  <w:r w:rsidRPr="007E34F5">
                    <w:t>-73.3</w:t>
                  </w:r>
                </w:p>
              </w:tc>
              <w:tc>
                <w:tcPr>
                  <w:tcW w:w="501" w:type="pct"/>
                  <w:vAlign w:val="bottom"/>
                </w:tcPr>
                <w:p w:rsidR="00AC2131" w:rsidRPr="007E34F5" w:rsidRDefault="00AC2131" w:rsidP="00AC2131">
                  <w:pPr>
                    <w:pStyle w:val="TableBodyText"/>
                    <w:spacing w:after="0"/>
                    <w:ind w:left="0" w:right="57"/>
                  </w:pPr>
                  <w:r w:rsidRPr="007E34F5">
                    <w:t>-77.0</w:t>
                  </w:r>
                </w:p>
              </w:tc>
              <w:tc>
                <w:tcPr>
                  <w:tcW w:w="501" w:type="pct"/>
                  <w:shd w:val="clear" w:color="auto" w:fill="auto"/>
                  <w:vAlign w:val="bottom"/>
                </w:tcPr>
                <w:p w:rsidR="00AC2131" w:rsidRPr="007E34F5" w:rsidRDefault="00AC2131" w:rsidP="00AC2131">
                  <w:pPr>
                    <w:pStyle w:val="TableBodyText"/>
                    <w:spacing w:after="0"/>
                    <w:ind w:left="0" w:right="57"/>
                  </w:pPr>
                  <w:r w:rsidRPr="007E34F5">
                    <w:t>-77.6</w:t>
                  </w:r>
                </w:p>
              </w:tc>
              <w:tc>
                <w:tcPr>
                  <w:tcW w:w="502" w:type="pct"/>
                  <w:shd w:val="clear" w:color="auto" w:fill="auto"/>
                  <w:vAlign w:val="bottom"/>
                </w:tcPr>
                <w:p w:rsidR="00AC2131" w:rsidRPr="007E34F5" w:rsidRDefault="00AC2131" w:rsidP="00AC2131">
                  <w:pPr>
                    <w:pStyle w:val="TableBodyText"/>
                    <w:spacing w:after="0"/>
                    <w:ind w:left="0" w:right="57"/>
                  </w:pPr>
                  <w:r w:rsidRPr="007E34F5">
                    <w:t>-82.7</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Other services</w:t>
                  </w:r>
                </w:p>
              </w:tc>
              <w:tc>
                <w:tcPr>
                  <w:tcW w:w="501" w:type="pct"/>
                  <w:vAlign w:val="bottom"/>
                </w:tcPr>
                <w:p w:rsidR="00AC2131" w:rsidRPr="007E34F5" w:rsidRDefault="00AC2131" w:rsidP="00AC2131">
                  <w:pPr>
                    <w:pStyle w:val="TableBodyText"/>
                    <w:spacing w:after="0"/>
                    <w:ind w:left="0" w:right="57"/>
                  </w:pPr>
                  <w:r w:rsidRPr="007E34F5">
                    <w:t>-319.7</w:t>
                  </w:r>
                </w:p>
              </w:tc>
              <w:tc>
                <w:tcPr>
                  <w:tcW w:w="501" w:type="pct"/>
                  <w:vAlign w:val="bottom"/>
                </w:tcPr>
                <w:p w:rsidR="00AC2131" w:rsidRPr="007E34F5" w:rsidRDefault="00AC2131" w:rsidP="00AC2131">
                  <w:pPr>
                    <w:pStyle w:val="TableBodyText"/>
                    <w:spacing w:after="0"/>
                    <w:ind w:left="0" w:right="57"/>
                  </w:pPr>
                  <w:r w:rsidRPr="007E34F5">
                    <w:t>-295.5</w:t>
                  </w:r>
                </w:p>
              </w:tc>
              <w:tc>
                <w:tcPr>
                  <w:tcW w:w="501" w:type="pct"/>
                  <w:vAlign w:val="bottom"/>
                </w:tcPr>
                <w:p w:rsidR="00AC2131" w:rsidRPr="007E34F5" w:rsidRDefault="00AC2131" w:rsidP="00AC2131">
                  <w:pPr>
                    <w:pStyle w:val="TableBodyText"/>
                    <w:spacing w:after="0"/>
                    <w:ind w:left="0" w:right="57"/>
                  </w:pPr>
                  <w:r w:rsidRPr="007E34F5">
                    <w:t>-270.9</w:t>
                  </w:r>
                </w:p>
              </w:tc>
              <w:tc>
                <w:tcPr>
                  <w:tcW w:w="501" w:type="pct"/>
                  <w:vAlign w:val="bottom"/>
                </w:tcPr>
                <w:p w:rsidR="00AC2131" w:rsidRPr="007E34F5" w:rsidRDefault="00AC2131" w:rsidP="00AC2131">
                  <w:pPr>
                    <w:pStyle w:val="TableBodyText"/>
                    <w:spacing w:after="0"/>
                    <w:ind w:left="0" w:right="57"/>
                  </w:pPr>
                  <w:r w:rsidRPr="007E34F5">
                    <w:t>-298.6</w:t>
                  </w:r>
                </w:p>
              </w:tc>
              <w:tc>
                <w:tcPr>
                  <w:tcW w:w="501" w:type="pct"/>
                  <w:shd w:val="clear" w:color="auto" w:fill="auto"/>
                  <w:vAlign w:val="bottom"/>
                </w:tcPr>
                <w:p w:rsidR="00AC2131" w:rsidRPr="007E34F5" w:rsidRDefault="00AC2131" w:rsidP="00AC2131">
                  <w:pPr>
                    <w:pStyle w:val="TableBodyText"/>
                    <w:spacing w:after="0"/>
                    <w:ind w:left="0" w:right="57"/>
                  </w:pPr>
                  <w:r w:rsidRPr="007E34F5">
                    <w:t>-290.1</w:t>
                  </w:r>
                </w:p>
              </w:tc>
              <w:tc>
                <w:tcPr>
                  <w:tcW w:w="502" w:type="pct"/>
                  <w:shd w:val="clear" w:color="auto" w:fill="auto"/>
                  <w:vAlign w:val="bottom"/>
                </w:tcPr>
                <w:p w:rsidR="00AC2131" w:rsidRPr="007E34F5" w:rsidRDefault="00AC2131" w:rsidP="00AC2131">
                  <w:pPr>
                    <w:pStyle w:val="TableBodyText"/>
                    <w:spacing w:after="0"/>
                    <w:ind w:left="0" w:right="57"/>
                  </w:pPr>
                  <w:r w:rsidRPr="007E34F5">
                    <w:t>-298.5</w:t>
                  </w:r>
                </w:p>
              </w:tc>
            </w:tr>
            <w:tr w:rsidR="00AC2131" w:rsidTr="00AC2131">
              <w:tc>
                <w:tcPr>
                  <w:tcW w:w="1992" w:type="pct"/>
                  <w:shd w:val="clear" w:color="auto" w:fill="auto"/>
                  <w:vAlign w:val="center"/>
                </w:tcPr>
                <w:p w:rsidR="00AC2131" w:rsidRPr="007D1111" w:rsidRDefault="00AC2131">
                  <w:pPr>
                    <w:rPr>
                      <w:rFonts w:ascii="Arial" w:hAnsi="Arial" w:cs="Arial"/>
                      <w:sz w:val="18"/>
                      <w:szCs w:val="18"/>
                    </w:rPr>
                  </w:pPr>
                  <w:r w:rsidRPr="007D1111">
                    <w:rPr>
                      <w:rFonts w:ascii="Arial" w:hAnsi="Arial" w:cs="Arial"/>
                      <w:sz w:val="18"/>
                      <w:szCs w:val="18"/>
                    </w:rPr>
                    <w:t>Unallocated services</w:t>
                  </w:r>
                  <w:r w:rsidRPr="008405D4">
                    <w:rPr>
                      <w:rStyle w:val="NoteLabel"/>
                    </w:rPr>
                    <w:t>b</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shd w:val="clear" w:color="auto" w:fill="auto"/>
                  <w:vAlign w:val="bottom"/>
                </w:tcPr>
                <w:p w:rsidR="00AC2131" w:rsidRPr="007E34F5" w:rsidRDefault="00AC2131" w:rsidP="00AC2131">
                  <w:pPr>
                    <w:pStyle w:val="TableBodyText"/>
                    <w:spacing w:after="0"/>
                    <w:ind w:left="0" w:right="57"/>
                  </w:pPr>
                  <w:r w:rsidRPr="007E34F5">
                    <w:t xml:space="preserve">– </w:t>
                  </w:r>
                </w:p>
              </w:tc>
              <w:tc>
                <w:tcPr>
                  <w:tcW w:w="502" w:type="pct"/>
                  <w:shd w:val="clear" w:color="auto" w:fill="auto"/>
                  <w:vAlign w:val="bottom"/>
                </w:tcPr>
                <w:p w:rsidR="00AC2131" w:rsidRPr="007E34F5" w:rsidRDefault="00AC2131" w:rsidP="00AC2131">
                  <w:pPr>
                    <w:pStyle w:val="TableBodyText"/>
                    <w:spacing w:after="0"/>
                    <w:ind w:left="0" w:right="57"/>
                  </w:pPr>
                  <w:r w:rsidRPr="007E34F5">
                    <w:t xml:space="preserve">– </w:t>
                  </w:r>
                </w:p>
              </w:tc>
            </w:tr>
            <w:tr w:rsidR="00AC2131" w:rsidRPr="007E34F5" w:rsidTr="00AC2131">
              <w:tc>
                <w:tcPr>
                  <w:tcW w:w="1992" w:type="pct"/>
                  <w:shd w:val="clear" w:color="auto" w:fill="auto"/>
                  <w:vAlign w:val="center"/>
                </w:tcPr>
                <w:p w:rsidR="00AC2131" w:rsidRPr="007E34F5" w:rsidRDefault="00AC2131" w:rsidP="00AC2131">
                  <w:pPr>
                    <w:rPr>
                      <w:rFonts w:ascii="Arial" w:hAnsi="Arial" w:cs="Arial"/>
                      <w:b/>
                      <w:bCs/>
                      <w:sz w:val="18"/>
                      <w:szCs w:val="18"/>
                    </w:rPr>
                  </w:pPr>
                  <w:r w:rsidRPr="007E34F5">
                    <w:rPr>
                      <w:rFonts w:ascii="Arial" w:hAnsi="Arial" w:cs="Arial"/>
                      <w:b/>
                      <w:bCs/>
                      <w:sz w:val="18"/>
                      <w:szCs w:val="18"/>
                    </w:rPr>
                    <w:t>Unallocated other</w:t>
                  </w:r>
                  <w:r w:rsidRPr="008405D4">
                    <w:rPr>
                      <w:rStyle w:val="NoteLabel"/>
                    </w:rPr>
                    <w:t>b</w:t>
                  </w:r>
                </w:p>
              </w:tc>
              <w:tc>
                <w:tcPr>
                  <w:tcW w:w="501" w:type="pct"/>
                  <w:vAlign w:val="bottom"/>
                </w:tcPr>
                <w:p w:rsidR="00AC2131" w:rsidRPr="007E34F5" w:rsidRDefault="00AC2131" w:rsidP="00AC2131">
                  <w:pPr>
                    <w:pStyle w:val="TableBodyText"/>
                    <w:spacing w:after="0"/>
                    <w:ind w:left="0" w:right="57"/>
                    <w:rPr>
                      <w:b/>
                    </w:rPr>
                  </w:pPr>
                  <w:r w:rsidRPr="007E34F5">
                    <w:rPr>
                      <w:b/>
                    </w:rPr>
                    <w:t xml:space="preserve">– </w:t>
                  </w:r>
                </w:p>
              </w:tc>
              <w:tc>
                <w:tcPr>
                  <w:tcW w:w="501" w:type="pct"/>
                  <w:vAlign w:val="bottom"/>
                </w:tcPr>
                <w:p w:rsidR="00AC2131" w:rsidRPr="007E34F5" w:rsidRDefault="00AC2131" w:rsidP="00AC2131">
                  <w:pPr>
                    <w:pStyle w:val="TableBodyText"/>
                    <w:spacing w:after="0"/>
                    <w:ind w:left="0" w:right="57"/>
                    <w:rPr>
                      <w:b/>
                    </w:rPr>
                  </w:pPr>
                  <w:r w:rsidRPr="007E34F5">
                    <w:rPr>
                      <w:b/>
                    </w:rPr>
                    <w:t xml:space="preserve">– </w:t>
                  </w:r>
                </w:p>
              </w:tc>
              <w:tc>
                <w:tcPr>
                  <w:tcW w:w="501" w:type="pct"/>
                  <w:vAlign w:val="bottom"/>
                </w:tcPr>
                <w:p w:rsidR="00AC2131" w:rsidRPr="007E34F5" w:rsidRDefault="00AC2131" w:rsidP="00AC2131">
                  <w:pPr>
                    <w:pStyle w:val="TableBodyText"/>
                    <w:spacing w:after="0"/>
                    <w:ind w:left="0" w:right="57"/>
                    <w:rPr>
                      <w:b/>
                    </w:rPr>
                  </w:pPr>
                  <w:r w:rsidRPr="007E34F5">
                    <w:rPr>
                      <w:b/>
                    </w:rPr>
                    <w:t xml:space="preserve">– </w:t>
                  </w:r>
                </w:p>
              </w:tc>
              <w:tc>
                <w:tcPr>
                  <w:tcW w:w="501" w:type="pct"/>
                  <w:vAlign w:val="bottom"/>
                </w:tcPr>
                <w:p w:rsidR="00AC2131" w:rsidRPr="007E34F5" w:rsidRDefault="00AC2131" w:rsidP="00AC2131">
                  <w:pPr>
                    <w:pStyle w:val="TableBodyText"/>
                    <w:spacing w:after="0"/>
                    <w:ind w:left="0" w:right="57"/>
                    <w:rPr>
                      <w:b/>
                    </w:rPr>
                  </w:pPr>
                  <w:r w:rsidRPr="007E34F5">
                    <w:rPr>
                      <w:b/>
                    </w:rPr>
                    <w:t xml:space="preserve">– </w:t>
                  </w:r>
                </w:p>
              </w:tc>
              <w:tc>
                <w:tcPr>
                  <w:tcW w:w="501" w:type="pct"/>
                  <w:shd w:val="clear" w:color="auto" w:fill="auto"/>
                  <w:vAlign w:val="bottom"/>
                </w:tcPr>
                <w:p w:rsidR="00AC2131" w:rsidRPr="007E34F5" w:rsidRDefault="00AC2131" w:rsidP="00AC2131">
                  <w:pPr>
                    <w:pStyle w:val="TableBodyText"/>
                    <w:spacing w:after="0"/>
                    <w:ind w:left="0" w:right="57"/>
                    <w:rPr>
                      <w:b/>
                    </w:rPr>
                  </w:pPr>
                  <w:r w:rsidRPr="007E34F5">
                    <w:rPr>
                      <w:b/>
                    </w:rPr>
                    <w:t xml:space="preserve">– </w:t>
                  </w:r>
                </w:p>
              </w:tc>
              <w:tc>
                <w:tcPr>
                  <w:tcW w:w="502" w:type="pct"/>
                  <w:shd w:val="clear" w:color="auto" w:fill="auto"/>
                  <w:vAlign w:val="bottom"/>
                </w:tcPr>
                <w:p w:rsidR="00AC2131" w:rsidRPr="007E34F5" w:rsidRDefault="00AC2131" w:rsidP="00AC2131">
                  <w:pPr>
                    <w:pStyle w:val="TableBodyText"/>
                    <w:spacing w:after="0"/>
                    <w:ind w:left="0" w:right="57"/>
                    <w:rPr>
                      <w:b/>
                    </w:rPr>
                  </w:pPr>
                  <w:r w:rsidRPr="007E34F5">
                    <w:rPr>
                      <w:b/>
                    </w:rPr>
                    <w:t xml:space="preserve">– </w:t>
                  </w:r>
                </w:p>
              </w:tc>
            </w:tr>
            <w:tr w:rsidR="00AC2131" w:rsidRPr="007E34F5" w:rsidTr="00AC2131">
              <w:tc>
                <w:tcPr>
                  <w:tcW w:w="1992" w:type="pct"/>
                  <w:tcBorders>
                    <w:bottom w:val="single" w:sz="6" w:space="0" w:color="BFBFBF"/>
                  </w:tcBorders>
                  <w:shd w:val="clear" w:color="auto" w:fill="auto"/>
                  <w:vAlign w:val="center"/>
                </w:tcPr>
                <w:p w:rsidR="00AC2131" w:rsidRPr="007E34F5" w:rsidRDefault="00AC2131">
                  <w:pPr>
                    <w:rPr>
                      <w:rFonts w:ascii="Arial" w:hAnsi="Arial" w:cs="Arial"/>
                      <w:b/>
                      <w:bCs/>
                      <w:sz w:val="18"/>
                      <w:szCs w:val="18"/>
                    </w:rPr>
                  </w:pPr>
                  <w:r w:rsidRPr="007E34F5">
                    <w:rPr>
                      <w:rFonts w:ascii="Arial" w:hAnsi="Arial" w:cs="Arial"/>
                      <w:b/>
                      <w:bCs/>
                      <w:sz w:val="18"/>
                      <w:szCs w:val="18"/>
                    </w:rPr>
                    <w:t>Total</w:t>
                  </w:r>
                </w:p>
              </w:tc>
              <w:tc>
                <w:tcPr>
                  <w:tcW w:w="501"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-6717.0</w:t>
                  </w:r>
                </w:p>
              </w:tc>
              <w:tc>
                <w:tcPr>
                  <w:tcW w:w="501"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-6665.5</w:t>
                  </w:r>
                </w:p>
              </w:tc>
              <w:tc>
                <w:tcPr>
                  <w:tcW w:w="501"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-6657.0</w:t>
                  </w:r>
                </w:p>
              </w:tc>
              <w:tc>
                <w:tcPr>
                  <w:tcW w:w="501"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-7076.8</w:t>
                  </w:r>
                </w:p>
              </w:tc>
              <w:tc>
                <w:tcPr>
                  <w:tcW w:w="501" w:type="pct"/>
                  <w:tcBorders>
                    <w:bottom w:val="single" w:sz="6" w:space="0" w:color="BFBFBF"/>
                  </w:tcBorders>
                  <w:shd w:val="clear" w:color="auto" w:fill="auto"/>
                  <w:vAlign w:val="bottom"/>
                </w:tcPr>
                <w:p w:rsidR="00AC2131" w:rsidRPr="007E34F5" w:rsidRDefault="00AC2131" w:rsidP="00AC2131">
                  <w:pPr>
                    <w:pStyle w:val="TableBodyText"/>
                    <w:spacing w:after="0"/>
                    <w:ind w:left="0" w:right="57"/>
                    <w:rPr>
                      <w:b/>
                    </w:rPr>
                  </w:pPr>
                  <w:r w:rsidRPr="007E34F5">
                    <w:rPr>
                      <w:b/>
                    </w:rPr>
                    <w:t>-7165.7</w:t>
                  </w:r>
                </w:p>
              </w:tc>
              <w:tc>
                <w:tcPr>
                  <w:tcW w:w="502" w:type="pct"/>
                  <w:tcBorders>
                    <w:bottom w:val="single" w:sz="6" w:space="0" w:color="BFBFBF"/>
                  </w:tcBorders>
                  <w:shd w:val="clear" w:color="auto" w:fill="auto"/>
                  <w:vAlign w:val="bottom"/>
                </w:tcPr>
                <w:p w:rsidR="00AC2131" w:rsidRPr="007E34F5" w:rsidRDefault="00AC2131" w:rsidP="00AC2131">
                  <w:pPr>
                    <w:pStyle w:val="TableBodyText"/>
                    <w:spacing w:after="0"/>
                    <w:ind w:left="0" w:right="57"/>
                    <w:rPr>
                      <w:b/>
                    </w:rPr>
                  </w:pPr>
                  <w:r w:rsidRPr="007E34F5">
                    <w:rPr>
                      <w:b/>
                    </w:rPr>
                    <w:t>-7321.5</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Pr>
                <w:rFonts w:cs="Arial"/>
                <w:szCs w:val="18"/>
              </w:rPr>
              <w:t xml:space="preserve">– Nil. </w:t>
            </w:r>
            <w:r w:rsidRPr="00C74A79">
              <w:rPr>
                <w:rFonts w:cs="Arial"/>
                <w:szCs w:val="18"/>
              </w:rPr>
              <w:t>Figures may not add to totals due to rounding.</w:t>
            </w:r>
            <w:r>
              <w:rPr>
                <w:rFonts w:cs="Arial"/>
                <w:szCs w:val="18"/>
              </w:rPr>
              <w:t xml:space="preserve"> </w:t>
            </w:r>
            <w:r w:rsidRPr="008E77FE">
              <w:rPr>
                <w:rStyle w:val="NoteLabel"/>
              </w:rPr>
              <w:t>a</w:t>
            </w:r>
            <w:r>
              <w:t> </w:t>
            </w:r>
            <w:r w:rsidRPr="008405D4">
              <w:t>Tariff assistance estimates are derived using ABS Industry Gross Value Added and other supporting data.</w:t>
            </w:r>
            <w:r>
              <w:t xml:space="preserve"> </w:t>
            </w:r>
            <w:r>
              <w:rPr>
                <w:rStyle w:val="NoteLabel"/>
              </w:rPr>
              <w:t>b</w:t>
            </w:r>
            <w:r>
              <w:t> </w:t>
            </w:r>
            <w:r w:rsidRPr="008405D4">
              <w:t>Unallocated includes budgetary measures where details of beneficiaries are unknown.</w:t>
            </w:r>
            <w:r>
              <w:t xml:space="preserve"> These categories are not applicable for tariff assistance.</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w:t>
            </w:r>
            <w:r>
              <w:rPr>
                <w:b w:val="0"/>
                <w:noProof/>
              </w:rPr>
              <w:t>6</w:t>
            </w:r>
            <w:r>
              <w:tab/>
            </w:r>
            <w:r w:rsidRPr="008E7603">
              <w:t>Budgetary outlays by industry grouping, 2008</w:t>
            </w:r>
            <w:r>
              <w:noBreakHyphen/>
            </w:r>
            <w:r w:rsidRPr="008E7603">
              <w:t>09 to 2013</w:t>
            </w:r>
            <w:r>
              <w:noBreakHyphen/>
            </w:r>
            <w:r w:rsidRPr="008E7603">
              <w:t>14</w:t>
            </w:r>
          </w:p>
          <w:p w:rsidR="00AC2131" w:rsidRPr="00784A05" w:rsidRDefault="00AC2131" w:rsidP="00AC2131">
            <w:pPr>
              <w:pStyle w:val="Subtitle"/>
            </w:pPr>
            <w:r w:rsidRPr="008E7603">
              <w:t>$ million (nominal)</w:t>
            </w:r>
          </w:p>
        </w:tc>
      </w:tr>
      <w:tr w:rsidR="00AC2131" w:rsidTr="00AC2131">
        <w:trPr>
          <w:cantSplit/>
        </w:trPr>
        <w:tc>
          <w:tcPr>
            <w:tcW w:w="8767" w:type="dxa"/>
            <w:tcBorders>
              <w:top w:val="nil"/>
              <w:left w:val="nil"/>
              <w:bottom w:val="nil"/>
              <w:right w:val="nil"/>
            </w:tcBorders>
            <w:shd w:val="clear" w:color="auto" w:fill="auto"/>
          </w:tcPr>
          <w:tbl>
            <w:tblPr>
              <w:tblW w:w="8495" w:type="dxa"/>
              <w:tblLayout w:type="fixed"/>
              <w:tblCellMar>
                <w:top w:w="28" w:type="dxa"/>
                <w:left w:w="0" w:type="dxa"/>
                <w:right w:w="0" w:type="dxa"/>
              </w:tblCellMar>
              <w:tblLook w:val="0000" w:firstRow="0" w:lastRow="0" w:firstColumn="0" w:lastColumn="0" w:noHBand="0" w:noVBand="0"/>
            </w:tblPr>
            <w:tblGrid>
              <w:gridCol w:w="3401"/>
              <w:gridCol w:w="853"/>
              <w:gridCol w:w="851"/>
              <w:gridCol w:w="851"/>
              <w:gridCol w:w="848"/>
              <w:gridCol w:w="848"/>
              <w:gridCol w:w="843"/>
            </w:tblGrid>
            <w:tr w:rsidR="00AC2131" w:rsidTr="00AC2131">
              <w:tc>
                <w:tcPr>
                  <w:tcW w:w="2002"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Industry grouping</w:t>
                  </w:r>
                </w:p>
              </w:tc>
              <w:tc>
                <w:tcPr>
                  <w:tcW w:w="502"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99"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96"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RPr="007E34F5" w:rsidTr="00AC2131">
              <w:tc>
                <w:tcPr>
                  <w:tcW w:w="2002" w:type="pct"/>
                  <w:tcBorders>
                    <w:top w:val="single" w:sz="6" w:space="0" w:color="BFBFBF"/>
                  </w:tcBorders>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Primary production</w:t>
                  </w:r>
                </w:p>
              </w:tc>
              <w:tc>
                <w:tcPr>
                  <w:tcW w:w="502"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1424.6</w:t>
                  </w:r>
                </w:p>
              </w:tc>
              <w:tc>
                <w:tcPr>
                  <w:tcW w:w="501"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1274.9</w:t>
                  </w:r>
                </w:p>
              </w:tc>
              <w:tc>
                <w:tcPr>
                  <w:tcW w:w="501"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1044.4</w:t>
                  </w:r>
                </w:p>
              </w:tc>
              <w:tc>
                <w:tcPr>
                  <w:tcW w:w="499"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947.1</w:t>
                  </w:r>
                </w:p>
              </w:tc>
              <w:tc>
                <w:tcPr>
                  <w:tcW w:w="499"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717.7</w:t>
                  </w:r>
                </w:p>
              </w:tc>
              <w:tc>
                <w:tcPr>
                  <w:tcW w:w="496"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765.9</w:t>
                  </w:r>
                </w:p>
              </w:tc>
            </w:tr>
            <w:tr w:rsidR="00AC2131" w:rsidTr="00AC2131">
              <w:tc>
                <w:tcPr>
                  <w:tcW w:w="2002" w:type="pct"/>
                  <w:vAlign w:val="center"/>
                </w:tcPr>
                <w:p w:rsidR="00AC2131" w:rsidRPr="00E532D9" w:rsidRDefault="00AC2131">
                  <w:pPr>
                    <w:rPr>
                      <w:rFonts w:ascii="Arial" w:hAnsi="Arial" w:cs="Arial"/>
                      <w:sz w:val="18"/>
                      <w:szCs w:val="18"/>
                    </w:rPr>
                  </w:pPr>
                  <w:r w:rsidRPr="00E532D9">
                    <w:rPr>
                      <w:rFonts w:ascii="Arial" w:hAnsi="Arial" w:cs="Arial"/>
                      <w:sz w:val="18"/>
                      <w:szCs w:val="18"/>
                    </w:rPr>
                    <w:t>Horticulture and fruit growing</w:t>
                  </w:r>
                </w:p>
              </w:tc>
              <w:tc>
                <w:tcPr>
                  <w:tcW w:w="502" w:type="pct"/>
                  <w:vAlign w:val="bottom"/>
                </w:tcPr>
                <w:p w:rsidR="00AC2131" w:rsidRPr="007E34F5" w:rsidRDefault="00AC2131" w:rsidP="00AC2131">
                  <w:pPr>
                    <w:pStyle w:val="TableBodyText"/>
                    <w:spacing w:after="0"/>
                    <w:ind w:left="0" w:right="57"/>
                  </w:pPr>
                  <w:r w:rsidRPr="007E34F5">
                    <w:t>132.8</w:t>
                  </w:r>
                </w:p>
              </w:tc>
              <w:tc>
                <w:tcPr>
                  <w:tcW w:w="501" w:type="pct"/>
                  <w:vAlign w:val="bottom"/>
                </w:tcPr>
                <w:p w:rsidR="00AC2131" w:rsidRPr="007E34F5" w:rsidRDefault="00AC2131" w:rsidP="00AC2131">
                  <w:pPr>
                    <w:pStyle w:val="TableBodyText"/>
                    <w:spacing w:after="0"/>
                    <w:ind w:left="0" w:right="57"/>
                  </w:pPr>
                  <w:r w:rsidRPr="007E34F5">
                    <w:t>125.1</w:t>
                  </w:r>
                </w:p>
              </w:tc>
              <w:tc>
                <w:tcPr>
                  <w:tcW w:w="501" w:type="pct"/>
                  <w:vAlign w:val="bottom"/>
                </w:tcPr>
                <w:p w:rsidR="00AC2131" w:rsidRPr="007E34F5" w:rsidRDefault="00AC2131" w:rsidP="00AC2131">
                  <w:pPr>
                    <w:pStyle w:val="TableBodyText"/>
                    <w:spacing w:after="0"/>
                    <w:ind w:left="0" w:right="57"/>
                  </w:pPr>
                  <w:r w:rsidRPr="007E34F5">
                    <w:t>118.3</w:t>
                  </w:r>
                </w:p>
              </w:tc>
              <w:tc>
                <w:tcPr>
                  <w:tcW w:w="499" w:type="pct"/>
                  <w:vAlign w:val="bottom"/>
                </w:tcPr>
                <w:p w:rsidR="00AC2131" w:rsidRPr="007E34F5" w:rsidRDefault="00AC2131" w:rsidP="00AC2131">
                  <w:pPr>
                    <w:pStyle w:val="TableBodyText"/>
                    <w:spacing w:after="0"/>
                    <w:ind w:left="0" w:right="57"/>
                  </w:pPr>
                  <w:r w:rsidRPr="007E34F5">
                    <w:t>85.9</w:t>
                  </w:r>
                </w:p>
              </w:tc>
              <w:tc>
                <w:tcPr>
                  <w:tcW w:w="499" w:type="pct"/>
                  <w:vAlign w:val="bottom"/>
                </w:tcPr>
                <w:p w:rsidR="00AC2131" w:rsidRPr="007E34F5" w:rsidRDefault="00AC2131" w:rsidP="00AC2131">
                  <w:pPr>
                    <w:pStyle w:val="TableBodyText"/>
                    <w:spacing w:after="0"/>
                    <w:ind w:left="0" w:right="57"/>
                  </w:pPr>
                  <w:r w:rsidRPr="007E34F5">
                    <w:t>71.3</w:t>
                  </w:r>
                </w:p>
              </w:tc>
              <w:tc>
                <w:tcPr>
                  <w:tcW w:w="496" w:type="pct"/>
                  <w:vAlign w:val="bottom"/>
                </w:tcPr>
                <w:p w:rsidR="00AC2131" w:rsidRPr="007E34F5" w:rsidRDefault="00AC2131" w:rsidP="00AC2131">
                  <w:pPr>
                    <w:pStyle w:val="TableBodyText"/>
                    <w:spacing w:after="0"/>
                    <w:ind w:left="0" w:right="57"/>
                  </w:pPr>
                  <w:r w:rsidRPr="007E34F5">
                    <w:t>74.6</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Sheep, beef cattle and grain farming</w:t>
                  </w:r>
                </w:p>
              </w:tc>
              <w:tc>
                <w:tcPr>
                  <w:tcW w:w="502" w:type="pct"/>
                  <w:vAlign w:val="bottom"/>
                </w:tcPr>
                <w:p w:rsidR="00AC2131" w:rsidRPr="007E34F5" w:rsidRDefault="00AC2131" w:rsidP="00AC2131">
                  <w:pPr>
                    <w:pStyle w:val="TableBodyText"/>
                    <w:spacing w:after="0"/>
                    <w:ind w:left="0" w:right="57"/>
                  </w:pPr>
                  <w:r w:rsidRPr="007E34F5">
                    <w:t>739.4</w:t>
                  </w:r>
                </w:p>
              </w:tc>
              <w:tc>
                <w:tcPr>
                  <w:tcW w:w="501" w:type="pct"/>
                  <w:vAlign w:val="bottom"/>
                </w:tcPr>
                <w:p w:rsidR="00AC2131" w:rsidRPr="007E34F5" w:rsidRDefault="00AC2131" w:rsidP="00AC2131">
                  <w:pPr>
                    <w:pStyle w:val="TableBodyText"/>
                    <w:spacing w:after="0"/>
                    <w:ind w:left="0" w:right="57"/>
                  </w:pPr>
                  <w:r w:rsidRPr="007E34F5">
                    <w:t>601.5</w:t>
                  </w:r>
                </w:p>
              </w:tc>
              <w:tc>
                <w:tcPr>
                  <w:tcW w:w="501" w:type="pct"/>
                  <w:vAlign w:val="bottom"/>
                </w:tcPr>
                <w:p w:rsidR="00AC2131" w:rsidRPr="007E34F5" w:rsidRDefault="00AC2131" w:rsidP="00AC2131">
                  <w:pPr>
                    <w:pStyle w:val="TableBodyText"/>
                    <w:spacing w:after="0"/>
                    <w:ind w:left="0" w:right="57"/>
                  </w:pPr>
                  <w:r w:rsidRPr="007E34F5">
                    <w:t>447.5</w:t>
                  </w:r>
                </w:p>
              </w:tc>
              <w:tc>
                <w:tcPr>
                  <w:tcW w:w="499" w:type="pct"/>
                  <w:vAlign w:val="bottom"/>
                </w:tcPr>
                <w:p w:rsidR="00AC2131" w:rsidRPr="007E34F5" w:rsidRDefault="00AC2131" w:rsidP="00AC2131">
                  <w:pPr>
                    <w:pStyle w:val="TableBodyText"/>
                    <w:spacing w:after="0"/>
                    <w:ind w:left="0" w:right="57"/>
                  </w:pPr>
                  <w:r w:rsidRPr="007E34F5">
                    <w:t>253.3</w:t>
                  </w:r>
                </w:p>
              </w:tc>
              <w:tc>
                <w:tcPr>
                  <w:tcW w:w="499" w:type="pct"/>
                  <w:shd w:val="clear" w:color="auto" w:fill="auto"/>
                  <w:vAlign w:val="bottom"/>
                </w:tcPr>
                <w:p w:rsidR="00AC2131" w:rsidRPr="007E34F5" w:rsidRDefault="00AC2131" w:rsidP="00AC2131">
                  <w:pPr>
                    <w:pStyle w:val="TableBodyText"/>
                    <w:spacing w:after="0"/>
                    <w:ind w:left="0" w:right="57"/>
                  </w:pPr>
                  <w:r w:rsidRPr="007E34F5">
                    <w:t>213.1</w:t>
                  </w:r>
                </w:p>
              </w:tc>
              <w:tc>
                <w:tcPr>
                  <w:tcW w:w="496" w:type="pct"/>
                  <w:shd w:val="clear" w:color="auto" w:fill="auto"/>
                  <w:vAlign w:val="bottom"/>
                </w:tcPr>
                <w:p w:rsidR="00AC2131" w:rsidRPr="007E34F5" w:rsidRDefault="00AC2131" w:rsidP="00AC2131">
                  <w:pPr>
                    <w:pStyle w:val="TableBodyText"/>
                    <w:spacing w:after="0"/>
                    <w:ind w:left="0" w:right="57"/>
                  </w:pPr>
                  <w:r w:rsidRPr="007E34F5">
                    <w:t>273.3</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Other crop growing</w:t>
                  </w:r>
                </w:p>
              </w:tc>
              <w:tc>
                <w:tcPr>
                  <w:tcW w:w="502" w:type="pct"/>
                  <w:vAlign w:val="bottom"/>
                </w:tcPr>
                <w:p w:rsidR="00AC2131" w:rsidRPr="007E34F5" w:rsidRDefault="00AC2131" w:rsidP="00AC2131">
                  <w:pPr>
                    <w:pStyle w:val="TableBodyText"/>
                    <w:spacing w:after="0"/>
                    <w:ind w:left="0" w:right="57"/>
                  </w:pPr>
                  <w:r w:rsidRPr="007E34F5">
                    <w:t>40.9</w:t>
                  </w:r>
                </w:p>
              </w:tc>
              <w:tc>
                <w:tcPr>
                  <w:tcW w:w="501" w:type="pct"/>
                  <w:vAlign w:val="bottom"/>
                </w:tcPr>
                <w:p w:rsidR="00AC2131" w:rsidRPr="007E34F5" w:rsidRDefault="00AC2131" w:rsidP="00AC2131">
                  <w:pPr>
                    <w:pStyle w:val="TableBodyText"/>
                    <w:spacing w:after="0"/>
                    <w:ind w:left="0" w:right="57"/>
                  </w:pPr>
                  <w:r w:rsidRPr="007E34F5">
                    <w:t>58.0</w:t>
                  </w:r>
                </w:p>
              </w:tc>
              <w:tc>
                <w:tcPr>
                  <w:tcW w:w="501" w:type="pct"/>
                  <w:vAlign w:val="bottom"/>
                </w:tcPr>
                <w:p w:rsidR="00AC2131" w:rsidRPr="007E34F5" w:rsidRDefault="00AC2131" w:rsidP="00AC2131">
                  <w:pPr>
                    <w:pStyle w:val="TableBodyText"/>
                    <w:spacing w:after="0"/>
                    <w:ind w:left="0" w:right="57"/>
                  </w:pPr>
                  <w:r w:rsidRPr="007E34F5">
                    <w:t>25.7</w:t>
                  </w:r>
                </w:p>
              </w:tc>
              <w:tc>
                <w:tcPr>
                  <w:tcW w:w="499" w:type="pct"/>
                  <w:vAlign w:val="bottom"/>
                </w:tcPr>
                <w:p w:rsidR="00AC2131" w:rsidRPr="007E34F5" w:rsidRDefault="00AC2131" w:rsidP="00AC2131">
                  <w:pPr>
                    <w:pStyle w:val="TableBodyText"/>
                    <w:spacing w:after="0"/>
                    <w:ind w:left="0" w:right="57"/>
                  </w:pPr>
                  <w:r w:rsidRPr="007E34F5">
                    <w:t>48.9</w:t>
                  </w:r>
                </w:p>
              </w:tc>
              <w:tc>
                <w:tcPr>
                  <w:tcW w:w="499" w:type="pct"/>
                  <w:shd w:val="clear" w:color="auto" w:fill="auto"/>
                  <w:vAlign w:val="bottom"/>
                </w:tcPr>
                <w:p w:rsidR="00AC2131" w:rsidRPr="007E34F5" w:rsidRDefault="00AC2131" w:rsidP="00AC2131">
                  <w:pPr>
                    <w:pStyle w:val="TableBodyText"/>
                    <w:spacing w:after="0"/>
                    <w:ind w:left="0" w:right="57"/>
                  </w:pPr>
                  <w:r w:rsidRPr="007E34F5">
                    <w:t>43.6</w:t>
                  </w:r>
                </w:p>
              </w:tc>
              <w:tc>
                <w:tcPr>
                  <w:tcW w:w="496" w:type="pct"/>
                  <w:shd w:val="clear" w:color="auto" w:fill="auto"/>
                  <w:vAlign w:val="bottom"/>
                </w:tcPr>
                <w:p w:rsidR="00AC2131" w:rsidRPr="007E34F5" w:rsidRDefault="00AC2131" w:rsidP="00AC2131">
                  <w:pPr>
                    <w:pStyle w:val="TableBodyText"/>
                    <w:spacing w:after="0"/>
                    <w:ind w:left="0" w:right="57"/>
                  </w:pPr>
                  <w:r w:rsidRPr="007E34F5">
                    <w:t>51.3</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Dairy cattle farming</w:t>
                  </w:r>
                </w:p>
              </w:tc>
              <w:tc>
                <w:tcPr>
                  <w:tcW w:w="502" w:type="pct"/>
                  <w:vAlign w:val="bottom"/>
                </w:tcPr>
                <w:p w:rsidR="00AC2131" w:rsidRPr="007E34F5" w:rsidRDefault="00AC2131" w:rsidP="00AC2131">
                  <w:pPr>
                    <w:pStyle w:val="TableBodyText"/>
                    <w:spacing w:after="0"/>
                    <w:ind w:left="0" w:right="57"/>
                  </w:pPr>
                  <w:r w:rsidRPr="007E34F5">
                    <w:t>104.4</w:t>
                  </w:r>
                </w:p>
              </w:tc>
              <w:tc>
                <w:tcPr>
                  <w:tcW w:w="501" w:type="pct"/>
                  <w:vAlign w:val="bottom"/>
                </w:tcPr>
                <w:p w:rsidR="00AC2131" w:rsidRPr="007E34F5" w:rsidRDefault="00AC2131" w:rsidP="00AC2131">
                  <w:pPr>
                    <w:pStyle w:val="TableBodyText"/>
                    <w:spacing w:after="0"/>
                    <w:ind w:left="0" w:right="57"/>
                  </w:pPr>
                  <w:r w:rsidRPr="007E34F5">
                    <w:t>99.1</w:t>
                  </w:r>
                </w:p>
              </w:tc>
              <w:tc>
                <w:tcPr>
                  <w:tcW w:w="501" w:type="pct"/>
                  <w:vAlign w:val="bottom"/>
                </w:tcPr>
                <w:p w:rsidR="00AC2131" w:rsidRPr="007E34F5" w:rsidRDefault="00AC2131" w:rsidP="00AC2131">
                  <w:pPr>
                    <w:pStyle w:val="TableBodyText"/>
                    <w:spacing w:after="0"/>
                    <w:ind w:left="0" w:right="57"/>
                  </w:pPr>
                  <w:r w:rsidRPr="007E34F5">
                    <w:t>67.4</w:t>
                  </w:r>
                </w:p>
              </w:tc>
              <w:tc>
                <w:tcPr>
                  <w:tcW w:w="499" w:type="pct"/>
                  <w:vAlign w:val="bottom"/>
                </w:tcPr>
                <w:p w:rsidR="00AC2131" w:rsidRPr="007E34F5" w:rsidRDefault="00AC2131" w:rsidP="00AC2131">
                  <w:pPr>
                    <w:pStyle w:val="TableBodyText"/>
                    <w:spacing w:after="0"/>
                    <w:ind w:left="0" w:right="57"/>
                  </w:pPr>
                  <w:r w:rsidRPr="007E34F5">
                    <w:t>41.4</w:t>
                  </w:r>
                </w:p>
              </w:tc>
              <w:tc>
                <w:tcPr>
                  <w:tcW w:w="499" w:type="pct"/>
                  <w:shd w:val="clear" w:color="auto" w:fill="auto"/>
                  <w:vAlign w:val="bottom"/>
                </w:tcPr>
                <w:p w:rsidR="00AC2131" w:rsidRPr="007E34F5" w:rsidRDefault="00AC2131" w:rsidP="00AC2131">
                  <w:pPr>
                    <w:pStyle w:val="TableBodyText"/>
                    <w:spacing w:after="0"/>
                    <w:ind w:left="0" w:right="57"/>
                  </w:pPr>
                  <w:r w:rsidRPr="007E34F5">
                    <w:t>28.9</w:t>
                  </w:r>
                </w:p>
              </w:tc>
              <w:tc>
                <w:tcPr>
                  <w:tcW w:w="496" w:type="pct"/>
                  <w:shd w:val="clear" w:color="auto" w:fill="auto"/>
                  <w:vAlign w:val="bottom"/>
                </w:tcPr>
                <w:p w:rsidR="00AC2131" w:rsidRPr="007E34F5" w:rsidRDefault="00AC2131" w:rsidP="00AC2131">
                  <w:pPr>
                    <w:pStyle w:val="TableBodyText"/>
                    <w:spacing w:after="0"/>
                    <w:ind w:left="0" w:right="57"/>
                  </w:pPr>
                  <w:r w:rsidRPr="007E34F5">
                    <w:t>34.4</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Other livestock farming</w:t>
                  </w:r>
                </w:p>
              </w:tc>
              <w:tc>
                <w:tcPr>
                  <w:tcW w:w="502" w:type="pct"/>
                  <w:vAlign w:val="bottom"/>
                </w:tcPr>
                <w:p w:rsidR="00AC2131" w:rsidRPr="007E34F5" w:rsidRDefault="00AC2131" w:rsidP="00AC2131">
                  <w:pPr>
                    <w:pStyle w:val="TableBodyText"/>
                    <w:spacing w:after="0"/>
                    <w:ind w:left="0" w:right="57"/>
                  </w:pPr>
                  <w:r w:rsidRPr="007E34F5">
                    <w:t>28.5</w:t>
                  </w:r>
                </w:p>
              </w:tc>
              <w:tc>
                <w:tcPr>
                  <w:tcW w:w="501" w:type="pct"/>
                  <w:vAlign w:val="bottom"/>
                </w:tcPr>
                <w:p w:rsidR="00AC2131" w:rsidRPr="007E34F5" w:rsidRDefault="00AC2131" w:rsidP="00AC2131">
                  <w:pPr>
                    <w:pStyle w:val="TableBodyText"/>
                    <w:spacing w:after="0"/>
                    <w:ind w:left="0" w:right="57"/>
                  </w:pPr>
                  <w:r w:rsidRPr="007E34F5">
                    <w:t>25.4</w:t>
                  </w:r>
                </w:p>
              </w:tc>
              <w:tc>
                <w:tcPr>
                  <w:tcW w:w="501" w:type="pct"/>
                  <w:vAlign w:val="bottom"/>
                </w:tcPr>
                <w:p w:rsidR="00AC2131" w:rsidRPr="007E34F5" w:rsidRDefault="00AC2131" w:rsidP="00AC2131">
                  <w:pPr>
                    <w:pStyle w:val="TableBodyText"/>
                    <w:spacing w:after="0"/>
                    <w:ind w:left="0" w:right="57"/>
                  </w:pPr>
                  <w:r w:rsidRPr="007E34F5">
                    <w:t>23.5</w:t>
                  </w:r>
                </w:p>
              </w:tc>
              <w:tc>
                <w:tcPr>
                  <w:tcW w:w="499" w:type="pct"/>
                  <w:vAlign w:val="bottom"/>
                </w:tcPr>
                <w:p w:rsidR="00AC2131" w:rsidRPr="007E34F5" w:rsidRDefault="00AC2131" w:rsidP="00AC2131">
                  <w:pPr>
                    <w:pStyle w:val="TableBodyText"/>
                    <w:spacing w:after="0"/>
                    <w:ind w:left="0" w:right="57"/>
                  </w:pPr>
                  <w:r w:rsidRPr="007E34F5">
                    <w:t>41.3</w:t>
                  </w:r>
                </w:p>
              </w:tc>
              <w:tc>
                <w:tcPr>
                  <w:tcW w:w="499" w:type="pct"/>
                  <w:shd w:val="clear" w:color="auto" w:fill="auto"/>
                  <w:vAlign w:val="bottom"/>
                </w:tcPr>
                <w:p w:rsidR="00AC2131" w:rsidRPr="007E34F5" w:rsidRDefault="00AC2131" w:rsidP="00AC2131">
                  <w:pPr>
                    <w:pStyle w:val="TableBodyText"/>
                    <w:spacing w:after="0"/>
                    <w:ind w:left="0" w:right="57"/>
                  </w:pPr>
                  <w:r w:rsidRPr="007E34F5">
                    <w:t>26.8</w:t>
                  </w:r>
                </w:p>
              </w:tc>
              <w:tc>
                <w:tcPr>
                  <w:tcW w:w="496" w:type="pct"/>
                  <w:shd w:val="clear" w:color="auto" w:fill="auto"/>
                  <w:vAlign w:val="bottom"/>
                </w:tcPr>
                <w:p w:rsidR="00AC2131" w:rsidRPr="007E34F5" w:rsidRDefault="00AC2131" w:rsidP="00AC2131">
                  <w:pPr>
                    <w:pStyle w:val="TableBodyText"/>
                    <w:spacing w:after="0"/>
                    <w:ind w:left="0" w:right="57"/>
                  </w:pPr>
                  <w:r w:rsidRPr="007E34F5">
                    <w:t>23.7</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Aquaculture and fishing</w:t>
                  </w:r>
                </w:p>
              </w:tc>
              <w:tc>
                <w:tcPr>
                  <w:tcW w:w="502" w:type="pct"/>
                  <w:vAlign w:val="bottom"/>
                </w:tcPr>
                <w:p w:rsidR="00AC2131" w:rsidRPr="007E34F5" w:rsidRDefault="00AC2131" w:rsidP="00AC2131">
                  <w:pPr>
                    <w:pStyle w:val="TableBodyText"/>
                    <w:spacing w:after="0"/>
                    <w:ind w:left="0" w:right="57"/>
                  </w:pPr>
                  <w:r w:rsidRPr="007E34F5">
                    <w:t>68.3</w:t>
                  </w:r>
                </w:p>
              </w:tc>
              <w:tc>
                <w:tcPr>
                  <w:tcW w:w="501" w:type="pct"/>
                  <w:vAlign w:val="bottom"/>
                </w:tcPr>
                <w:p w:rsidR="00AC2131" w:rsidRPr="007E34F5" w:rsidRDefault="00AC2131" w:rsidP="00AC2131">
                  <w:pPr>
                    <w:pStyle w:val="TableBodyText"/>
                    <w:spacing w:after="0"/>
                    <w:ind w:left="0" w:right="57"/>
                  </w:pPr>
                  <w:r w:rsidRPr="007E34F5">
                    <w:t>66.5</w:t>
                  </w:r>
                </w:p>
              </w:tc>
              <w:tc>
                <w:tcPr>
                  <w:tcW w:w="501" w:type="pct"/>
                  <w:vAlign w:val="bottom"/>
                </w:tcPr>
                <w:p w:rsidR="00AC2131" w:rsidRPr="007E34F5" w:rsidRDefault="00AC2131" w:rsidP="00AC2131">
                  <w:pPr>
                    <w:pStyle w:val="TableBodyText"/>
                    <w:spacing w:after="0"/>
                    <w:ind w:left="0" w:right="57"/>
                  </w:pPr>
                  <w:r w:rsidRPr="007E34F5">
                    <w:t>64.6</w:t>
                  </w:r>
                </w:p>
              </w:tc>
              <w:tc>
                <w:tcPr>
                  <w:tcW w:w="499" w:type="pct"/>
                  <w:vAlign w:val="bottom"/>
                </w:tcPr>
                <w:p w:rsidR="00AC2131" w:rsidRPr="007E34F5" w:rsidRDefault="00AC2131" w:rsidP="00AC2131">
                  <w:pPr>
                    <w:pStyle w:val="TableBodyText"/>
                    <w:spacing w:after="0"/>
                    <w:ind w:left="0" w:right="57"/>
                  </w:pPr>
                  <w:r w:rsidRPr="007E34F5">
                    <w:t>53.8</w:t>
                  </w:r>
                </w:p>
              </w:tc>
              <w:tc>
                <w:tcPr>
                  <w:tcW w:w="499" w:type="pct"/>
                  <w:shd w:val="clear" w:color="auto" w:fill="auto"/>
                  <w:vAlign w:val="bottom"/>
                </w:tcPr>
                <w:p w:rsidR="00AC2131" w:rsidRPr="007E34F5" w:rsidRDefault="00AC2131" w:rsidP="00AC2131">
                  <w:pPr>
                    <w:pStyle w:val="TableBodyText"/>
                    <w:spacing w:after="0"/>
                    <w:ind w:left="0" w:right="57"/>
                  </w:pPr>
                  <w:r w:rsidRPr="007E34F5">
                    <w:t>48.5</w:t>
                  </w:r>
                </w:p>
              </w:tc>
              <w:tc>
                <w:tcPr>
                  <w:tcW w:w="496" w:type="pct"/>
                  <w:shd w:val="clear" w:color="auto" w:fill="auto"/>
                  <w:vAlign w:val="bottom"/>
                </w:tcPr>
                <w:p w:rsidR="00AC2131" w:rsidRPr="007E34F5" w:rsidRDefault="00AC2131" w:rsidP="00AC2131">
                  <w:pPr>
                    <w:pStyle w:val="TableBodyText"/>
                    <w:spacing w:after="0"/>
                    <w:ind w:left="0" w:right="57"/>
                  </w:pPr>
                  <w:r w:rsidRPr="007E34F5">
                    <w:t>51.9</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Forestry and logging</w:t>
                  </w:r>
                </w:p>
              </w:tc>
              <w:tc>
                <w:tcPr>
                  <w:tcW w:w="502" w:type="pct"/>
                  <w:vAlign w:val="bottom"/>
                </w:tcPr>
                <w:p w:rsidR="00AC2131" w:rsidRPr="007E34F5" w:rsidRDefault="00AC2131" w:rsidP="00AC2131">
                  <w:pPr>
                    <w:pStyle w:val="TableBodyText"/>
                    <w:spacing w:after="0"/>
                    <w:ind w:left="0" w:right="57"/>
                  </w:pPr>
                  <w:r w:rsidRPr="007E34F5">
                    <w:t>14.9</w:t>
                  </w:r>
                </w:p>
              </w:tc>
              <w:tc>
                <w:tcPr>
                  <w:tcW w:w="501" w:type="pct"/>
                  <w:vAlign w:val="bottom"/>
                </w:tcPr>
                <w:p w:rsidR="00AC2131" w:rsidRPr="007E34F5" w:rsidRDefault="00AC2131" w:rsidP="00AC2131">
                  <w:pPr>
                    <w:pStyle w:val="TableBodyText"/>
                    <w:spacing w:after="0"/>
                    <w:ind w:left="0" w:right="57"/>
                  </w:pPr>
                  <w:r w:rsidRPr="007E34F5">
                    <w:t>18.2</w:t>
                  </w:r>
                </w:p>
              </w:tc>
              <w:tc>
                <w:tcPr>
                  <w:tcW w:w="501" w:type="pct"/>
                  <w:vAlign w:val="bottom"/>
                </w:tcPr>
                <w:p w:rsidR="00AC2131" w:rsidRPr="007E34F5" w:rsidRDefault="00AC2131" w:rsidP="00AC2131">
                  <w:pPr>
                    <w:pStyle w:val="TableBodyText"/>
                    <w:spacing w:after="0"/>
                    <w:ind w:left="0" w:right="57"/>
                  </w:pPr>
                  <w:r w:rsidRPr="007E34F5">
                    <w:t>34.2</w:t>
                  </w:r>
                </w:p>
              </w:tc>
              <w:tc>
                <w:tcPr>
                  <w:tcW w:w="499" w:type="pct"/>
                  <w:vAlign w:val="bottom"/>
                </w:tcPr>
                <w:p w:rsidR="00AC2131" w:rsidRPr="007E34F5" w:rsidRDefault="00AC2131" w:rsidP="00AC2131">
                  <w:pPr>
                    <w:pStyle w:val="TableBodyText"/>
                    <w:spacing w:after="0"/>
                    <w:ind w:left="0" w:right="57"/>
                  </w:pPr>
                  <w:r w:rsidRPr="007E34F5">
                    <w:t>64.2</w:t>
                  </w:r>
                </w:p>
              </w:tc>
              <w:tc>
                <w:tcPr>
                  <w:tcW w:w="499" w:type="pct"/>
                  <w:shd w:val="clear" w:color="auto" w:fill="auto"/>
                  <w:vAlign w:val="bottom"/>
                </w:tcPr>
                <w:p w:rsidR="00AC2131" w:rsidRPr="007E34F5" w:rsidRDefault="00AC2131" w:rsidP="00AC2131">
                  <w:pPr>
                    <w:pStyle w:val="TableBodyText"/>
                    <w:spacing w:after="0"/>
                    <w:ind w:left="0" w:right="57"/>
                  </w:pPr>
                  <w:r w:rsidRPr="007E34F5">
                    <w:t>36.0</w:t>
                  </w:r>
                </w:p>
              </w:tc>
              <w:tc>
                <w:tcPr>
                  <w:tcW w:w="496" w:type="pct"/>
                  <w:shd w:val="clear" w:color="auto" w:fill="auto"/>
                  <w:vAlign w:val="bottom"/>
                </w:tcPr>
                <w:p w:rsidR="00AC2131" w:rsidRPr="007E34F5" w:rsidRDefault="00AC2131" w:rsidP="00AC2131">
                  <w:pPr>
                    <w:pStyle w:val="TableBodyText"/>
                    <w:spacing w:after="0"/>
                    <w:ind w:left="0" w:right="57"/>
                  </w:pPr>
                  <w:r w:rsidRPr="007E34F5">
                    <w:t>14.5</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Primary production support services</w:t>
                  </w:r>
                </w:p>
              </w:tc>
              <w:tc>
                <w:tcPr>
                  <w:tcW w:w="502" w:type="pct"/>
                  <w:vAlign w:val="bottom"/>
                </w:tcPr>
                <w:p w:rsidR="00AC2131" w:rsidRPr="007E34F5" w:rsidRDefault="00AC2131" w:rsidP="00AC2131">
                  <w:pPr>
                    <w:pStyle w:val="TableBodyText"/>
                    <w:spacing w:after="0"/>
                    <w:ind w:left="0" w:right="57"/>
                  </w:pPr>
                  <w:r w:rsidRPr="007E34F5">
                    <w:t>5.6</w:t>
                  </w:r>
                </w:p>
              </w:tc>
              <w:tc>
                <w:tcPr>
                  <w:tcW w:w="501" w:type="pct"/>
                  <w:vAlign w:val="bottom"/>
                </w:tcPr>
                <w:p w:rsidR="00AC2131" w:rsidRPr="007E34F5" w:rsidRDefault="00AC2131" w:rsidP="00AC2131">
                  <w:pPr>
                    <w:pStyle w:val="TableBodyText"/>
                    <w:spacing w:after="0"/>
                    <w:ind w:left="0" w:right="57"/>
                  </w:pPr>
                  <w:r w:rsidRPr="007E34F5">
                    <w:t>5.2</w:t>
                  </w:r>
                </w:p>
              </w:tc>
              <w:tc>
                <w:tcPr>
                  <w:tcW w:w="501" w:type="pct"/>
                  <w:vAlign w:val="bottom"/>
                </w:tcPr>
                <w:p w:rsidR="00AC2131" w:rsidRPr="007E34F5" w:rsidRDefault="00AC2131" w:rsidP="00AC2131">
                  <w:pPr>
                    <w:pStyle w:val="TableBodyText"/>
                    <w:spacing w:after="0"/>
                    <w:ind w:left="0" w:right="57"/>
                  </w:pPr>
                  <w:r w:rsidRPr="007E34F5">
                    <w:t>2.3</w:t>
                  </w:r>
                </w:p>
              </w:tc>
              <w:tc>
                <w:tcPr>
                  <w:tcW w:w="499" w:type="pct"/>
                  <w:vAlign w:val="bottom"/>
                </w:tcPr>
                <w:p w:rsidR="00AC2131" w:rsidRPr="007E34F5" w:rsidRDefault="00AC2131" w:rsidP="00AC2131">
                  <w:pPr>
                    <w:pStyle w:val="TableBodyText"/>
                    <w:spacing w:after="0"/>
                    <w:ind w:left="0" w:right="57"/>
                  </w:pPr>
                  <w:r w:rsidRPr="007E34F5">
                    <w:t>5.7</w:t>
                  </w:r>
                </w:p>
              </w:tc>
              <w:tc>
                <w:tcPr>
                  <w:tcW w:w="499" w:type="pct"/>
                  <w:shd w:val="clear" w:color="auto" w:fill="auto"/>
                  <w:vAlign w:val="bottom"/>
                </w:tcPr>
                <w:p w:rsidR="00AC2131" w:rsidRPr="007E34F5" w:rsidRDefault="00AC2131" w:rsidP="00AC2131">
                  <w:pPr>
                    <w:pStyle w:val="TableBodyText"/>
                    <w:spacing w:after="0"/>
                    <w:ind w:left="0" w:right="57"/>
                  </w:pPr>
                  <w:r w:rsidRPr="007E34F5">
                    <w:t>3.8</w:t>
                  </w:r>
                </w:p>
              </w:tc>
              <w:tc>
                <w:tcPr>
                  <w:tcW w:w="496" w:type="pct"/>
                  <w:shd w:val="clear" w:color="auto" w:fill="auto"/>
                  <w:vAlign w:val="bottom"/>
                </w:tcPr>
                <w:p w:rsidR="00AC2131" w:rsidRPr="007E34F5" w:rsidRDefault="00AC2131" w:rsidP="00AC2131">
                  <w:pPr>
                    <w:pStyle w:val="TableBodyText"/>
                    <w:spacing w:after="0"/>
                    <w:ind w:left="0" w:right="57"/>
                  </w:pPr>
                  <w:r w:rsidRPr="007E34F5">
                    <w:t>4.9</w:t>
                  </w:r>
                </w:p>
              </w:tc>
            </w:tr>
            <w:tr w:rsidR="00AC2131" w:rsidTr="00AC2131">
              <w:tc>
                <w:tcPr>
                  <w:tcW w:w="2002" w:type="pct"/>
                  <w:shd w:val="clear" w:color="auto" w:fill="auto"/>
                  <w:vAlign w:val="center"/>
                </w:tcPr>
                <w:p w:rsidR="00AC2131" w:rsidRPr="00E532D9" w:rsidRDefault="00AC2131" w:rsidP="00AC2131">
                  <w:pPr>
                    <w:rPr>
                      <w:rFonts w:ascii="Arial" w:hAnsi="Arial" w:cs="Arial"/>
                      <w:sz w:val="18"/>
                      <w:szCs w:val="18"/>
                    </w:rPr>
                  </w:pPr>
                  <w:r w:rsidRPr="00E532D9">
                    <w:rPr>
                      <w:rFonts w:ascii="Arial" w:hAnsi="Arial" w:cs="Arial"/>
                      <w:sz w:val="18"/>
                      <w:szCs w:val="18"/>
                    </w:rPr>
                    <w:t>Unallocated primary production</w:t>
                  </w:r>
                  <w:r>
                    <w:rPr>
                      <w:rStyle w:val="NoteLabel"/>
                    </w:rPr>
                    <w:t>a</w:t>
                  </w:r>
                </w:p>
              </w:tc>
              <w:tc>
                <w:tcPr>
                  <w:tcW w:w="502" w:type="pct"/>
                  <w:vAlign w:val="bottom"/>
                </w:tcPr>
                <w:p w:rsidR="00AC2131" w:rsidRPr="007E34F5" w:rsidRDefault="00AC2131" w:rsidP="00AC2131">
                  <w:pPr>
                    <w:pStyle w:val="TableBodyText"/>
                    <w:spacing w:after="0"/>
                    <w:ind w:left="0" w:right="57"/>
                  </w:pPr>
                  <w:r w:rsidRPr="007E34F5">
                    <w:t>289.8</w:t>
                  </w:r>
                </w:p>
              </w:tc>
              <w:tc>
                <w:tcPr>
                  <w:tcW w:w="501" w:type="pct"/>
                  <w:vAlign w:val="bottom"/>
                </w:tcPr>
                <w:p w:rsidR="00AC2131" w:rsidRPr="007E34F5" w:rsidRDefault="00AC2131" w:rsidP="00AC2131">
                  <w:pPr>
                    <w:pStyle w:val="TableBodyText"/>
                    <w:spacing w:after="0"/>
                    <w:ind w:left="0" w:right="57"/>
                  </w:pPr>
                  <w:r w:rsidRPr="007E34F5">
                    <w:t>275.9</w:t>
                  </w:r>
                </w:p>
              </w:tc>
              <w:tc>
                <w:tcPr>
                  <w:tcW w:w="501" w:type="pct"/>
                  <w:vAlign w:val="bottom"/>
                </w:tcPr>
                <w:p w:rsidR="00AC2131" w:rsidRPr="007E34F5" w:rsidRDefault="00AC2131" w:rsidP="00AC2131">
                  <w:pPr>
                    <w:pStyle w:val="TableBodyText"/>
                    <w:spacing w:after="0"/>
                    <w:ind w:left="0" w:right="57"/>
                  </w:pPr>
                  <w:r w:rsidRPr="007E34F5">
                    <w:t>261.0</w:t>
                  </w:r>
                </w:p>
              </w:tc>
              <w:tc>
                <w:tcPr>
                  <w:tcW w:w="499" w:type="pct"/>
                  <w:vAlign w:val="bottom"/>
                </w:tcPr>
                <w:p w:rsidR="00AC2131" w:rsidRPr="007E34F5" w:rsidRDefault="00AC2131" w:rsidP="00AC2131">
                  <w:pPr>
                    <w:pStyle w:val="TableBodyText"/>
                    <w:spacing w:after="0"/>
                    <w:ind w:left="0" w:right="57"/>
                  </w:pPr>
                  <w:r w:rsidRPr="007E34F5">
                    <w:t>352.5</w:t>
                  </w:r>
                </w:p>
              </w:tc>
              <w:tc>
                <w:tcPr>
                  <w:tcW w:w="499" w:type="pct"/>
                  <w:shd w:val="clear" w:color="auto" w:fill="auto"/>
                  <w:vAlign w:val="bottom"/>
                </w:tcPr>
                <w:p w:rsidR="00AC2131" w:rsidRPr="007E34F5" w:rsidRDefault="00AC2131" w:rsidP="00AC2131">
                  <w:pPr>
                    <w:pStyle w:val="TableBodyText"/>
                    <w:spacing w:after="0"/>
                    <w:ind w:left="0" w:right="57"/>
                  </w:pPr>
                  <w:r w:rsidRPr="007E34F5">
                    <w:t>245.7</w:t>
                  </w:r>
                </w:p>
              </w:tc>
              <w:tc>
                <w:tcPr>
                  <w:tcW w:w="496" w:type="pct"/>
                  <w:shd w:val="clear" w:color="auto" w:fill="auto"/>
                  <w:vAlign w:val="bottom"/>
                </w:tcPr>
                <w:p w:rsidR="00AC2131" w:rsidRPr="007E34F5" w:rsidRDefault="00AC2131" w:rsidP="00AC2131">
                  <w:pPr>
                    <w:pStyle w:val="TableBodyText"/>
                    <w:spacing w:after="0"/>
                    <w:ind w:left="0" w:right="57"/>
                  </w:pPr>
                  <w:r w:rsidRPr="007E34F5">
                    <w:t>237.3</w:t>
                  </w:r>
                </w:p>
              </w:tc>
            </w:tr>
            <w:tr w:rsidR="00AC2131" w:rsidRPr="007E34F5" w:rsidTr="00AC2131">
              <w:tc>
                <w:tcPr>
                  <w:tcW w:w="2002" w:type="pct"/>
                  <w:shd w:val="clear" w:color="auto" w:fill="auto"/>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Mining</w:t>
                  </w:r>
                </w:p>
              </w:tc>
              <w:tc>
                <w:tcPr>
                  <w:tcW w:w="502" w:type="pct"/>
                  <w:vAlign w:val="bottom"/>
                </w:tcPr>
                <w:p w:rsidR="00AC2131" w:rsidRPr="007E34F5" w:rsidRDefault="00AC2131" w:rsidP="00AC2131">
                  <w:pPr>
                    <w:pStyle w:val="TableBodyText"/>
                    <w:spacing w:after="0"/>
                    <w:ind w:left="0" w:right="57"/>
                    <w:rPr>
                      <w:b/>
                    </w:rPr>
                  </w:pPr>
                  <w:r w:rsidRPr="007E34F5">
                    <w:rPr>
                      <w:b/>
                    </w:rPr>
                    <w:t>115.6</w:t>
                  </w:r>
                </w:p>
              </w:tc>
              <w:tc>
                <w:tcPr>
                  <w:tcW w:w="501" w:type="pct"/>
                  <w:vAlign w:val="bottom"/>
                </w:tcPr>
                <w:p w:rsidR="00AC2131" w:rsidRPr="007E34F5" w:rsidRDefault="00AC2131" w:rsidP="00AC2131">
                  <w:pPr>
                    <w:pStyle w:val="TableBodyText"/>
                    <w:spacing w:after="0"/>
                    <w:ind w:left="0" w:right="57"/>
                    <w:rPr>
                      <w:b/>
                    </w:rPr>
                  </w:pPr>
                  <w:r w:rsidRPr="007E34F5">
                    <w:rPr>
                      <w:b/>
                    </w:rPr>
                    <w:t>171.4</w:t>
                  </w:r>
                </w:p>
              </w:tc>
              <w:tc>
                <w:tcPr>
                  <w:tcW w:w="501" w:type="pct"/>
                  <w:vAlign w:val="bottom"/>
                </w:tcPr>
                <w:p w:rsidR="00AC2131" w:rsidRPr="007E34F5" w:rsidRDefault="00AC2131" w:rsidP="00AC2131">
                  <w:pPr>
                    <w:pStyle w:val="TableBodyText"/>
                    <w:spacing w:after="0"/>
                    <w:ind w:left="0" w:right="57"/>
                    <w:rPr>
                      <w:b/>
                    </w:rPr>
                  </w:pPr>
                  <w:r w:rsidRPr="007E34F5">
                    <w:rPr>
                      <w:b/>
                    </w:rPr>
                    <w:t>186.3</w:t>
                  </w:r>
                </w:p>
              </w:tc>
              <w:tc>
                <w:tcPr>
                  <w:tcW w:w="499" w:type="pct"/>
                  <w:vAlign w:val="bottom"/>
                </w:tcPr>
                <w:p w:rsidR="00AC2131" w:rsidRPr="007E34F5" w:rsidRDefault="00AC2131" w:rsidP="00AC2131">
                  <w:pPr>
                    <w:pStyle w:val="TableBodyText"/>
                    <w:spacing w:after="0"/>
                    <w:ind w:left="0" w:right="57"/>
                    <w:rPr>
                      <w:b/>
                    </w:rPr>
                  </w:pPr>
                  <w:r w:rsidRPr="007E34F5">
                    <w:rPr>
                      <w:b/>
                    </w:rPr>
                    <w:t>398.1</w:t>
                  </w:r>
                </w:p>
              </w:tc>
              <w:tc>
                <w:tcPr>
                  <w:tcW w:w="499" w:type="pct"/>
                  <w:shd w:val="clear" w:color="auto" w:fill="auto"/>
                  <w:vAlign w:val="bottom"/>
                </w:tcPr>
                <w:p w:rsidR="00AC2131" w:rsidRPr="007E34F5" w:rsidRDefault="00AC2131" w:rsidP="00AC2131">
                  <w:pPr>
                    <w:pStyle w:val="TableBodyText"/>
                    <w:spacing w:after="0"/>
                    <w:ind w:left="0" w:right="57"/>
                    <w:rPr>
                      <w:b/>
                    </w:rPr>
                  </w:pPr>
                  <w:r w:rsidRPr="007E34F5">
                    <w:rPr>
                      <w:b/>
                    </w:rPr>
                    <w:t>171.0</w:t>
                  </w:r>
                </w:p>
              </w:tc>
              <w:tc>
                <w:tcPr>
                  <w:tcW w:w="496" w:type="pct"/>
                  <w:shd w:val="clear" w:color="auto" w:fill="auto"/>
                  <w:vAlign w:val="bottom"/>
                </w:tcPr>
                <w:p w:rsidR="00AC2131" w:rsidRPr="007E34F5" w:rsidRDefault="00AC2131" w:rsidP="00AC2131">
                  <w:pPr>
                    <w:pStyle w:val="TableBodyText"/>
                    <w:spacing w:after="0"/>
                    <w:ind w:left="0" w:right="57"/>
                    <w:rPr>
                      <w:b/>
                    </w:rPr>
                  </w:pPr>
                  <w:r w:rsidRPr="007E34F5">
                    <w:rPr>
                      <w:b/>
                    </w:rPr>
                    <w:t>265.8</w:t>
                  </w:r>
                </w:p>
              </w:tc>
            </w:tr>
            <w:tr w:rsidR="00AC2131" w:rsidRPr="007E34F5" w:rsidTr="00AC2131">
              <w:tc>
                <w:tcPr>
                  <w:tcW w:w="2002" w:type="pct"/>
                  <w:shd w:val="clear" w:color="auto" w:fill="auto"/>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Manufacturing</w:t>
                  </w:r>
                </w:p>
              </w:tc>
              <w:tc>
                <w:tcPr>
                  <w:tcW w:w="502" w:type="pct"/>
                  <w:vAlign w:val="bottom"/>
                </w:tcPr>
                <w:p w:rsidR="00AC2131" w:rsidRPr="007E34F5" w:rsidRDefault="00AC2131" w:rsidP="00AC2131">
                  <w:pPr>
                    <w:pStyle w:val="TableBodyText"/>
                    <w:spacing w:after="0"/>
                    <w:ind w:left="0" w:right="57"/>
                    <w:rPr>
                      <w:b/>
                    </w:rPr>
                  </w:pPr>
                  <w:r w:rsidRPr="007E34F5">
                    <w:rPr>
                      <w:b/>
                    </w:rPr>
                    <w:t>810.4</w:t>
                  </w:r>
                </w:p>
              </w:tc>
              <w:tc>
                <w:tcPr>
                  <w:tcW w:w="501" w:type="pct"/>
                  <w:vAlign w:val="bottom"/>
                </w:tcPr>
                <w:p w:rsidR="00AC2131" w:rsidRPr="007E34F5" w:rsidRDefault="00AC2131" w:rsidP="00AC2131">
                  <w:pPr>
                    <w:pStyle w:val="TableBodyText"/>
                    <w:spacing w:after="0"/>
                    <w:ind w:left="0" w:right="57"/>
                    <w:rPr>
                      <w:b/>
                    </w:rPr>
                  </w:pPr>
                  <w:r w:rsidRPr="007E34F5">
                    <w:rPr>
                      <w:b/>
                    </w:rPr>
                    <w:t>971.1</w:t>
                  </w:r>
                </w:p>
              </w:tc>
              <w:tc>
                <w:tcPr>
                  <w:tcW w:w="501" w:type="pct"/>
                  <w:vAlign w:val="bottom"/>
                </w:tcPr>
                <w:p w:rsidR="00AC2131" w:rsidRPr="007E34F5" w:rsidRDefault="00AC2131" w:rsidP="00AC2131">
                  <w:pPr>
                    <w:pStyle w:val="TableBodyText"/>
                    <w:spacing w:after="0"/>
                    <w:ind w:left="0" w:right="57"/>
                    <w:rPr>
                      <w:b/>
                    </w:rPr>
                  </w:pPr>
                  <w:r w:rsidRPr="007E34F5">
                    <w:rPr>
                      <w:b/>
                    </w:rPr>
                    <w:t>947.4</w:t>
                  </w:r>
                </w:p>
              </w:tc>
              <w:tc>
                <w:tcPr>
                  <w:tcW w:w="499" w:type="pct"/>
                  <w:vAlign w:val="bottom"/>
                </w:tcPr>
                <w:p w:rsidR="00AC2131" w:rsidRPr="007E34F5" w:rsidRDefault="00AC2131" w:rsidP="00AC2131">
                  <w:pPr>
                    <w:pStyle w:val="TableBodyText"/>
                    <w:spacing w:after="0"/>
                    <w:ind w:left="0" w:right="57"/>
                    <w:rPr>
                      <w:b/>
                    </w:rPr>
                  </w:pPr>
                  <w:r w:rsidRPr="007E34F5">
                    <w:rPr>
                      <w:b/>
                    </w:rPr>
                    <w:t>1376.1</w:t>
                  </w:r>
                </w:p>
              </w:tc>
              <w:tc>
                <w:tcPr>
                  <w:tcW w:w="499" w:type="pct"/>
                  <w:shd w:val="clear" w:color="auto" w:fill="auto"/>
                  <w:vAlign w:val="bottom"/>
                </w:tcPr>
                <w:p w:rsidR="00AC2131" w:rsidRPr="007E34F5" w:rsidRDefault="00AC2131" w:rsidP="00AC2131">
                  <w:pPr>
                    <w:pStyle w:val="TableBodyText"/>
                    <w:spacing w:after="0"/>
                    <w:ind w:left="0" w:right="57"/>
                    <w:rPr>
                      <w:b/>
                    </w:rPr>
                  </w:pPr>
                  <w:r w:rsidRPr="007E34F5">
                    <w:rPr>
                      <w:b/>
                    </w:rPr>
                    <w:t>1033.3</w:t>
                  </w:r>
                </w:p>
              </w:tc>
              <w:tc>
                <w:tcPr>
                  <w:tcW w:w="496" w:type="pct"/>
                  <w:shd w:val="clear" w:color="auto" w:fill="auto"/>
                  <w:vAlign w:val="bottom"/>
                </w:tcPr>
                <w:p w:rsidR="00AC2131" w:rsidRPr="007E34F5" w:rsidRDefault="00AC2131" w:rsidP="00AC2131">
                  <w:pPr>
                    <w:pStyle w:val="TableBodyText"/>
                    <w:spacing w:after="0"/>
                    <w:ind w:left="0" w:right="57"/>
                    <w:rPr>
                      <w:b/>
                    </w:rPr>
                  </w:pPr>
                  <w:r w:rsidRPr="007E34F5">
                    <w:rPr>
                      <w:b/>
                    </w:rPr>
                    <w:t>1119.1</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Food, beverages and tobacco</w:t>
                  </w:r>
                </w:p>
              </w:tc>
              <w:tc>
                <w:tcPr>
                  <w:tcW w:w="502" w:type="pct"/>
                  <w:vAlign w:val="bottom"/>
                </w:tcPr>
                <w:p w:rsidR="00AC2131" w:rsidRPr="007E34F5" w:rsidRDefault="00AC2131" w:rsidP="00AC2131">
                  <w:pPr>
                    <w:pStyle w:val="TableBodyText"/>
                    <w:spacing w:after="0"/>
                    <w:ind w:left="0" w:right="57"/>
                  </w:pPr>
                  <w:r w:rsidRPr="007E34F5">
                    <w:t>62.5</w:t>
                  </w:r>
                </w:p>
              </w:tc>
              <w:tc>
                <w:tcPr>
                  <w:tcW w:w="501" w:type="pct"/>
                  <w:vAlign w:val="bottom"/>
                </w:tcPr>
                <w:p w:rsidR="00AC2131" w:rsidRPr="007E34F5" w:rsidRDefault="00AC2131" w:rsidP="00AC2131">
                  <w:pPr>
                    <w:pStyle w:val="TableBodyText"/>
                    <w:spacing w:after="0"/>
                    <w:ind w:left="0" w:right="57"/>
                  </w:pPr>
                  <w:r w:rsidRPr="007E34F5">
                    <w:t>53.0</w:t>
                  </w:r>
                </w:p>
              </w:tc>
              <w:tc>
                <w:tcPr>
                  <w:tcW w:w="501" w:type="pct"/>
                  <w:vAlign w:val="bottom"/>
                </w:tcPr>
                <w:p w:rsidR="00AC2131" w:rsidRPr="007E34F5" w:rsidRDefault="00AC2131" w:rsidP="00AC2131">
                  <w:pPr>
                    <w:pStyle w:val="TableBodyText"/>
                    <w:spacing w:after="0"/>
                    <w:ind w:left="0" w:right="57"/>
                  </w:pPr>
                  <w:r w:rsidRPr="007E34F5">
                    <w:t>51.4</w:t>
                  </w:r>
                </w:p>
              </w:tc>
              <w:tc>
                <w:tcPr>
                  <w:tcW w:w="499" w:type="pct"/>
                  <w:vAlign w:val="bottom"/>
                </w:tcPr>
                <w:p w:rsidR="00AC2131" w:rsidRPr="007E34F5" w:rsidRDefault="00AC2131" w:rsidP="00AC2131">
                  <w:pPr>
                    <w:pStyle w:val="TableBodyText"/>
                    <w:spacing w:after="0"/>
                    <w:ind w:left="0" w:right="57"/>
                  </w:pPr>
                  <w:r w:rsidRPr="007E34F5">
                    <w:t>27.4</w:t>
                  </w:r>
                </w:p>
              </w:tc>
              <w:tc>
                <w:tcPr>
                  <w:tcW w:w="499" w:type="pct"/>
                  <w:shd w:val="clear" w:color="auto" w:fill="auto"/>
                  <w:vAlign w:val="bottom"/>
                </w:tcPr>
                <w:p w:rsidR="00AC2131" w:rsidRPr="007E34F5" w:rsidRDefault="00AC2131" w:rsidP="00AC2131">
                  <w:pPr>
                    <w:pStyle w:val="TableBodyText"/>
                    <w:spacing w:after="0"/>
                    <w:ind w:left="0" w:right="57"/>
                  </w:pPr>
                  <w:r w:rsidRPr="007E34F5">
                    <w:t>41.8</w:t>
                  </w:r>
                </w:p>
              </w:tc>
              <w:tc>
                <w:tcPr>
                  <w:tcW w:w="496" w:type="pct"/>
                  <w:shd w:val="clear" w:color="auto" w:fill="auto"/>
                  <w:vAlign w:val="bottom"/>
                </w:tcPr>
                <w:p w:rsidR="00AC2131" w:rsidRPr="007E34F5" w:rsidRDefault="00AC2131" w:rsidP="00AC2131">
                  <w:pPr>
                    <w:pStyle w:val="TableBodyText"/>
                    <w:spacing w:after="0"/>
                    <w:ind w:left="0" w:right="57"/>
                  </w:pPr>
                  <w:r w:rsidRPr="007E34F5">
                    <w:t>89.8</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Textile</w:t>
                  </w:r>
                  <w:r>
                    <w:rPr>
                      <w:rFonts w:ascii="Arial" w:hAnsi="Arial" w:cs="Arial"/>
                      <w:sz w:val="18"/>
                      <w:szCs w:val="18"/>
                    </w:rPr>
                    <w:t>s</w:t>
                  </w:r>
                  <w:r w:rsidRPr="00E532D9">
                    <w:rPr>
                      <w:rFonts w:ascii="Arial" w:hAnsi="Arial" w:cs="Arial"/>
                      <w:sz w:val="18"/>
                      <w:szCs w:val="18"/>
                    </w:rPr>
                    <w:t>, leather, clothing and footwear</w:t>
                  </w:r>
                </w:p>
              </w:tc>
              <w:tc>
                <w:tcPr>
                  <w:tcW w:w="502" w:type="pct"/>
                  <w:vAlign w:val="bottom"/>
                </w:tcPr>
                <w:p w:rsidR="00AC2131" w:rsidRPr="007E34F5" w:rsidRDefault="00AC2131" w:rsidP="00AC2131">
                  <w:pPr>
                    <w:pStyle w:val="TableBodyText"/>
                    <w:spacing w:after="0"/>
                    <w:ind w:left="0" w:right="57"/>
                  </w:pPr>
                  <w:r w:rsidRPr="007E34F5">
                    <w:t>112.9</w:t>
                  </w:r>
                </w:p>
              </w:tc>
              <w:tc>
                <w:tcPr>
                  <w:tcW w:w="501" w:type="pct"/>
                  <w:vAlign w:val="bottom"/>
                </w:tcPr>
                <w:p w:rsidR="00AC2131" w:rsidRPr="007E34F5" w:rsidRDefault="00AC2131" w:rsidP="00AC2131">
                  <w:pPr>
                    <w:pStyle w:val="TableBodyText"/>
                    <w:spacing w:after="0"/>
                    <w:ind w:left="0" w:right="57"/>
                  </w:pPr>
                  <w:r w:rsidRPr="007E34F5">
                    <w:t>122.2</w:t>
                  </w:r>
                </w:p>
              </w:tc>
              <w:tc>
                <w:tcPr>
                  <w:tcW w:w="501" w:type="pct"/>
                  <w:vAlign w:val="bottom"/>
                </w:tcPr>
                <w:p w:rsidR="00AC2131" w:rsidRPr="007E34F5" w:rsidRDefault="00AC2131" w:rsidP="00AC2131">
                  <w:pPr>
                    <w:pStyle w:val="TableBodyText"/>
                    <w:spacing w:after="0"/>
                    <w:ind w:left="0" w:right="57"/>
                  </w:pPr>
                  <w:r w:rsidRPr="007E34F5">
                    <w:t>122.6</w:t>
                  </w:r>
                </w:p>
              </w:tc>
              <w:tc>
                <w:tcPr>
                  <w:tcW w:w="499" w:type="pct"/>
                  <w:vAlign w:val="bottom"/>
                </w:tcPr>
                <w:p w:rsidR="00AC2131" w:rsidRPr="007E34F5" w:rsidRDefault="00AC2131" w:rsidP="00AC2131">
                  <w:pPr>
                    <w:pStyle w:val="TableBodyText"/>
                    <w:spacing w:after="0"/>
                    <w:ind w:left="0" w:right="57"/>
                  </w:pPr>
                  <w:r w:rsidRPr="007E34F5">
                    <w:t>50.4</w:t>
                  </w:r>
                </w:p>
              </w:tc>
              <w:tc>
                <w:tcPr>
                  <w:tcW w:w="499" w:type="pct"/>
                  <w:shd w:val="clear" w:color="auto" w:fill="auto"/>
                  <w:vAlign w:val="bottom"/>
                </w:tcPr>
                <w:p w:rsidR="00AC2131" w:rsidRPr="007E34F5" w:rsidRDefault="00AC2131" w:rsidP="00AC2131">
                  <w:pPr>
                    <w:pStyle w:val="TableBodyText"/>
                    <w:spacing w:after="0"/>
                    <w:ind w:left="0" w:right="57"/>
                  </w:pPr>
                  <w:r w:rsidRPr="007E34F5">
                    <w:t>46.0</w:t>
                  </w:r>
                </w:p>
              </w:tc>
              <w:tc>
                <w:tcPr>
                  <w:tcW w:w="496" w:type="pct"/>
                  <w:shd w:val="clear" w:color="auto" w:fill="auto"/>
                  <w:vAlign w:val="bottom"/>
                </w:tcPr>
                <w:p w:rsidR="00AC2131" w:rsidRPr="007E34F5" w:rsidRDefault="00AC2131" w:rsidP="00AC2131">
                  <w:pPr>
                    <w:pStyle w:val="TableBodyText"/>
                    <w:spacing w:after="0"/>
                    <w:ind w:left="0" w:right="57"/>
                  </w:pPr>
                  <w:r w:rsidRPr="007E34F5">
                    <w:t>51.8</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Wood and paper products</w:t>
                  </w:r>
                </w:p>
              </w:tc>
              <w:tc>
                <w:tcPr>
                  <w:tcW w:w="502" w:type="pct"/>
                  <w:vAlign w:val="bottom"/>
                </w:tcPr>
                <w:p w:rsidR="00AC2131" w:rsidRPr="007E34F5" w:rsidRDefault="00AC2131" w:rsidP="00AC2131">
                  <w:pPr>
                    <w:pStyle w:val="TableBodyText"/>
                    <w:spacing w:after="0"/>
                    <w:ind w:left="0" w:right="57"/>
                  </w:pPr>
                  <w:r w:rsidRPr="007E34F5">
                    <w:t>60.3</w:t>
                  </w:r>
                </w:p>
              </w:tc>
              <w:tc>
                <w:tcPr>
                  <w:tcW w:w="501" w:type="pct"/>
                  <w:vAlign w:val="bottom"/>
                </w:tcPr>
                <w:p w:rsidR="00AC2131" w:rsidRPr="007E34F5" w:rsidRDefault="00AC2131" w:rsidP="00AC2131">
                  <w:pPr>
                    <w:pStyle w:val="TableBodyText"/>
                    <w:spacing w:after="0"/>
                    <w:ind w:left="0" w:right="57"/>
                  </w:pPr>
                  <w:r w:rsidRPr="007E34F5">
                    <w:t>14.5</w:t>
                  </w:r>
                </w:p>
              </w:tc>
              <w:tc>
                <w:tcPr>
                  <w:tcW w:w="501" w:type="pct"/>
                  <w:vAlign w:val="bottom"/>
                </w:tcPr>
                <w:p w:rsidR="00AC2131" w:rsidRPr="007E34F5" w:rsidRDefault="00AC2131" w:rsidP="00AC2131">
                  <w:pPr>
                    <w:pStyle w:val="TableBodyText"/>
                    <w:spacing w:after="0"/>
                    <w:ind w:left="0" w:right="57"/>
                  </w:pPr>
                  <w:r w:rsidRPr="007E34F5">
                    <w:t>10.5</w:t>
                  </w:r>
                </w:p>
              </w:tc>
              <w:tc>
                <w:tcPr>
                  <w:tcW w:w="499" w:type="pct"/>
                  <w:vAlign w:val="bottom"/>
                </w:tcPr>
                <w:p w:rsidR="00AC2131" w:rsidRPr="007E34F5" w:rsidRDefault="00AC2131" w:rsidP="00AC2131">
                  <w:pPr>
                    <w:pStyle w:val="TableBodyText"/>
                    <w:spacing w:after="0"/>
                    <w:ind w:left="0" w:right="57"/>
                  </w:pPr>
                  <w:r w:rsidRPr="007E34F5">
                    <w:t>5.6</w:t>
                  </w:r>
                </w:p>
              </w:tc>
              <w:tc>
                <w:tcPr>
                  <w:tcW w:w="499" w:type="pct"/>
                  <w:shd w:val="clear" w:color="auto" w:fill="auto"/>
                  <w:vAlign w:val="bottom"/>
                </w:tcPr>
                <w:p w:rsidR="00AC2131" w:rsidRPr="007E34F5" w:rsidRDefault="00AC2131" w:rsidP="00AC2131">
                  <w:pPr>
                    <w:pStyle w:val="TableBodyText"/>
                    <w:spacing w:after="0"/>
                    <w:ind w:left="0" w:right="57"/>
                  </w:pPr>
                  <w:r w:rsidRPr="007E34F5">
                    <w:t>16.8</w:t>
                  </w:r>
                </w:p>
              </w:tc>
              <w:tc>
                <w:tcPr>
                  <w:tcW w:w="496" w:type="pct"/>
                  <w:shd w:val="clear" w:color="auto" w:fill="auto"/>
                  <w:vAlign w:val="bottom"/>
                </w:tcPr>
                <w:p w:rsidR="00AC2131" w:rsidRPr="007E34F5" w:rsidRDefault="00AC2131" w:rsidP="00AC2131">
                  <w:pPr>
                    <w:pStyle w:val="TableBodyText"/>
                    <w:spacing w:after="0"/>
                    <w:ind w:left="0" w:right="57"/>
                  </w:pPr>
                  <w:r w:rsidRPr="007E34F5">
                    <w:t>11.4</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Printing and recorded media</w:t>
                  </w:r>
                </w:p>
              </w:tc>
              <w:tc>
                <w:tcPr>
                  <w:tcW w:w="502" w:type="pct"/>
                  <w:vAlign w:val="bottom"/>
                </w:tcPr>
                <w:p w:rsidR="00AC2131" w:rsidRPr="007E34F5" w:rsidRDefault="00AC2131" w:rsidP="00AC2131">
                  <w:pPr>
                    <w:pStyle w:val="TableBodyText"/>
                    <w:spacing w:after="0"/>
                    <w:ind w:left="0" w:right="57"/>
                  </w:pPr>
                  <w:r w:rsidRPr="007E34F5">
                    <w:t>5.4</w:t>
                  </w:r>
                </w:p>
              </w:tc>
              <w:tc>
                <w:tcPr>
                  <w:tcW w:w="501" w:type="pct"/>
                  <w:vAlign w:val="bottom"/>
                </w:tcPr>
                <w:p w:rsidR="00AC2131" w:rsidRPr="007E34F5" w:rsidRDefault="00AC2131" w:rsidP="00AC2131">
                  <w:pPr>
                    <w:pStyle w:val="TableBodyText"/>
                    <w:spacing w:after="0"/>
                    <w:ind w:left="0" w:right="57"/>
                  </w:pPr>
                  <w:r w:rsidRPr="007E34F5">
                    <w:t>5.2</w:t>
                  </w:r>
                </w:p>
              </w:tc>
              <w:tc>
                <w:tcPr>
                  <w:tcW w:w="501" w:type="pct"/>
                  <w:vAlign w:val="bottom"/>
                </w:tcPr>
                <w:p w:rsidR="00AC2131" w:rsidRPr="007E34F5" w:rsidRDefault="00AC2131" w:rsidP="00AC2131">
                  <w:pPr>
                    <w:pStyle w:val="TableBodyText"/>
                    <w:spacing w:after="0"/>
                    <w:ind w:left="0" w:right="57"/>
                  </w:pPr>
                  <w:r w:rsidRPr="007E34F5">
                    <w:t>3.4</w:t>
                  </w:r>
                </w:p>
              </w:tc>
              <w:tc>
                <w:tcPr>
                  <w:tcW w:w="499" w:type="pct"/>
                  <w:vAlign w:val="bottom"/>
                </w:tcPr>
                <w:p w:rsidR="00AC2131" w:rsidRPr="007E34F5" w:rsidRDefault="00AC2131" w:rsidP="00AC2131">
                  <w:pPr>
                    <w:pStyle w:val="TableBodyText"/>
                    <w:spacing w:after="0"/>
                    <w:ind w:left="0" w:right="57"/>
                  </w:pPr>
                  <w:r w:rsidRPr="007E34F5">
                    <w:t>6.1</w:t>
                  </w:r>
                </w:p>
              </w:tc>
              <w:tc>
                <w:tcPr>
                  <w:tcW w:w="499" w:type="pct"/>
                  <w:shd w:val="clear" w:color="auto" w:fill="auto"/>
                  <w:vAlign w:val="bottom"/>
                </w:tcPr>
                <w:p w:rsidR="00AC2131" w:rsidRPr="007E34F5" w:rsidRDefault="00AC2131" w:rsidP="00AC2131">
                  <w:pPr>
                    <w:pStyle w:val="TableBodyText"/>
                    <w:spacing w:after="0"/>
                    <w:ind w:left="0" w:right="57"/>
                  </w:pPr>
                  <w:r w:rsidRPr="007E34F5">
                    <w:t>4.2</w:t>
                  </w:r>
                </w:p>
              </w:tc>
              <w:tc>
                <w:tcPr>
                  <w:tcW w:w="496" w:type="pct"/>
                  <w:shd w:val="clear" w:color="auto" w:fill="auto"/>
                  <w:vAlign w:val="bottom"/>
                </w:tcPr>
                <w:p w:rsidR="00AC2131" w:rsidRPr="007E34F5" w:rsidRDefault="00AC2131" w:rsidP="00AC2131">
                  <w:pPr>
                    <w:pStyle w:val="TableBodyText"/>
                    <w:spacing w:after="0"/>
                    <w:ind w:left="0" w:right="57"/>
                  </w:pPr>
                  <w:r w:rsidRPr="007E34F5">
                    <w:t>7.1</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Petroleum, coal, chemical and rubber</w:t>
                  </w:r>
                </w:p>
              </w:tc>
              <w:tc>
                <w:tcPr>
                  <w:tcW w:w="502" w:type="pct"/>
                  <w:vAlign w:val="bottom"/>
                </w:tcPr>
                <w:p w:rsidR="00AC2131" w:rsidRPr="007E34F5" w:rsidRDefault="00AC2131" w:rsidP="00AC2131">
                  <w:pPr>
                    <w:pStyle w:val="TableBodyText"/>
                    <w:spacing w:after="0"/>
                    <w:ind w:left="0" w:right="57"/>
                  </w:pPr>
                  <w:r w:rsidRPr="007E34F5">
                    <w:t>197.3</w:t>
                  </w:r>
                </w:p>
              </w:tc>
              <w:tc>
                <w:tcPr>
                  <w:tcW w:w="501" w:type="pct"/>
                  <w:vAlign w:val="bottom"/>
                </w:tcPr>
                <w:p w:rsidR="00AC2131" w:rsidRPr="007E34F5" w:rsidRDefault="00AC2131" w:rsidP="00AC2131">
                  <w:pPr>
                    <w:pStyle w:val="TableBodyText"/>
                    <w:spacing w:after="0"/>
                    <w:ind w:left="0" w:right="57"/>
                  </w:pPr>
                  <w:r w:rsidRPr="007E34F5">
                    <w:t>209.6</w:t>
                  </w:r>
                </w:p>
              </w:tc>
              <w:tc>
                <w:tcPr>
                  <w:tcW w:w="501" w:type="pct"/>
                  <w:vAlign w:val="bottom"/>
                </w:tcPr>
                <w:p w:rsidR="00AC2131" w:rsidRPr="007E34F5" w:rsidRDefault="00AC2131" w:rsidP="00AC2131">
                  <w:pPr>
                    <w:pStyle w:val="TableBodyText"/>
                    <w:spacing w:after="0"/>
                    <w:ind w:left="0" w:right="57"/>
                  </w:pPr>
                  <w:r w:rsidRPr="007E34F5">
                    <w:t>234.2</w:t>
                  </w:r>
                </w:p>
              </w:tc>
              <w:tc>
                <w:tcPr>
                  <w:tcW w:w="499" w:type="pct"/>
                  <w:vAlign w:val="bottom"/>
                </w:tcPr>
                <w:p w:rsidR="00AC2131" w:rsidRPr="007E34F5" w:rsidRDefault="00AC2131" w:rsidP="00AC2131">
                  <w:pPr>
                    <w:pStyle w:val="TableBodyText"/>
                    <w:spacing w:after="0"/>
                    <w:ind w:left="0" w:right="57"/>
                  </w:pPr>
                  <w:r w:rsidRPr="007E34F5">
                    <w:t>220.1</w:t>
                  </w:r>
                </w:p>
              </w:tc>
              <w:tc>
                <w:tcPr>
                  <w:tcW w:w="499" w:type="pct"/>
                  <w:shd w:val="clear" w:color="auto" w:fill="auto"/>
                  <w:vAlign w:val="bottom"/>
                </w:tcPr>
                <w:p w:rsidR="00AC2131" w:rsidRPr="007E34F5" w:rsidRDefault="00AC2131" w:rsidP="00AC2131">
                  <w:pPr>
                    <w:pStyle w:val="TableBodyText"/>
                    <w:spacing w:after="0"/>
                    <w:ind w:left="0" w:right="57"/>
                  </w:pPr>
                  <w:r w:rsidRPr="007E34F5">
                    <w:t>226.8</w:t>
                  </w:r>
                </w:p>
              </w:tc>
              <w:tc>
                <w:tcPr>
                  <w:tcW w:w="496" w:type="pct"/>
                  <w:shd w:val="clear" w:color="auto" w:fill="auto"/>
                  <w:vAlign w:val="bottom"/>
                </w:tcPr>
                <w:p w:rsidR="00AC2131" w:rsidRPr="007E34F5" w:rsidRDefault="00AC2131" w:rsidP="00AC2131">
                  <w:pPr>
                    <w:pStyle w:val="TableBodyText"/>
                    <w:spacing w:after="0"/>
                    <w:ind w:left="0" w:right="57"/>
                  </w:pPr>
                  <w:r w:rsidRPr="007E34F5">
                    <w:t>260.7</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Non-metallic mineral products</w:t>
                  </w:r>
                </w:p>
              </w:tc>
              <w:tc>
                <w:tcPr>
                  <w:tcW w:w="502" w:type="pct"/>
                  <w:vAlign w:val="bottom"/>
                </w:tcPr>
                <w:p w:rsidR="00AC2131" w:rsidRPr="007E34F5" w:rsidRDefault="00AC2131" w:rsidP="00AC2131">
                  <w:pPr>
                    <w:pStyle w:val="TableBodyText"/>
                    <w:spacing w:after="0"/>
                    <w:ind w:left="0" w:right="57"/>
                  </w:pPr>
                  <w:r w:rsidRPr="007E34F5">
                    <w:t>6.7</w:t>
                  </w:r>
                </w:p>
              </w:tc>
              <w:tc>
                <w:tcPr>
                  <w:tcW w:w="501" w:type="pct"/>
                  <w:vAlign w:val="bottom"/>
                </w:tcPr>
                <w:p w:rsidR="00AC2131" w:rsidRPr="007E34F5" w:rsidRDefault="00AC2131" w:rsidP="00AC2131">
                  <w:pPr>
                    <w:pStyle w:val="TableBodyText"/>
                    <w:spacing w:after="0"/>
                    <w:ind w:left="0" w:right="57"/>
                  </w:pPr>
                  <w:r w:rsidRPr="007E34F5">
                    <w:t>8.3</w:t>
                  </w:r>
                </w:p>
              </w:tc>
              <w:tc>
                <w:tcPr>
                  <w:tcW w:w="501" w:type="pct"/>
                  <w:vAlign w:val="bottom"/>
                </w:tcPr>
                <w:p w:rsidR="00AC2131" w:rsidRPr="007E34F5" w:rsidRDefault="00AC2131" w:rsidP="00AC2131">
                  <w:pPr>
                    <w:pStyle w:val="TableBodyText"/>
                    <w:spacing w:after="0"/>
                    <w:ind w:left="0" w:right="57"/>
                  </w:pPr>
                  <w:r w:rsidRPr="007E34F5">
                    <w:t>6.2</w:t>
                  </w:r>
                </w:p>
              </w:tc>
              <w:tc>
                <w:tcPr>
                  <w:tcW w:w="499" w:type="pct"/>
                  <w:vAlign w:val="bottom"/>
                </w:tcPr>
                <w:p w:rsidR="00AC2131" w:rsidRPr="007E34F5" w:rsidRDefault="00AC2131" w:rsidP="00AC2131">
                  <w:pPr>
                    <w:pStyle w:val="TableBodyText"/>
                    <w:spacing w:after="0"/>
                    <w:ind w:left="0" w:right="57"/>
                  </w:pPr>
                  <w:r w:rsidRPr="007E34F5">
                    <w:t>7.3</w:t>
                  </w:r>
                </w:p>
              </w:tc>
              <w:tc>
                <w:tcPr>
                  <w:tcW w:w="499" w:type="pct"/>
                  <w:shd w:val="clear" w:color="auto" w:fill="auto"/>
                  <w:vAlign w:val="bottom"/>
                </w:tcPr>
                <w:p w:rsidR="00AC2131" w:rsidRPr="007E34F5" w:rsidRDefault="00AC2131" w:rsidP="00AC2131">
                  <w:pPr>
                    <w:pStyle w:val="TableBodyText"/>
                    <w:spacing w:after="0"/>
                    <w:ind w:left="0" w:right="57"/>
                  </w:pPr>
                  <w:r w:rsidRPr="007E34F5">
                    <w:t>12.8</w:t>
                  </w:r>
                </w:p>
              </w:tc>
              <w:tc>
                <w:tcPr>
                  <w:tcW w:w="496" w:type="pct"/>
                  <w:shd w:val="clear" w:color="auto" w:fill="auto"/>
                  <w:vAlign w:val="bottom"/>
                </w:tcPr>
                <w:p w:rsidR="00AC2131" w:rsidRPr="007E34F5" w:rsidRDefault="00AC2131" w:rsidP="00AC2131">
                  <w:pPr>
                    <w:pStyle w:val="TableBodyText"/>
                    <w:spacing w:after="0"/>
                    <w:ind w:left="0" w:right="57"/>
                  </w:pPr>
                  <w:r w:rsidRPr="007E34F5">
                    <w:t>26.7</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Metal and fabricated metal products</w:t>
                  </w:r>
                </w:p>
              </w:tc>
              <w:tc>
                <w:tcPr>
                  <w:tcW w:w="502" w:type="pct"/>
                  <w:vAlign w:val="bottom"/>
                </w:tcPr>
                <w:p w:rsidR="00AC2131" w:rsidRPr="007E34F5" w:rsidRDefault="00AC2131" w:rsidP="00AC2131">
                  <w:pPr>
                    <w:pStyle w:val="TableBodyText"/>
                    <w:spacing w:after="0"/>
                    <w:ind w:left="0" w:right="57"/>
                  </w:pPr>
                  <w:r w:rsidRPr="007E34F5">
                    <w:t>61.6</w:t>
                  </w:r>
                </w:p>
              </w:tc>
              <w:tc>
                <w:tcPr>
                  <w:tcW w:w="501" w:type="pct"/>
                  <w:vAlign w:val="bottom"/>
                </w:tcPr>
                <w:p w:rsidR="00AC2131" w:rsidRPr="007E34F5" w:rsidRDefault="00AC2131" w:rsidP="00AC2131">
                  <w:pPr>
                    <w:pStyle w:val="TableBodyText"/>
                    <w:spacing w:after="0"/>
                    <w:ind w:left="0" w:right="57"/>
                  </w:pPr>
                  <w:r w:rsidRPr="007E34F5">
                    <w:t>62.1</w:t>
                  </w:r>
                </w:p>
              </w:tc>
              <w:tc>
                <w:tcPr>
                  <w:tcW w:w="501" w:type="pct"/>
                  <w:vAlign w:val="bottom"/>
                </w:tcPr>
                <w:p w:rsidR="00AC2131" w:rsidRPr="007E34F5" w:rsidRDefault="00AC2131" w:rsidP="00AC2131">
                  <w:pPr>
                    <w:pStyle w:val="TableBodyText"/>
                    <w:spacing w:after="0"/>
                    <w:ind w:left="0" w:right="57"/>
                  </w:pPr>
                  <w:r w:rsidRPr="007E34F5">
                    <w:t>50.6</w:t>
                  </w:r>
                </w:p>
              </w:tc>
              <w:tc>
                <w:tcPr>
                  <w:tcW w:w="499" w:type="pct"/>
                  <w:vAlign w:val="bottom"/>
                </w:tcPr>
                <w:p w:rsidR="00AC2131" w:rsidRPr="007E34F5" w:rsidRDefault="00AC2131" w:rsidP="00AC2131">
                  <w:pPr>
                    <w:pStyle w:val="TableBodyText"/>
                    <w:spacing w:after="0"/>
                    <w:ind w:left="0" w:right="57"/>
                  </w:pPr>
                  <w:r w:rsidRPr="007E34F5">
                    <w:t>205.4</w:t>
                  </w:r>
                </w:p>
              </w:tc>
              <w:tc>
                <w:tcPr>
                  <w:tcW w:w="499" w:type="pct"/>
                  <w:shd w:val="clear" w:color="auto" w:fill="auto"/>
                  <w:vAlign w:val="bottom"/>
                </w:tcPr>
                <w:p w:rsidR="00AC2131" w:rsidRPr="007E34F5" w:rsidRDefault="00AC2131" w:rsidP="00AC2131">
                  <w:pPr>
                    <w:pStyle w:val="TableBodyText"/>
                    <w:spacing w:after="0"/>
                    <w:ind w:left="0" w:right="57"/>
                  </w:pPr>
                  <w:r w:rsidRPr="007E34F5">
                    <w:t>49.5</w:t>
                  </w:r>
                </w:p>
              </w:tc>
              <w:tc>
                <w:tcPr>
                  <w:tcW w:w="496" w:type="pct"/>
                  <w:shd w:val="clear" w:color="auto" w:fill="auto"/>
                  <w:vAlign w:val="bottom"/>
                </w:tcPr>
                <w:p w:rsidR="00AC2131" w:rsidRPr="007E34F5" w:rsidRDefault="00AC2131" w:rsidP="00AC2131">
                  <w:pPr>
                    <w:pStyle w:val="TableBodyText"/>
                    <w:spacing w:after="0"/>
                    <w:ind w:left="0" w:right="57"/>
                  </w:pPr>
                  <w:r w:rsidRPr="007E34F5">
                    <w:t>52.5</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Motor vehicle</w:t>
                  </w:r>
                  <w:r>
                    <w:rPr>
                      <w:rFonts w:ascii="Arial" w:hAnsi="Arial" w:cs="Arial"/>
                      <w:sz w:val="18"/>
                      <w:szCs w:val="18"/>
                    </w:rPr>
                    <w:t>s</w:t>
                  </w:r>
                  <w:r w:rsidRPr="00E532D9">
                    <w:rPr>
                      <w:rFonts w:ascii="Arial" w:hAnsi="Arial" w:cs="Arial"/>
                      <w:sz w:val="18"/>
                      <w:szCs w:val="18"/>
                    </w:rPr>
                    <w:t xml:space="preserve"> and parts</w:t>
                  </w:r>
                </w:p>
              </w:tc>
              <w:tc>
                <w:tcPr>
                  <w:tcW w:w="502" w:type="pct"/>
                  <w:vAlign w:val="bottom"/>
                </w:tcPr>
                <w:p w:rsidR="00AC2131" w:rsidRPr="007E34F5" w:rsidRDefault="00AC2131" w:rsidP="00AC2131">
                  <w:pPr>
                    <w:pStyle w:val="TableBodyText"/>
                    <w:spacing w:after="0"/>
                    <w:ind w:left="0" w:right="57"/>
                  </w:pPr>
                  <w:r w:rsidRPr="007E34F5">
                    <w:t>26.9</w:t>
                  </w:r>
                </w:p>
              </w:tc>
              <w:tc>
                <w:tcPr>
                  <w:tcW w:w="501" w:type="pct"/>
                  <w:vAlign w:val="bottom"/>
                </w:tcPr>
                <w:p w:rsidR="00AC2131" w:rsidRPr="007E34F5" w:rsidRDefault="00AC2131" w:rsidP="00AC2131">
                  <w:pPr>
                    <w:pStyle w:val="TableBodyText"/>
                    <w:spacing w:after="0"/>
                    <w:ind w:left="0" w:right="57"/>
                  </w:pPr>
                  <w:r w:rsidRPr="007E34F5">
                    <w:t>150.6</w:t>
                  </w:r>
                </w:p>
              </w:tc>
              <w:tc>
                <w:tcPr>
                  <w:tcW w:w="501" w:type="pct"/>
                  <w:vAlign w:val="bottom"/>
                </w:tcPr>
                <w:p w:rsidR="00AC2131" w:rsidRPr="007E34F5" w:rsidRDefault="00AC2131" w:rsidP="00AC2131">
                  <w:pPr>
                    <w:pStyle w:val="TableBodyText"/>
                    <w:spacing w:after="0"/>
                    <w:ind w:left="0" w:right="57"/>
                  </w:pPr>
                  <w:r w:rsidRPr="007E34F5">
                    <w:t>192.9</w:t>
                  </w:r>
                </w:p>
              </w:tc>
              <w:tc>
                <w:tcPr>
                  <w:tcW w:w="499" w:type="pct"/>
                  <w:vAlign w:val="bottom"/>
                </w:tcPr>
                <w:p w:rsidR="00AC2131" w:rsidRPr="007E34F5" w:rsidRDefault="00AC2131" w:rsidP="00AC2131">
                  <w:pPr>
                    <w:pStyle w:val="TableBodyText"/>
                    <w:spacing w:after="0"/>
                    <w:ind w:left="0" w:right="57"/>
                  </w:pPr>
                  <w:r w:rsidRPr="007E34F5">
                    <w:t>580.4</w:t>
                  </w:r>
                </w:p>
              </w:tc>
              <w:tc>
                <w:tcPr>
                  <w:tcW w:w="499" w:type="pct"/>
                  <w:shd w:val="clear" w:color="auto" w:fill="auto"/>
                  <w:vAlign w:val="bottom"/>
                </w:tcPr>
                <w:p w:rsidR="00AC2131" w:rsidRPr="007E34F5" w:rsidRDefault="00AC2131" w:rsidP="00AC2131">
                  <w:pPr>
                    <w:pStyle w:val="TableBodyText"/>
                    <w:spacing w:after="0"/>
                    <w:ind w:left="0" w:right="57"/>
                  </w:pPr>
                  <w:r w:rsidRPr="007E34F5">
                    <w:t>408.7</w:t>
                  </w:r>
                </w:p>
              </w:tc>
              <w:tc>
                <w:tcPr>
                  <w:tcW w:w="496" w:type="pct"/>
                  <w:shd w:val="clear" w:color="auto" w:fill="auto"/>
                  <w:vAlign w:val="bottom"/>
                </w:tcPr>
                <w:p w:rsidR="00AC2131" w:rsidRPr="007E34F5" w:rsidRDefault="00AC2131" w:rsidP="00AC2131">
                  <w:pPr>
                    <w:pStyle w:val="TableBodyText"/>
                    <w:spacing w:after="0"/>
                    <w:ind w:left="0" w:right="57"/>
                  </w:pPr>
                  <w:r w:rsidRPr="007E34F5">
                    <w:t>358.2</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Other transport equipment</w:t>
                  </w:r>
                </w:p>
              </w:tc>
              <w:tc>
                <w:tcPr>
                  <w:tcW w:w="502" w:type="pct"/>
                  <w:vAlign w:val="bottom"/>
                </w:tcPr>
                <w:p w:rsidR="00AC2131" w:rsidRPr="007E34F5" w:rsidRDefault="00AC2131" w:rsidP="00AC2131">
                  <w:pPr>
                    <w:pStyle w:val="TableBodyText"/>
                    <w:spacing w:after="0"/>
                    <w:ind w:left="0" w:right="57"/>
                  </w:pPr>
                  <w:r w:rsidRPr="007E34F5">
                    <w:t>23.0</w:t>
                  </w:r>
                </w:p>
              </w:tc>
              <w:tc>
                <w:tcPr>
                  <w:tcW w:w="501" w:type="pct"/>
                  <w:vAlign w:val="bottom"/>
                </w:tcPr>
                <w:p w:rsidR="00AC2131" w:rsidRPr="007E34F5" w:rsidRDefault="00AC2131" w:rsidP="00AC2131">
                  <w:pPr>
                    <w:pStyle w:val="TableBodyText"/>
                    <w:spacing w:after="0"/>
                    <w:ind w:left="0" w:right="57"/>
                  </w:pPr>
                  <w:r w:rsidRPr="007E34F5">
                    <w:t>24.4</w:t>
                  </w:r>
                </w:p>
              </w:tc>
              <w:tc>
                <w:tcPr>
                  <w:tcW w:w="501" w:type="pct"/>
                  <w:vAlign w:val="bottom"/>
                </w:tcPr>
                <w:p w:rsidR="00AC2131" w:rsidRPr="007E34F5" w:rsidRDefault="00AC2131" w:rsidP="00AC2131">
                  <w:pPr>
                    <w:pStyle w:val="TableBodyText"/>
                    <w:spacing w:after="0"/>
                    <w:ind w:left="0" w:right="57"/>
                  </w:pPr>
                  <w:r w:rsidRPr="007E34F5">
                    <w:t>16.4</w:t>
                  </w:r>
                </w:p>
              </w:tc>
              <w:tc>
                <w:tcPr>
                  <w:tcW w:w="499" w:type="pct"/>
                  <w:vAlign w:val="bottom"/>
                </w:tcPr>
                <w:p w:rsidR="00AC2131" w:rsidRPr="007E34F5" w:rsidRDefault="00AC2131" w:rsidP="00AC2131">
                  <w:pPr>
                    <w:pStyle w:val="TableBodyText"/>
                    <w:spacing w:after="0"/>
                    <w:ind w:left="0" w:right="57"/>
                  </w:pPr>
                  <w:r w:rsidRPr="007E34F5">
                    <w:t>13.4</w:t>
                  </w:r>
                </w:p>
              </w:tc>
              <w:tc>
                <w:tcPr>
                  <w:tcW w:w="499" w:type="pct"/>
                  <w:shd w:val="clear" w:color="auto" w:fill="auto"/>
                  <w:vAlign w:val="bottom"/>
                </w:tcPr>
                <w:p w:rsidR="00AC2131" w:rsidRPr="007E34F5" w:rsidRDefault="00AC2131" w:rsidP="00AC2131">
                  <w:pPr>
                    <w:pStyle w:val="TableBodyText"/>
                    <w:spacing w:after="0"/>
                    <w:ind w:left="0" w:right="57"/>
                  </w:pPr>
                  <w:r w:rsidRPr="007E34F5">
                    <w:t>14.0</w:t>
                  </w:r>
                </w:p>
              </w:tc>
              <w:tc>
                <w:tcPr>
                  <w:tcW w:w="496" w:type="pct"/>
                  <w:shd w:val="clear" w:color="auto" w:fill="auto"/>
                  <w:vAlign w:val="bottom"/>
                </w:tcPr>
                <w:p w:rsidR="00AC2131" w:rsidRPr="007E34F5" w:rsidRDefault="00AC2131" w:rsidP="00AC2131">
                  <w:pPr>
                    <w:pStyle w:val="TableBodyText"/>
                    <w:spacing w:after="0"/>
                    <w:ind w:left="0" w:right="57"/>
                  </w:pPr>
                  <w:r w:rsidRPr="007E34F5">
                    <w:t>14.8</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Machinery &amp; equipment manufacturing</w:t>
                  </w:r>
                </w:p>
              </w:tc>
              <w:tc>
                <w:tcPr>
                  <w:tcW w:w="502" w:type="pct"/>
                  <w:vAlign w:val="bottom"/>
                </w:tcPr>
                <w:p w:rsidR="00AC2131" w:rsidRPr="007E34F5" w:rsidRDefault="00AC2131" w:rsidP="00AC2131">
                  <w:pPr>
                    <w:pStyle w:val="TableBodyText"/>
                    <w:spacing w:after="0"/>
                    <w:ind w:left="0" w:right="57"/>
                  </w:pPr>
                  <w:r w:rsidRPr="007E34F5">
                    <w:t>121.3</w:t>
                  </w:r>
                </w:p>
              </w:tc>
              <w:tc>
                <w:tcPr>
                  <w:tcW w:w="501" w:type="pct"/>
                  <w:vAlign w:val="bottom"/>
                </w:tcPr>
                <w:p w:rsidR="00AC2131" w:rsidRPr="007E34F5" w:rsidRDefault="00AC2131" w:rsidP="00AC2131">
                  <w:pPr>
                    <w:pStyle w:val="TableBodyText"/>
                    <w:spacing w:after="0"/>
                    <w:ind w:left="0" w:right="57"/>
                  </w:pPr>
                  <w:r w:rsidRPr="007E34F5">
                    <w:t>124.8</w:t>
                  </w:r>
                </w:p>
              </w:tc>
              <w:tc>
                <w:tcPr>
                  <w:tcW w:w="501" w:type="pct"/>
                  <w:vAlign w:val="bottom"/>
                </w:tcPr>
                <w:p w:rsidR="00AC2131" w:rsidRPr="007E34F5" w:rsidRDefault="00AC2131" w:rsidP="00AC2131">
                  <w:pPr>
                    <w:pStyle w:val="TableBodyText"/>
                    <w:spacing w:after="0"/>
                    <w:ind w:left="0" w:right="57"/>
                  </w:pPr>
                  <w:r w:rsidRPr="007E34F5">
                    <w:t>86.1</w:t>
                  </w:r>
                </w:p>
              </w:tc>
              <w:tc>
                <w:tcPr>
                  <w:tcW w:w="499" w:type="pct"/>
                  <w:vAlign w:val="bottom"/>
                </w:tcPr>
                <w:p w:rsidR="00AC2131" w:rsidRPr="007E34F5" w:rsidRDefault="00AC2131" w:rsidP="00AC2131">
                  <w:pPr>
                    <w:pStyle w:val="TableBodyText"/>
                    <w:spacing w:after="0"/>
                    <w:ind w:left="0" w:right="57"/>
                  </w:pPr>
                  <w:r w:rsidRPr="007E34F5">
                    <w:t>71.0</w:t>
                  </w:r>
                </w:p>
              </w:tc>
              <w:tc>
                <w:tcPr>
                  <w:tcW w:w="499" w:type="pct"/>
                  <w:shd w:val="clear" w:color="auto" w:fill="auto"/>
                  <w:vAlign w:val="bottom"/>
                </w:tcPr>
                <w:p w:rsidR="00AC2131" w:rsidRPr="007E34F5" w:rsidRDefault="00AC2131" w:rsidP="00AC2131">
                  <w:pPr>
                    <w:pStyle w:val="TableBodyText"/>
                    <w:spacing w:after="0"/>
                    <w:ind w:left="0" w:right="57"/>
                  </w:pPr>
                  <w:r w:rsidRPr="007E34F5">
                    <w:t>59.5</w:t>
                  </w:r>
                </w:p>
              </w:tc>
              <w:tc>
                <w:tcPr>
                  <w:tcW w:w="496" w:type="pct"/>
                  <w:shd w:val="clear" w:color="auto" w:fill="auto"/>
                  <w:vAlign w:val="bottom"/>
                </w:tcPr>
                <w:p w:rsidR="00AC2131" w:rsidRPr="007E34F5" w:rsidRDefault="00AC2131" w:rsidP="00AC2131">
                  <w:pPr>
                    <w:pStyle w:val="TableBodyText"/>
                    <w:spacing w:after="0"/>
                    <w:ind w:left="0" w:right="57"/>
                  </w:pPr>
                  <w:r w:rsidRPr="007E34F5">
                    <w:t>95.9</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Furniture and other manufacturing</w:t>
                  </w:r>
                </w:p>
              </w:tc>
              <w:tc>
                <w:tcPr>
                  <w:tcW w:w="502" w:type="pct"/>
                  <w:vAlign w:val="bottom"/>
                </w:tcPr>
                <w:p w:rsidR="00AC2131" w:rsidRPr="007E34F5" w:rsidRDefault="00AC2131" w:rsidP="00AC2131">
                  <w:pPr>
                    <w:pStyle w:val="TableBodyText"/>
                    <w:spacing w:after="0"/>
                    <w:ind w:left="0" w:right="57"/>
                  </w:pPr>
                  <w:r w:rsidRPr="007E34F5">
                    <w:t>16.6</w:t>
                  </w:r>
                </w:p>
              </w:tc>
              <w:tc>
                <w:tcPr>
                  <w:tcW w:w="501" w:type="pct"/>
                  <w:vAlign w:val="bottom"/>
                </w:tcPr>
                <w:p w:rsidR="00AC2131" w:rsidRPr="007E34F5" w:rsidRDefault="00AC2131" w:rsidP="00AC2131">
                  <w:pPr>
                    <w:pStyle w:val="TableBodyText"/>
                    <w:spacing w:after="0"/>
                    <w:ind w:left="0" w:right="57"/>
                  </w:pPr>
                  <w:r w:rsidRPr="007E34F5">
                    <w:t>19.7</w:t>
                  </w:r>
                </w:p>
              </w:tc>
              <w:tc>
                <w:tcPr>
                  <w:tcW w:w="501" w:type="pct"/>
                  <w:vAlign w:val="bottom"/>
                </w:tcPr>
                <w:p w:rsidR="00AC2131" w:rsidRPr="007E34F5" w:rsidRDefault="00AC2131" w:rsidP="00AC2131">
                  <w:pPr>
                    <w:pStyle w:val="TableBodyText"/>
                    <w:spacing w:after="0"/>
                    <w:ind w:left="0" w:right="57"/>
                  </w:pPr>
                  <w:r w:rsidRPr="007E34F5">
                    <w:t>17.8</w:t>
                  </w:r>
                </w:p>
              </w:tc>
              <w:tc>
                <w:tcPr>
                  <w:tcW w:w="499" w:type="pct"/>
                  <w:vAlign w:val="bottom"/>
                </w:tcPr>
                <w:p w:rsidR="00AC2131" w:rsidRPr="007E34F5" w:rsidRDefault="00AC2131" w:rsidP="00AC2131">
                  <w:pPr>
                    <w:pStyle w:val="TableBodyText"/>
                    <w:spacing w:after="0"/>
                    <w:ind w:left="0" w:right="57"/>
                  </w:pPr>
                  <w:r w:rsidRPr="007E34F5">
                    <w:t>25.9</w:t>
                  </w:r>
                </w:p>
              </w:tc>
              <w:tc>
                <w:tcPr>
                  <w:tcW w:w="499" w:type="pct"/>
                  <w:shd w:val="clear" w:color="auto" w:fill="auto"/>
                  <w:vAlign w:val="bottom"/>
                </w:tcPr>
                <w:p w:rsidR="00AC2131" w:rsidRPr="007E34F5" w:rsidRDefault="00AC2131" w:rsidP="00AC2131">
                  <w:pPr>
                    <w:pStyle w:val="TableBodyText"/>
                    <w:spacing w:after="0"/>
                    <w:ind w:left="0" w:right="57"/>
                  </w:pPr>
                  <w:r w:rsidRPr="007E34F5">
                    <w:t>23.8</w:t>
                  </w:r>
                </w:p>
              </w:tc>
              <w:tc>
                <w:tcPr>
                  <w:tcW w:w="496" w:type="pct"/>
                  <w:shd w:val="clear" w:color="auto" w:fill="auto"/>
                  <w:vAlign w:val="bottom"/>
                </w:tcPr>
                <w:p w:rsidR="00AC2131" w:rsidRPr="007E34F5" w:rsidRDefault="00AC2131" w:rsidP="00AC2131">
                  <w:pPr>
                    <w:pStyle w:val="TableBodyText"/>
                    <w:spacing w:after="0"/>
                    <w:ind w:left="0" w:right="57"/>
                  </w:pPr>
                  <w:r w:rsidRPr="007E34F5">
                    <w:t>20.5</w:t>
                  </w:r>
                </w:p>
              </w:tc>
            </w:tr>
            <w:tr w:rsidR="00AC2131" w:rsidTr="00AC2131">
              <w:tc>
                <w:tcPr>
                  <w:tcW w:w="2002" w:type="pct"/>
                  <w:shd w:val="clear" w:color="auto" w:fill="auto"/>
                  <w:vAlign w:val="center"/>
                </w:tcPr>
                <w:p w:rsidR="00AC2131" w:rsidRPr="00E532D9" w:rsidRDefault="00AC2131">
                  <w:pPr>
                    <w:rPr>
                      <w:rFonts w:ascii="Arial" w:hAnsi="Arial" w:cs="Arial"/>
                      <w:sz w:val="18"/>
                      <w:szCs w:val="18"/>
                    </w:rPr>
                  </w:pPr>
                  <w:r w:rsidRPr="00E532D9">
                    <w:rPr>
                      <w:rFonts w:ascii="Arial" w:hAnsi="Arial" w:cs="Arial"/>
                      <w:sz w:val="18"/>
                      <w:szCs w:val="18"/>
                    </w:rPr>
                    <w:t>Unallocated manufacturing</w:t>
                  </w:r>
                  <w:r>
                    <w:rPr>
                      <w:rStyle w:val="NoteLabel"/>
                    </w:rPr>
                    <w:t>a</w:t>
                  </w:r>
                </w:p>
              </w:tc>
              <w:tc>
                <w:tcPr>
                  <w:tcW w:w="502" w:type="pct"/>
                  <w:vAlign w:val="bottom"/>
                </w:tcPr>
                <w:p w:rsidR="00AC2131" w:rsidRPr="007E34F5" w:rsidRDefault="00AC2131" w:rsidP="00AC2131">
                  <w:pPr>
                    <w:pStyle w:val="TableBodyText"/>
                    <w:spacing w:after="0"/>
                    <w:ind w:left="0" w:right="57"/>
                  </w:pPr>
                  <w:r w:rsidRPr="007E34F5">
                    <w:t>115.8</w:t>
                  </w:r>
                </w:p>
              </w:tc>
              <w:tc>
                <w:tcPr>
                  <w:tcW w:w="501" w:type="pct"/>
                  <w:vAlign w:val="bottom"/>
                </w:tcPr>
                <w:p w:rsidR="00AC2131" w:rsidRPr="007E34F5" w:rsidRDefault="00AC2131" w:rsidP="00AC2131">
                  <w:pPr>
                    <w:pStyle w:val="TableBodyText"/>
                    <w:spacing w:after="0"/>
                    <w:ind w:left="0" w:right="57"/>
                  </w:pPr>
                  <w:r w:rsidRPr="007E34F5">
                    <w:t>176.8</w:t>
                  </w:r>
                </w:p>
              </w:tc>
              <w:tc>
                <w:tcPr>
                  <w:tcW w:w="501" w:type="pct"/>
                  <w:vAlign w:val="bottom"/>
                </w:tcPr>
                <w:p w:rsidR="00AC2131" w:rsidRPr="007E34F5" w:rsidRDefault="00AC2131" w:rsidP="00AC2131">
                  <w:pPr>
                    <w:pStyle w:val="TableBodyText"/>
                    <w:spacing w:after="0"/>
                    <w:ind w:left="0" w:right="57"/>
                  </w:pPr>
                  <w:r w:rsidRPr="007E34F5">
                    <w:t>155.2</w:t>
                  </w:r>
                </w:p>
              </w:tc>
              <w:tc>
                <w:tcPr>
                  <w:tcW w:w="499" w:type="pct"/>
                  <w:vAlign w:val="bottom"/>
                </w:tcPr>
                <w:p w:rsidR="00AC2131" w:rsidRPr="007E34F5" w:rsidRDefault="00AC2131" w:rsidP="00AC2131">
                  <w:pPr>
                    <w:pStyle w:val="TableBodyText"/>
                    <w:spacing w:after="0"/>
                    <w:ind w:left="0" w:right="57"/>
                  </w:pPr>
                  <w:r w:rsidRPr="007E34F5">
                    <w:t>163.0</w:t>
                  </w:r>
                </w:p>
              </w:tc>
              <w:tc>
                <w:tcPr>
                  <w:tcW w:w="499" w:type="pct"/>
                  <w:shd w:val="clear" w:color="auto" w:fill="auto"/>
                  <w:vAlign w:val="bottom"/>
                </w:tcPr>
                <w:p w:rsidR="00AC2131" w:rsidRPr="007E34F5" w:rsidRDefault="00AC2131" w:rsidP="00AC2131">
                  <w:pPr>
                    <w:pStyle w:val="TableBodyText"/>
                    <w:spacing w:after="0"/>
                    <w:ind w:left="0" w:right="57"/>
                  </w:pPr>
                  <w:r w:rsidRPr="007E34F5">
                    <w:t>129.4</w:t>
                  </w:r>
                </w:p>
              </w:tc>
              <w:tc>
                <w:tcPr>
                  <w:tcW w:w="496" w:type="pct"/>
                  <w:shd w:val="clear" w:color="auto" w:fill="auto"/>
                  <w:vAlign w:val="bottom"/>
                </w:tcPr>
                <w:p w:rsidR="00AC2131" w:rsidRPr="007E34F5" w:rsidRDefault="00AC2131" w:rsidP="00AC2131">
                  <w:pPr>
                    <w:pStyle w:val="TableBodyText"/>
                    <w:spacing w:after="0"/>
                    <w:ind w:left="0" w:right="57"/>
                  </w:pPr>
                  <w:r w:rsidRPr="007E34F5">
                    <w:t>129.8</w:t>
                  </w:r>
                </w:p>
              </w:tc>
            </w:tr>
            <w:tr w:rsidR="00AC2131" w:rsidRPr="007E34F5" w:rsidTr="00AC2131">
              <w:tc>
                <w:tcPr>
                  <w:tcW w:w="2002" w:type="pct"/>
                  <w:shd w:val="clear" w:color="auto" w:fill="auto"/>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Services</w:t>
                  </w:r>
                </w:p>
              </w:tc>
              <w:tc>
                <w:tcPr>
                  <w:tcW w:w="502" w:type="pct"/>
                  <w:vAlign w:val="bottom"/>
                </w:tcPr>
                <w:p w:rsidR="00AC2131" w:rsidRPr="007E34F5" w:rsidRDefault="00AC2131" w:rsidP="00AC2131">
                  <w:pPr>
                    <w:pStyle w:val="TableBodyText"/>
                    <w:spacing w:after="0"/>
                    <w:ind w:left="0" w:right="57"/>
                    <w:rPr>
                      <w:b/>
                    </w:rPr>
                  </w:pPr>
                  <w:r w:rsidRPr="007E34F5">
                    <w:rPr>
                      <w:b/>
                    </w:rPr>
                    <w:t>1199.6</w:t>
                  </w:r>
                </w:p>
              </w:tc>
              <w:tc>
                <w:tcPr>
                  <w:tcW w:w="501" w:type="pct"/>
                  <w:vAlign w:val="bottom"/>
                </w:tcPr>
                <w:p w:rsidR="00AC2131" w:rsidRPr="007E34F5" w:rsidRDefault="00AC2131" w:rsidP="00AC2131">
                  <w:pPr>
                    <w:pStyle w:val="TableBodyText"/>
                    <w:spacing w:after="0"/>
                    <w:ind w:left="0" w:right="57"/>
                    <w:rPr>
                      <w:b/>
                    </w:rPr>
                  </w:pPr>
                  <w:r w:rsidRPr="007E34F5">
                    <w:rPr>
                      <w:b/>
                    </w:rPr>
                    <w:t>1176.4</w:t>
                  </w:r>
                </w:p>
              </w:tc>
              <w:tc>
                <w:tcPr>
                  <w:tcW w:w="501" w:type="pct"/>
                  <w:vAlign w:val="bottom"/>
                </w:tcPr>
                <w:p w:rsidR="00AC2131" w:rsidRPr="007E34F5" w:rsidRDefault="00AC2131" w:rsidP="00AC2131">
                  <w:pPr>
                    <w:pStyle w:val="TableBodyText"/>
                    <w:spacing w:after="0"/>
                    <w:ind w:left="0" w:right="57"/>
                    <w:rPr>
                      <w:b/>
                    </w:rPr>
                  </w:pPr>
                  <w:r w:rsidRPr="007E34F5">
                    <w:rPr>
                      <w:b/>
                    </w:rPr>
                    <w:t>1174.8</w:t>
                  </w:r>
                </w:p>
              </w:tc>
              <w:tc>
                <w:tcPr>
                  <w:tcW w:w="499" w:type="pct"/>
                  <w:vAlign w:val="bottom"/>
                </w:tcPr>
                <w:p w:rsidR="00AC2131" w:rsidRPr="007E34F5" w:rsidRDefault="00AC2131" w:rsidP="00AC2131">
                  <w:pPr>
                    <w:pStyle w:val="TableBodyText"/>
                    <w:spacing w:after="0"/>
                    <w:ind w:left="0" w:right="57"/>
                    <w:rPr>
                      <w:b/>
                    </w:rPr>
                  </w:pPr>
                  <w:r w:rsidRPr="007E34F5">
                    <w:rPr>
                      <w:b/>
                    </w:rPr>
                    <w:t>2234.8</w:t>
                  </w:r>
                </w:p>
              </w:tc>
              <w:tc>
                <w:tcPr>
                  <w:tcW w:w="499" w:type="pct"/>
                  <w:shd w:val="clear" w:color="auto" w:fill="auto"/>
                  <w:vAlign w:val="bottom"/>
                </w:tcPr>
                <w:p w:rsidR="00AC2131" w:rsidRPr="007E34F5" w:rsidRDefault="00AC2131" w:rsidP="00AC2131">
                  <w:pPr>
                    <w:pStyle w:val="TableBodyText"/>
                    <w:spacing w:after="0"/>
                    <w:ind w:left="0" w:right="57"/>
                    <w:rPr>
                      <w:b/>
                    </w:rPr>
                  </w:pPr>
                  <w:r w:rsidRPr="007E34F5">
                    <w:rPr>
                      <w:b/>
                    </w:rPr>
                    <w:t>1155.4</w:t>
                  </w:r>
                </w:p>
              </w:tc>
              <w:tc>
                <w:tcPr>
                  <w:tcW w:w="496" w:type="pct"/>
                  <w:shd w:val="clear" w:color="auto" w:fill="auto"/>
                  <w:vAlign w:val="bottom"/>
                </w:tcPr>
                <w:p w:rsidR="00AC2131" w:rsidRPr="007E34F5" w:rsidRDefault="00AC2131" w:rsidP="00AC2131">
                  <w:pPr>
                    <w:pStyle w:val="TableBodyText"/>
                    <w:spacing w:after="0"/>
                    <w:ind w:left="0" w:right="57"/>
                    <w:rPr>
                      <w:b/>
                    </w:rPr>
                  </w:pPr>
                  <w:r w:rsidRPr="007E34F5">
                    <w:rPr>
                      <w:b/>
                    </w:rPr>
                    <w:t>1544.4</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Electricity, gas, water &amp; waste services</w:t>
                  </w:r>
                </w:p>
              </w:tc>
              <w:tc>
                <w:tcPr>
                  <w:tcW w:w="502" w:type="pct"/>
                  <w:vAlign w:val="bottom"/>
                </w:tcPr>
                <w:p w:rsidR="00AC2131" w:rsidRPr="007E34F5" w:rsidRDefault="00AC2131" w:rsidP="00AC2131">
                  <w:pPr>
                    <w:pStyle w:val="TableBodyText"/>
                    <w:spacing w:after="0"/>
                    <w:ind w:left="0" w:right="57"/>
                  </w:pPr>
                  <w:r w:rsidRPr="007E34F5">
                    <w:t>90.8</w:t>
                  </w:r>
                </w:p>
              </w:tc>
              <w:tc>
                <w:tcPr>
                  <w:tcW w:w="501" w:type="pct"/>
                  <w:vAlign w:val="bottom"/>
                </w:tcPr>
                <w:p w:rsidR="00AC2131" w:rsidRPr="007E34F5" w:rsidRDefault="00AC2131" w:rsidP="00AC2131">
                  <w:pPr>
                    <w:pStyle w:val="TableBodyText"/>
                    <w:spacing w:after="0"/>
                    <w:ind w:left="0" w:right="57"/>
                  </w:pPr>
                  <w:r w:rsidRPr="007E34F5">
                    <w:t>119.8</w:t>
                  </w:r>
                </w:p>
              </w:tc>
              <w:tc>
                <w:tcPr>
                  <w:tcW w:w="501" w:type="pct"/>
                  <w:vAlign w:val="bottom"/>
                </w:tcPr>
                <w:p w:rsidR="00AC2131" w:rsidRPr="007E34F5" w:rsidRDefault="00AC2131" w:rsidP="00AC2131">
                  <w:pPr>
                    <w:pStyle w:val="TableBodyText"/>
                    <w:spacing w:after="0"/>
                    <w:ind w:left="0" w:right="57"/>
                  </w:pPr>
                  <w:r w:rsidRPr="007E34F5">
                    <w:t>71.6</w:t>
                  </w:r>
                </w:p>
              </w:tc>
              <w:tc>
                <w:tcPr>
                  <w:tcW w:w="499" w:type="pct"/>
                  <w:vAlign w:val="bottom"/>
                </w:tcPr>
                <w:p w:rsidR="00AC2131" w:rsidRPr="007E34F5" w:rsidRDefault="00AC2131" w:rsidP="00AC2131">
                  <w:pPr>
                    <w:pStyle w:val="TableBodyText"/>
                    <w:spacing w:after="0"/>
                    <w:ind w:left="0" w:right="57"/>
                  </w:pPr>
                  <w:r w:rsidRPr="007E34F5">
                    <w:t>1072.2</w:t>
                  </w:r>
                </w:p>
              </w:tc>
              <w:tc>
                <w:tcPr>
                  <w:tcW w:w="499" w:type="pct"/>
                  <w:shd w:val="clear" w:color="auto" w:fill="auto"/>
                  <w:vAlign w:val="bottom"/>
                </w:tcPr>
                <w:p w:rsidR="00AC2131" w:rsidRPr="007E34F5" w:rsidRDefault="00AC2131" w:rsidP="00AC2131">
                  <w:pPr>
                    <w:pStyle w:val="TableBodyText"/>
                    <w:spacing w:after="0"/>
                    <w:ind w:left="0" w:right="57"/>
                  </w:pPr>
                  <w:r w:rsidRPr="007E34F5">
                    <w:t>87.2</w:t>
                  </w:r>
                </w:p>
              </w:tc>
              <w:tc>
                <w:tcPr>
                  <w:tcW w:w="496" w:type="pct"/>
                  <w:shd w:val="clear" w:color="auto" w:fill="auto"/>
                  <w:vAlign w:val="bottom"/>
                </w:tcPr>
                <w:p w:rsidR="00AC2131" w:rsidRPr="007E34F5" w:rsidRDefault="00AC2131" w:rsidP="00AC2131">
                  <w:pPr>
                    <w:pStyle w:val="TableBodyText"/>
                    <w:spacing w:after="0"/>
                    <w:ind w:left="0" w:right="57"/>
                  </w:pPr>
                  <w:r w:rsidRPr="007E34F5">
                    <w:t>201.1</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Construction</w:t>
                  </w:r>
                </w:p>
              </w:tc>
              <w:tc>
                <w:tcPr>
                  <w:tcW w:w="502" w:type="pct"/>
                  <w:vAlign w:val="bottom"/>
                </w:tcPr>
                <w:p w:rsidR="00AC2131" w:rsidRPr="007E34F5" w:rsidRDefault="00AC2131" w:rsidP="00AC2131">
                  <w:pPr>
                    <w:pStyle w:val="TableBodyText"/>
                    <w:spacing w:after="0"/>
                    <w:ind w:left="0" w:right="57"/>
                  </w:pPr>
                  <w:r w:rsidRPr="007E34F5">
                    <w:t>20.7</w:t>
                  </w:r>
                </w:p>
              </w:tc>
              <w:tc>
                <w:tcPr>
                  <w:tcW w:w="501" w:type="pct"/>
                  <w:vAlign w:val="bottom"/>
                </w:tcPr>
                <w:p w:rsidR="00AC2131" w:rsidRPr="007E34F5" w:rsidRDefault="00AC2131" w:rsidP="00AC2131">
                  <w:pPr>
                    <w:pStyle w:val="TableBodyText"/>
                    <w:spacing w:after="0"/>
                    <w:ind w:left="0" w:right="57"/>
                  </w:pPr>
                  <w:r w:rsidRPr="007E34F5">
                    <w:t>23.1</w:t>
                  </w:r>
                </w:p>
              </w:tc>
              <w:tc>
                <w:tcPr>
                  <w:tcW w:w="501" w:type="pct"/>
                  <w:vAlign w:val="bottom"/>
                </w:tcPr>
                <w:p w:rsidR="00AC2131" w:rsidRPr="007E34F5" w:rsidRDefault="00AC2131" w:rsidP="00AC2131">
                  <w:pPr>
                    <w:pStyle w:val="TableBodyText"/>
                    <w:spacing w:after="0"/>
                    <w:ind w:left="0" w:right="57"/>
                  </w:pPr>
                  <w:r w:rsidRPr="007E34F5">
                    <w:t>15.0</w:t>
                  </w:r>
                </w:p>
              </w:tc>
              <w:tc>
                <w:tcPr>
                  <w:tcW w:w="499" w:type="pct"/>
                  <w:vAlign w:val="bottom"/>
                </w:tcPr>
                <w:p w:rsidR="00AC2131" w:rsidRPr="007E34F5" w:rsidRDefault="00AC2131" w:rsidP="00AC2131">
                  <w:pPr>
                    <w:pStyle w:val="TableBodyText"/>
                    <w:spacing w:after="0"/>
                    <w:ind w:left="0" w:right="57"/>
                  </w:pPr>
                  <w:r w:rsidRPr="007E34F5">
                    <w:t>18.3</w:t>
                  </w:r>
                </w:p>
              </w:tc>
              <w:tc>
                <w:tcPr>
                  <w:tcW w:w="499" w:type="pct"/>
                  <w:shd w:val="clear" w:color="auto" w:fill="auto"/>
                  <w:vAlign w:val="bottom"/>
                </w:tcPr>
                <w:p w:rsidR="00AC2131" w:rsidRPr="007E34F5" w:rsidRDefault="00AC2131" w:rsidP="00AC2131">
                  <w:pPr>
                    <w:pStyle w:val="TableBodyText"/>
                    <w:spacing w:after="0"/>
                    <w:ind w:left="0" w:right="57"/>
                  </w:pPr>
                  <w:r w:rsidRPr="007E34F5">
                    <w:t>20.4</w:t>
                  </w:r>
                </w:p>
              </w:tc>
              <w:tc>
                <w:tcPr>
                  <w:tcW w:w="496" w:type="pct"/>
                  <w:shd w:val="clear" w:color="auto" w:fill="auto"/>
                  <w:vAlign w:val="bottom"/>
                </w:tcPr>
                <w:p w:rsidR="00AC2131" w:rsidRPr="007E34F5" w:rsidRDefault="00AC2131" w:rsidP="00AC2131">
                  <w:pPr>
                    <w:pStyle w:val="TableBodyText"/>
                    <w:spacing w:after="0"/>
                    <w:ind w:left="0" w:right="57"/>
                  </w:pPr>
                  <w:r w:rsidRPr="007E34F5">
                    <w:t>31.1</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Wholesale trade</w:t>
                  </w:r>
                </w:p>
              </w:tc>
              <w:tc>
                <w:tcPr>
                  <w:tcW w:w="502" w:type="pct"/>
                  <w:vAlign w:val="bottom"/>
                </w:tcPr>
                <w:p w:rsidR="00AC2131" w:rsidRPr="007E34F5" w:rsidRDefault="00AC2131" w:rsidP="00AC2131">
                  <w:pPr>
                    <w:pStyle w:val="TableBodyText"/>
                    <w:spacing w:after="0"/>
                    <w:ind w:left="0" w:right="57"/>
                  </w:pPr>
                  <w:r w:rsidRPr="007E34F5">
                    <w:t>54.6</w:t>
                  </w:r>
                </w:p>
              </w:tc>
              <w:tc>
                <w:tcPr>
                  <w:tcW w:w="501" w:type="pct"/>
                  <w:vAlign w:val="bottom"/>
                </w:tcPr>
                <w:p w:rsidR="00AC2131" w:rsidRPr="007E34F5" w:rsidRDefault="00AC2131" w:rsidP="00AC2131">
                  <w:pPr>
                    <w:pStyle w:val="TableBodyText"/>
                    <w:spacing w:after="0"/>
                    <w:ind w:left="0" w:right="57"/>
                  </w:pPr>
                  <w:r w:rsidRPr="007E34F5">
                    <w:t>58.1</w:t>
                  </w:r>
                </w:p>
              </w:tc>
              <w:tc>
                <w:tcPr>
                  <w:tcW w:w="501" w:type="pct"/>
                  <w:vAlign w:val="bottom"/>
                </w:tcPr>
                <w:p w:rsidR="00AC2131" w:rsidRPr="007E34F5" w:rsidRDefault="00AC2131" w:rsidP="00AC2131">
                  <w:pPr>
                    <w:pStyle w:val="TableBodyText"/>
                    <w:spacing w:after="0"/>
                    <w:ind w:left="0" w:right="57"/>
                  </w:pPr>
                  <w:r w:rsidRPr="007E34F5">
                    <w:t>35.0</w:t>
                  </w:r>
                </w:p>
              </w:tc>
              <w:tc>
                <w:tcPr>
                  <w:tcW w:w="499" w:type="pct"/>
                  <w:vAlign w:val="bottom"/>
                </w:tcPr>
                <w:p w:rsidR="00AC2131" w:rsidRPr="007E34F5" w:rsidRDefault="00AC2131" w:rsidP="00AC2131">
                  <w:pPr>
                    <w:pStyle w:val="TableBodyText"/>
                    <w:spacing w:after="0"/>
                    <w:ind w:left="0" w:right="57"/>
                  </w:pPr>
                  <w:r w:rsidRPr="007E34F5">
                    <w:t>38.6</w:t>
                  </w:r>
                </w:p>
              </w:tc>
              <w:tc>
                <w:tcPr>
                  <w:tcW w:w="499" w:type="pct"/>
                  <w:shd w:val="clear" w:color="auto" w:fill="auto"/>
                  <w:vAlign w:val="bottom"/>
                </w:tcPr>
                <w:p w:rsidR="00AC2131" w:rsidRPr="007E34F5" w:rsidRDefault="00AC2131" w:rsidP="00AC2131">
                  <w:pPr>
                    <w:pStyle w:val="TableBodyText"/>
                    <w:spacing w:after="0"/>
                    <w:ind w:left="0" w:right="57"/>
                  </w:pPr>
                  <w:r w:rsidRPr="007E34F5">
                    <w:t>33.3</w:t>
                  </w:r>
                </w:p>
              </w:tc>
              <w:tc>
                <w:tcPr>
                  <w:tcW w:w="496" w:type="pct"/>
                  <w:shd w:val="clear" w:color="auto" w:fill="auto"/>
                  <w:vAlign w:val="bottom"/>
                </w:tcPr>
                <w:p w:rsidR="00AC2131" w:rsidRPr="007E34F5" w:rsidRDefault="00AC2131" w:rsidP="00AC2131">
                  <w:pPr>
                    <w:pStyle w:val="TableBodyText"/>
                    <w:spacing w:after="0"/>
                    <w:ind w:left="0" w:right="57"/>
                  </w:pPr>
                  <w:r w:rsidRPr="007E34F5">
                    <w:t>45.5</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Retail trade</w:t>
                  </w:r>
                </w:p>
              </w:tc>
              <w:tc>
                <w:tcPr>
                  <w:tcW w:w="502" w:type="pct"/>
                  <w:vAlign w:val="bottom"/>
                </w:tcPr>
                <w:p w:rsidR="00AC2131" w:rsidRPr="007E34F5" w:rsidRDefault="00AC2131" w:rsidP="00AC2131">
                  <w:pPr>
                    <w:pStyle w:val="TableBodyText"/>
                    <w:spacing w:after="0"/>
                    <w:ind w:left="0" w:right="57"/>
                  </w:pPr>
                  <w:r w:rsidRPr="007E34F5">
                    <w:t>200.3</w:t>
                  </w:r>
                </w:p>
              </w:tc>
              <w:tc>
                <w:tcPr>
                  <w:tcW w:w="501" w:type="pct"/>
                  <w:vAlign w:val="bottom"/>
                </w:tcPr>
                <w:p w:rsidR="00AC2131" w:rsidRPr="007E34F5" w:rsidRDefault="00AC2131" w:rsidP="00AC2131">
                  <w:pPr>
                    <w:pStyle w:val="TableBodyText"/>
                    <w:spacing w:after="0"/>
                    <w:ind w:left="0" w:right="57"/>
                  </w:pPr>
                  <w:r w:rsidRPr="007E34F5">
                    <w:t>82.9</w:t>
                  </w:r>
                </w:p>
              </w:tc>
              <w:tc>
                <w:tcPr>
                  <w:tcW w:w="501" w:type="pct"/>
                  <w:vAlign w:val="bottom"/>
                </w:tcPr>
                <w:p w:rsidR="00AC2131" w:rsidRPr="007E34F5" w:rsidRDefault="00AC2131" w:rsidP="00AC2131">
                  <w:pPr>
                    <w:pStyle w:val="TableBodyText"/>
                    <w:spacing w:after="0"/>
                    <w:ind w:left="0" w:right="57"/>
                  </w:pPr>
                  <w:r w:rsidRPr="007E34F5">
                    <w:t>52.9</w:t>
                  </w:r>
                </w:p>
              </w:tc>
              <w:tc>
                <w:tcPr>
                  <w:tcW w:w="499" w:type="pct"/>
                  <w:vAlign w:val="bottom"/>
                </w:tcPr>
                <w:p w:rsidR="00AC2131" w:rsidRPr="007E34F5" w:rsidRDefault="00AC2131" w:rsidP="00AC2131">
                  <w:pPr>
                    <w:pStyle w:val="TableBodyText"/>
                    <w:spacing w:after="0"/>
                    <w:ind w:left="0" w:right="57"/>
                  </w:pPr>
                  <w:r w:rsidRPr="007E34F5">
                    <w:t>32.2</w:t>
                  </w:r>
                </w:p>
              </w:tc>
              <w:tc>
                <w:tcPr>
                  <w:tcW w:w="499" w:type="pct"/>
                  <w:shd w:val="clear" w:color="auto" w:fill="auto"/>
                  <w:vAlign w:val="bottom"/>
                </w:tcPr>
                <w:p w:rsidR="00AC2131" w:rsidRPr="007E34F5" w:rsidRDefault="00AC2131" w:rsidP="00AC2131">
                  <w:pPr>
                    <w:pStyle w:val="TableBodyText"/>
                    <w:spacing w:after="0"/>
                    <w:ind w:left="0" w:right="57"/>
                  </w:pPr>
                  <w:r w:rsidRPr="007E34F5">
                    <w:t>16.3</w:t>
                  </w:r>
                </w:p>
              </w:tc>
              <w:tc>
                <w:tcPr>
                  <w:tcW w:w="496" w:type="pct"/>
                  <w:shd w:val="clear" w:color="auto" w:fill="auto"/>
                  <w:vAlign w:val="bottom"/>
                </w:tcPr>
                <w:p w:rsidR="00AC2131" w:rsidRPr="007E34F5" w:rsidRDefault="00AC2131" w:rsidP="00AC2131">
                  <w:pPr>
                    <w:pStyle w:val="TableBodyText"/>
                    <w:spacing w:after="0"/>
                    <w:ind w:left="0" w:right="57"/>
                  </w:pPr>
                  <w:r w:rsidRPr="007E34F5">
                    <w:t>18.5</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Accommodation &amp; food services</w:t>
                  </w:r>
                </w:p>
              </w:tc>
              <w:tc>
                <w:tcPr>
                  <w:tcW w:w="502" w:type="pct"/>
                  <w:vAlign w:val="bottom"/>
                </w:tcPr>
                <w:p w:rsidR="00AC2131" w:rsidRPr="007E34F5" w:rsidRDefault="00AC2131" w:rsidP="00AC2131">
                  <w:pPr>
                    <w:pStyle w:val="TableBodyText"/>
                    <w:spacing w:after="0"/>
                    <w:ind w:left="0" w:right="57"/>
                  </w:pPr>
                  <w:r w:rsidRPr="007E34F5">
                    <w:t>7.0</w:t>
                  </w:r>
                </w:p>
              </w:tc>
              <w:tc>
                <w:tcPr>
                  <w:tcW w:w="501" w:type="pct"/>
                  <w:vAlign w:val="bottom"/>
                </w:tcPr>
                <w:p w:rsidR="00AC2131" w:rsidRPr="007E34F5" w:rsidRDefault="00AC2131" w:rsidP="00AC2131">
                  <w:pPr>
                    <w:pStyle w:val="TableBodyText"/>
                    <w:spacing w:after="0"/>
                    <w:ind w:left="0" w:right="57"/>
                  </w:pPr>
                  <w:r w:rsidRPr="007E34F5">
                    <w:t>8.0</w:t>
                  </w:r>
                </w:p>
              </w:tc>
              <w:tc>
                <w:tcPr>
                  <w:tcW w:w="501" w:type="pct"/>
                  <w:vAlign w:val="bottom"/>
                </w:tcPr>
                <w:p w:rsidR="00AC2131" w:rsidRPr="007E34F5" w:rsidRDefault="00AC2131" w:rsidP="00AC2131">
                  <w:pPr>
                    <w:pStyle w:val="TableBodyText"/>
                    <w:spacing w:after="0"/>
                    <w:ind w:left="0" w:right="57"/>
                  </w:pPr>
                  <w:r w:rsidRPr="007E34F5">
                    <w:t>5.4</w:t>
                  </w:r>
                </w:p>
              </w:tc>
              <w:tc>
                <w:tcPr>
                  <w:tcW w:w="499" w:type="pct"/>
                  <w:vAlign w:val="bottom"/>
                </w:tcPr>
                <w:p w:rsidR="00AC2131" w:rsidRPr="007E34F5" w:rsidRDefault="00AC2131" w:rsidP="00AC2131">
                  <w:pPr>
                    <w:pStyle w:val="TableBodyText"/>
                    <w:spacing w:after="0"/>
                    <w:ind w:left="0" w:right="57"/>
                  </w:pPr>
                  <w:r w:rsidRPr="007E34F5">
                    <w:t>4.6</w:t>
                  </w:r>
                </w:p>
              </w:tc>
              <w:tc>
                <w:tcPr>
                  <w:tcW w:w="499" w:type="pct"/>
                  <w:shd w:val="clear" w:color="auto" w:fill="auto"/>
                  <w:vAlign w:val="bottom"/>
                </w:tcPr>
                <w:p w:rsidR="00AC2131" w:rsidRPr="007E34F5" w:rsidRDefault="00AC2131" w:rsidP="00AC2131">
                  <w:pPr>
                    <w:pStyle w:val="TableBodyText"/>
                    <w:spacing w:after="0"/>
                    <w:ind w:left="0" w:right="57"/>
                  </w:pPr>
                  <w:r w:rsidRPr="007E34F5">
                    <w:t>4.6</w:t>
                  </w:r>
                </w:p>
              </w:tc>
              <w:tc>
                <w:tcPr>
                  <w:tcW w:w="496" w:type="pct"/>
                  <w:shd w:val="clear" w:color="auto" w:fill="auto"/>
                  <w:vAlign w:val="bottom"/>
                </w:tcPr>
                <w:p w:rsidR="00AC2131" w:rsidRPr="007E34F5" w:rsidRDefault="00AC2131" w:rsidP="00AC2131">
                  <w:pPr>
                    <w:pStyle w:val="TableBodyText"/>
                    <w:spacing w:after="0"/>
                    <w:ind w:left="0" w:right="57"/>
                  </w:pPr>
                  <w:r w:rsidRPr="007E34F5">
                    <w:t>4.9</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Transport, postal &amp; warehousing</w:t>
                  </w:r>
                </w:p>
              </w:tc>
              <w:tc>
                <w:tcPr>
                  <w:tcW w:w="502" w:type="pct"/>
                  <w:vAlign w:val="bottom"/>
                </w:tcPr>
                <w:p w:rsidR="00AC2131" w:rsidRPr="007E34F5" w:rsidRDefault="00AC2131" w:rsidP="00AC2131">
                  <w:pPr>
                    <w:pStyle w:val="TableBodyText"/>
                    <w:spacing w:after="0"/>
                    <w:ind w:left="0" w:right="57"/>
                  </w:pPr>
                  <w:r w:rsidRPr="007E34F5">
                    <w:t>53.2</w:t>
                  </w:r>
                </w:p>
              </w:tc>
              <w:tc>
                <w:tcPr>
                  <w:tcW w:w="501" w:type="pct"/>
                  <w:vAlign w:val="bottom"/>
                </w:tcPr>
                <w:p w:rsidR="00AC2131" w:rsidRPr="007E34F5" w:rsidRDefault="00AC2131" w:rsidP="00AC2131">
                  <w:pPr>
                    <w:pStyle w:val="TableBodyText"/>
                    <w:spacing w:after="0"/>
                    <w:ind w:left="0" w:right="57"/>
                  </w:pPr>
                  <w:r w:rsidRPr="007E34F5">
                    <w:t>56.5</w:t>
                  </w:r>
                </w:p>
              </w:tc>
              <w:tc>
                <w:tcPr>
                  <w:tcW w:w="501" w:type="pct"/>
                  <w:vAlign w:val="bottom"/>
                </w:tcPr>
                <w:p w:rsidR="00AC2131" w:rsidRPr="007E34F5" w:rsidRDefault="00AC2131" w:rsidP="00AC2131">
                  <w:pPr>
                    <w:pStyle w:val="TableBodyText"/>
                    <w:spacing w:after="0"/>
                    <w:ind w:left="0" w:right="57"/>
                  </w:pPr>
                  <w:r w:rsidRPr="007E34F5">
                    <w:t>52.1</w:t>
                  </w:r>
                </w:p>
              </w:tc>
              <w:tc>
                <w:tcPr>
                  <w:tcW w:w="499" w:type="pct"/>
                  <w:vAlign w:val="bottom"/>
                </w:tcPr>
                <w:p w:rsidR="00AC2131" w:rsidRPr="007E34F5" w:rsidRDefault="00AC2131" w:rsidP="00AC2131">
                  <w:pPr>
                    <w:pStyle w:val="TableBodyText"/>
                    <w:spacing w:after="0"/>
                    <w:ind w:left="0" w:right="57"/>
                  </w:pPr>
                  <w:r w:rsidRPr="007E34F5">
                    <w:t>57.9</w:t>
                  </w:r>
                </w:p>
              </w:tc>
              <w:tc>
                <w:tcPr>
                  <w:tcW w:w="499" w:type="pct"/>
                  <w:shd w:val="clear" w:color="auto" w:fill="auto"/>
                  <w:vAlign w:val="bottom"/>
                </w:tcPr>
                <w:p w:rsidR="00AC2131" w:rsidRPr="007E34F5" w:rsidRDefault="00AC2131" w:rsidP="00AC2131">
                  <w:pPr>
                    <w:pStyle w:val="TableBodyText"/>
                    <w:spacing w:after="0"/>
                    <w:ind w:left="0" w:right="57"/>
                  </w:pPr>
                  <w:r w:rsidRPr="007E34F5">
                    <w:t>43.4</w:t>
                  </w:r>
                </w:p>
              </w:tc>
              <w:tc>
                <w:tcPr>
                  <w:tcW w:w="496" w:type="pct"/>
                  <w:shd w:val="clear" w:color="auto" w:fill="auto"/>
                  <w:vAlign w:val="bottom"/>
                </w:tcPr>
                <w:p w:rsidR="00AC2131" w:rsidRPr="007E34F5" w:rsidRDefault="00AC2131" w:rsidP="00AC2131">
                  <w:pPr>
                    <w:pStyle w:val="TableBodyText"/>
                    <w:spacing w:after="0"/>
                    <w:ind w:left="0" w:right="57"/>
                  </w:pPr>
                  <w:r w:rsidRPr="007E34F5">
                    <w:t>49.8</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Information &amp; telecommunications</w:t>
                  </w:r>
                </w:p>
              </w:tc>
              <w:tc>
                <w:tcPr>
                  <w:tcW w:w="502" w:type="pct"/>
                  <w:vAlign w:val="bottom"/>
                </w:tcPr>
                <w:p w:rsidR="00AC2131" w:rsidRPr="007E34F5" w:rsidRDefault="00AC2131" w:rsidP="00AC2131">
                  <w:pPr>
                    <w:pStyle w:val="TableBodyText"/>
                    <w:spacing w:after="0"/>
                    <w:ind w:left="0" w:right="57"/>
                  </w:pPr>
                  <w:r w:rsidRPr="007E34F5">
                    <w:t>112.3</w:t>
                  </w:r>
                </w:p>
              </w:tc>
              <w:tc>
                <w:tcPr>
                  <w:tcW w:w="501" w:type="pct"/>
                  <w:vAlign w:val="bottom"/>
                </w:tcPr>
                <w:p w:rsidR="00AC2131" w:rsidRPr="007E34F5" w:rsidRDefault="00AC2131" w:rsidP="00AC2131">
                  <w:pPr>
                    <w:pStyle w:val="TableBodyText"/>
                    <w:spacing w:after="0"/>
                    <w:ind w:left="0" w:right="57"/>
                  </w:pPr>
                  <w:r w:rsidRPr="007E34F5">
                    <w:t>111.4</w:t>
                  </w:r>
                </w:p>
              </w:tc>
              <w:tc>
                <w:tcPr>
                  <w:tcW w:w="501" w:type="pct"/>
                  <w:vAlign w:val="bottom"/>
                </w:tcPr>
                <w:p w:rsidR="00AC2131" w:rsidRPr="007E34F5" w:rsidRDefault="00AC2131" w:rsidP="00AC2131">
                  <w:pPr>
                    <w:pStyle w:val="TableBodyText"/>
                    <w:spacing w:after="0"/>
                    <w:ind w:left="0" w:right="57"/>
                  </w:pPr>
                  <w:r w:rsidRPr="007E34F5">
                    <w:t>96.9</w:t>
                  </w:r>
                </w:p>
              </w:tc>
              <w:tc>
                <w:tcPr>
                  <w:tcW w:w="499" w:type="pct"/>
                  <w:vAlign w:val="bottom"/>
                </w:tcPr>
                <w:p w:rsidR="00AC2131" w:rsidRPr="007E34F5" w:rsidRDefault="00AC2131" w:rsidP="00AC2131">
                  <w:pPr>
                    <w:pStyle w:val="TableBodyText"/>
                    <w:spacing w:after="0"/>
                    <w:ind w:left="0" w:right="57"/>
                  </w:pPr>
                  <w:r w:rsidRPr="007E34F5">
                    <w:t>88.0</w:t>
                  </w:r>
                </w:p>
              </w:tc>
              <w:tc>
                <w:tcPr>
                  <w:tcW w:w="499" w:type="pct"/>
                  <w:shd w:val="clear" w:color="auto" w:fill="auto"/>
                  <w:vAlign w:val="bottom"/>
                </w:tcPr>
                <w:p w:rsidR="00AC2131" w:rsidRPr="007E34F5" w:rsidRDefault="00AC2131" w:rsidP="00AC2131">
                  <w:pPr>
                    <w:pStyle w:val="TableBodyText"/>
                    <w:spacing w:after="0"/>
                    <w:ind w:left="0" w:right="57"/>
                  </w:pPr>
                  <w:r w:rsidRPr="007E34F5">
                    <w:t>107.4</w:t>
                  </w:r>
                </w:p>
              </w:tc>
              <w:tc>
                <w:tcPr>
                  <w:tcW w:w="496" w:type="pct"/>
                  <w:shd w:val="clear" w:color="auto" w:fill="auto"/>
                  <w:vAlign w:val="bottom"/>
                </w:tcPr>
                <w:p w:rsidR="00AC2131" w:rsidRPr="007E34F5" w:rsidRDefault="00AC2131" w:rsidP="00AC2131">
                  <w:pPr>
                    <w:pStyle w:val="TableBodyText"/>
                    <w:spacing w:after="0"/>
                    <w:ind w:left="0" w:right="57"/>
                  </w:pPr>
                  <w:r w:rsidRPr="007E34F5">
                    <w:t>122.8</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Financial and insurance services</w:t>
                  </w:r>
                </w:p>
              </w:tc>
              <w:tc>
                <w:tcPr>
                  <w:tcW w:w="502" w:type="pct"/>
                  <w:vAlign w:val="bottom"/>
                </w:tcPr>
                <w:p w:rsidR="00AC2131" w:rsidRPr="007E34F5" w:rsidRDefault="00AC2131" w:rsidP="00AC2131">
                  <w:pPr>
                    <w:pStyle w:val="TableBodyText"/>
                    <w:spacing w:after="0"/>
                    <w:ind w:left="0" w:right="57"/>
                  </w:pPr>
                  <w:r w:rsidRPr="007E34F5">
                    <w:t>49.8</w:t>
                  </w:r>
                </w:p>
              </w:tc>
              <w:tc>
                <w:tcPr>
                  <w:tcW w:w="501" w:type="pct"/>
                  <w:vAlign w:val="bottom"/>
                </w:tcPr>
                <w:p w:rsidR="00AC2131" w:rsidRPr="007E34F5" w:rsidRDefault="00AC2131" w:rsidP="00AC2131">
                  <w:pPr>
                    <w:pStyle w:val="TableBodyText"/>
                    <w:spacing w:after="0"/>
                    <w:ind w:left="0" w:right="57"/>
                  </w:pPr>
                  <w:r w:rsidRPr="007E34F5">
                    <w:t>62.0</w:t>
                  </w:r>
                </w:p>
              </w:tc>
              <w:tc>
                <w:tcPr>
                  <w:tcW w:w="501" w:type="pct"/>
                  <w:vAlign w:val="bottom"/>
                </w:tcPr>
                <w:p w:rsidR="00AC2131" w:rsidRPr="007E34F5" w:rsidRDefault="00AC2131" w:rsidP="00AC2131">
                  <w:pPr>
                    <w:pStyle w:val="TableBodyText"/>
                    <w:spacing w:after="0"/>
                    <w:ind w:left="0" w:right="57"/>
                  </w:pPr>
                  <w:r w:rsidRPr="007E34F5">
                    <w:t>120.4</w:t>
                  </w:r>
                </w:p>
              </w:tc>
              <w:tc>
                <w:tcPr>
                  <w:tcW w:w="499" w:type="pct"/>
                  <w:vAlign w:val="bottom"/>
                </w:tcPr>
                <w:p w:rsidR="00AC2131" w:rsidRPr="007E34F5" w:rsidRDefault="00AC2131" w:rsidP="00AC2131">
                  <w:pPr>
                    <w:pStyle w:val="TableBodyText"/>
                    <w:spacing w:after="0"/>
                    <w:ind w:left="0" w:right="57"/>
                  </w:pPr>
                  <w:r w:rsidRPr="007E34F5">
                    <w:t>137.2</w:t>
                  </w:r>
                </w:p>
              </w:tc>
              <w:tc>
                <w:tcPr>
                  <w:tcW w:w="499" w:type="pct"/>
                  <w:shd w:val="clear" w:color="auto" w:fill="auto"/>
                  <w:vAlign w:val="bottom"/>
                </w:tcPr>
                <w:p w:rsidR="00AC2131" w:rsidRPr="007E34F5" w:rsidRDefault="00AC2131" w:rsidP="00AC2131">
                  <w:pPr>
                    <w:pStyle w:val="TableBodyText"/>
                    <w:spacing w:after="0"/>
                    <w:ind w:left="0" w:right="57"/>
                  </w:pPr>
                  <w:r w:rsidRPr="007E34F5">
                    <w:t>126.4</w:t>
                  </w:r>
                </w:p>
              </w:tc>
              <w:tc>
                <w:tcPr>
                  <w:tcW w:w="496" w:type="pct"/>
                  <w:shd w:val="clear" w:color="auto" w:fill="auto"/>
                  <w:vAlign w:val="bottom"/>
                </w:tcPr>
                <w:p w:rsidR="00AC2131" w:rsidRPr="007E34F5" w:rsidRDefault="00AC2131" w:rsidP="00AC2131">
                  <w:pPr>
                    <w:pStyle w:val="TableBodyText"/>
                    <w:spacing w:after="0"/>
                    <w:ind w:left="0" w:right="57"/>
                  </w:pPr>
                  <w:r w:rsidRPr="007E34F5">
                    <w:t>192.6</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Property, professional &amp; admin.</w:t>
                  </w:r>
                </w:p>
              </w:tc>
              <w:tc>
                <w:tcPr>
                  <w:tcW w:w="502" w:type="pct"/>
                  <w:vAlign w:val="bottom"/>
                </w:tcPr>
                <w:p w:rsidR="00AC2131" w:rsidRPr="007E34F5" w:rsidRDefault="00AC2131" w:rsidP="00AC2131">
                  <w:pPr>
                    <w:pStyle w:val="TableBodyText"/>
                    <w:spacing w:after="0"/>
                    <w:ind w:left="0" w:right="57"/>
                  </w:pPr>
                  <w:r w:rsidRPr="007E34F5">
                    <w:t>184.2</w:t>
                  </w:r>
                </w:p>
              </w:tc>
              <w:tc>
                <w:tcPr>
                  <w:tcW w:w="501" w:type="pct"/>
                  <w:vAlign w:val="bottom"/>
                </w:tcPr>
                <w:p w:rsidR="00AC2131" w:rsidRPr="007E34F5" w:rsidRDefault="00AC2131" w:rsidP="00AC2131">
                  <w:pPr>
                    <w:pStyle w:val="TableBodyText"/>
                    <w:spacing w:after="0"/>
                    <w:ind w:left="0" w:right="57"/>
                  </w:pPr>
                  <w:r w:rsidRPr="007E34F5">
                    <w:t>185.6</w:t>
                  </w:r>
                </w:p>
              </w:tc>
              <w:tc>
                <w:tcPr>
                  <w:tcW w:w="501" w:type="pct"/>
                  <w:vAlign w:val="bottom"/>
                </w:tcPr>
                <w:p w:rsidR="00AC2131" w:rsidRPr="007E34F5" w:rsidRDefault="00AC2131" w:rsidP="00AC2131">
                  <w:pPr>
                    <w:pStyle w:val="TableBodyText"/>
                    <w:spacing w:after="0"/>
                    <w:ind w:left="0" w:right="57"/>
                  </w:pPr>
                  <w:r w:rsidRPr="007E34F5">
                    <w:t>302.8</w:t>
                  </w:r>
                </w:p>
              </w:tc>
              <w:tc>
                <w:tcPr>
                  <w:tcW w:w="499" w:type="pct"/>
                  <w:vAlign w:val="bottom"/>
                </w:tcPr>
                <w:p w:rsidR="00AC2131" w:rsidRPr="007E34F5" w:rsidRDefault="00AC2131" w:rsidP="00AC2131">
                  <w:pPr>
                    <w:pStyle w:val="TableBodyText"/>
                    <w:spacing w:after="0"/>
                    <w:ind w:left="0" w:right="57"/>
                  </w:pPr>
                  <w:r w:rsidRPr="007E34F5">
                    <w:t>328.6</w:t>
                  </w:r>
                </w:p>
              </w:tc>
              <w:tc>
                <w:tcPr>
                  <w:tcW w:w="499" w:type="pct"/>
                  <w:shd w:val="clear" w:color="auto" w:fill="auto"/>
                  <w:vAlign w:val="bottom"/>
                </w:tcPr>
                <w:p w:rsidR="00AC2131" w:rsidRPr="007E34F5" w:rsidRDefault="00AC2131" w:rsidP="00AC2131">
                  <w:pPr>
                    <w:pStyle w:val="TableBodyText"/>
                    <w:spacing w:after="0"/>
                    <w:ind w:left="0" w:right="57"/>
                  </w:pPr>
                  <w:r w:rsidRPr="007E34F5">
                    <w:t>273.4</w:t>
                  </w:r>
                </w:p>
              </w:tc>
              <w:tc>
                <w:tcPr>
                  <w:tcW w:w="496" w:type="pct"/>
                  <w:shd w:val="clear" w:color="auto" w:fill="auto"/>
                  <w:vAlign w:val="bottom"/>
                </w:tcPr>
                <w:p w:rsidR="00AC2131" w:rsidRPr="007E34F5" w:rsidRDefault="00AC2131" w:rsidP="00AC2131">
                  <w:pPr>
                    <w:pStyle w:val="TableBodyText"/>
                    <w:spacing w:after="0"/>
                    <w:ind w:left="0" w:right="57"/>
                  </w:pPr>
                  <w:r w:rsidRPr="007E34F5">
                    <w:t>430.0</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Public administration and safety</w:t>
                  </w:r>
                </w:p>
              </w:tc>
              <w:tc>
                <w:tcPr>
                  <w:tcW w:w="502" w:type="pct"/>
                  <w:vAlign w:val="bottom"/>
                </w:tcPr>
                <w:p w:rsidR="00AC2131" w:rsidRPr="007E34F5" w:rsidRDefault="00AC2131" w:rsidP="00AC2131">
                  <w:pPr>
                    <w:pStyle w:val="TableBodyText"/>
                    <w:spacing w:after="0"/>
                    <w:ind w:left="0" w:right="57"/>
                  </w:pPr>
                  <w:r w:rsidRPr="007E34F5">
                    <w:t>13.2</w:t>
                  </w:r>
                </w:p>
              </w:tc>
              <w:tc>
                <w:tcPr>
                  <w:tcW w:w="501" w:type="pct"/>
                  <w:vAlign w:val="bottom"/>
                </w:tcPr>
                <w:p w:rsidR="00AC2131" w:rsidRPr="007E34F5" w:rsidRDefault="00AC2131" w:rsidP="00AC2131">
                  <w:pPr>
                    <w:pStyle w:val="TableBodyText"/>
                    <w:spacing w:after="0"/>
                    <w:ind w:left="0" w:right="57"/>
                  </w:pPr>
                  <w:r w:rsidRPr="007E34F5">
                    <w:t>19.0</w:t>
                  </w:r>
                </w:p>
              </w:tc>
              <w:tc>
                <w:tcPr>
                  <w:tcW w:w="501" w:type="pct"/>
                  <w:vAlign w:val="bottom"/>
                </w:tcPr>
                <w:p w:rsidR="00AC2131" w:rsidRPr="007E34F5" w:rsidRDefault="00AC2131" w:rsidP="00AC2131">
                  <w:pPr>
                    <w:pStyle w:val="TableBodyText"/>
                    <w:spacing w:after="0"/>
                    <w:ind w:left="0" w:right="57"/>
                  </w:pPr>
                  <w:r w:rsidRPr="007E34F5">
                    <w:t>13.9</w:t>
                  </w:r>
                </w:p>
              </w:tc>
              <w:tc>
                <w:tcPr>
                  <w:tcW w:w="499" w:type="pct"/>
                  <w:vAlign w:val="bottom"/>
                </w:tcPr>
                <w:p w:rsidR="00AC2131" w:rsidRPr="007E34F5" w:rsidRDefault="00AC2131" w:rsidP="00AC2131">
                  <w:pPr>
                    <w:pStyle w:val="TableBodyText"/>
                    <w:spacing w:after="0"/>
                    <w:ind w:left="0" w:right="57"/>
                  </w:pPr>
                  <w:r w:rsidRPr="007E34F5">
                    <w:t>10.6</w:t>
                  </w:r>
                </w:p>
              </w:tc>
              <w:tc>
                <w:tcPr>
                  <w:tcW w:w="499" w:type="pct"/>
                  <w:shd w:val="clear" w:color="auto" w:fill="auto"/>
                  <w:vAlign w:val="bottom"/>
                </w:tcPr>
                <w:p w:rsidR="00AC2131" w:rsidRPr="007E34F5" w:rsidRDefault="00AC2131" w:rsidP="00AC2131">
                  <w:pPr>
                    <w:pStyle w:val="TableBodyText"/>
                    <w:spacing w:after="0"/>
                    <w:ind w:left="0" w:right="57"/>
                  </w:pPr>
                  <w:r w:rsidRPr="007E34F5">
                    <w:t>7.1</w:t>
                  </w:r>
                </w:p>
              </w:tc>
              <w:tc>
                <w:tcPr>
                  <w:tcW w:w="496" w:type="pct"/>
                  <w:shd w:val="clear" w:color="auto" w:fill="auto"/>
                  <w:vAlign w:val="bottom"/>
                </w:tcPr>
                <w:p w:rsidR="00AC2131" w:rsidRPr="007E34F5" w:rsidRDefault="00AC2131" w:rsidP="00AC2131">
                  <w:pPr>
                    <w:pStyle w:val="TableBodyText"/>
                    <w:spacing w:after="0"/>
                    <w:ind w:left="0" w:right="57"/>
                  </w:pPr>
                  <w:r w:rsidRPr="007E34F5">
                    <w:t>6.5</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Education and training</w:t>
                  </w:r>
                </w:p>
              </w:tc>
              <w:tc>
                <w:tcPr>
                  <w:tcW w:w="502" w:type="pct"/>
                  <w:vAlign w:val="bottom"/>
                </w:tcPr>
                <w:p w:rsidR="00AC2131" w:rsidRPr="007E34F5" w:rsidRDefault="00AC2131" w:rsidP="00AC2131">
                  <w:pPr>
                    <w:pStyle w:val="TableBodyText"/>
                    <w:spacing w:after="0"/>
                    <w:ind w:left="0" w:right="57"/>
                  </w:pPr>
                  <w:r w:rsidRPr="007E34F5">
                    <w:t>19.7</w:t>
                  </w:r>
                </w:p>
              </w:tc>
              <w:tc>
                <w:tcPr>
                  <w:tcW w:w="501" w:type="pct"/>
                  <w:vAlign w:val="bottom"/>
                </w:tcPr>
                <w:p w:rsidR="00AC2131" w:rsidRPr="007E34F5" w:rsidRDefault="00AC2131" w:rsidP="00AC2131">
                  <w:pPr>
                    <w:pStyle w:val="TableBodyText"/>
                    <w:spacing w:after="0"/>
                    <w:ind w:left="0" w:right="57"/>
                  </w:pPr>
                  <w:r w:rsidRPr="007E34F5">
                    <w:t>22.6</w:t>
                  </w:r>
                </w:p>
              </w:tc>
              <w:tc>
                <w:tcPr>
                  <w:tcW w:w="501" w:type="pct"/>
                  <w:vAlign w:val="bottom"/>
                </w:tcPr>
                <w:p w:rsidR="00AC2131" w:rsidRPr="007E34F5" w:rsidRDefault="00AC2131" w:rsidP="00AC2131">
                  <w:pPr>
                    <w:pStyle w:val="TableBodyText"/>
                    <w:spacing w:after="0"/>
                    <w:ind w:left="0" w:right="57"/>
                  </w:pPr>
                  <w:r w:rsidRPr="007E34F5">
                    <w:t>19.2</w:t>
                  </w:r>
                </w:p>
              </w:tc>
              <w:tc>
                <w:tcPr>
                  <w:tcW w:w="499" w:type="pct"/>
                  <w:vAlign w:val="bottom"/>
                </w:tcPr>
                <w:p w:rsidR="00AC2131" w:rsidRPr="007E34F5" w:rsidRDefault="00AC2131" w:rsidP="00AC2131">
                  <w:pPr>
                    <w:pStyle w:val="TableBodyText"/>
                    <w:spacing w:after="0"/>
                    <w:ind w:left="0" w:right="57"/>
                  </w:pPr>
                  <w:r w:rsidRPr="007E34F5">
                    <w:t>18.6</w:t>
                  </w:r>
                </w:p>
              </w:tc>
              <w:tc>
                <w:tcPr>
                  <w:tcW w:w="499" w:type="pct"/>
                  <w:shd w:val="clear" w:color="auto" w:fill="auto"/>
                  <w:vAlign w:val="bottom"/>
                </w:tcPr>
                <w:p w:rsidR="00AC2131" w:rsidRPr="007E34F5" w:rsidRDefault="00AC2131" w:rsidP="00AC2131">
                  <w:pPr>
                    <w:pStyle w:val="TableBodyText"/>
                    <w:spacing w:after="0"/>
                    <w:ind w:left="0" w:right="57"/>
                  </w:pPr>
                  <w:r w:rsidRPr="007E34F5">
                    <w:t>14.9</w:t>
                  </w:r>
                </w:p>
              </w:tc>
              <w:tc>
                <w:tcPr>
                  <w:tcW w:w="496" w:type="pct"/>
                  <w:shd w:val="clear" w:color="auto" w:fill="auto"/>
                  <w:vAlign w:val="bottom"/>
                </w:tcPr>
                <w:p w:rsidR="00AC2131" w:rsidRPr="007E34F5" w:rsidRDefault="00AC2131" w:rsidP="00AC2131">
                  <w:pPr>
                    <w:pStyle w:val="TableBodyText"/>
                    <w:spacing w:after="0"/>
                    <w:ind w:left="0" w:right="57"/>
                  </w:pPr>
                  <w:r w:rsidRPr="007E34F5">
                    <w:t>15.6</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Health care and social assistance</w:t>
                  </w:r>
                </w:p>
              </w:tc>
              <w:tc>
                <w:tcPr>
                  <w:tcW w:w="502" w:type="pct"/>
                  <w:vAlign w:val="bottom"/>
                </w:tcPr>
                <w:p w:rsidR="00AC2131" w:rsidRPr="007E34F5" w:rsidRDefault="00AC2131" w:rsidP="00AC2131">
                  <w:pPr>
                    <w:pStyle w:val="TableBodyText"/>
                    <w:spacing w:after="0"/>
                    <w:ind w:left="0" w:right="57"/>
                  </w:pPr>
                  <w:r w:rsidRPr="007E34F5">
                    <w:t>93.6</w:t>
                  </w:r>
                </w:p>
              </w:tc>
              <w:tc>
                <w:tcPr>
                  <w:tcW w:w="501" w:type="pct"/>
                  <w:vAlign w:val="bottom"/>
                </w:tcPr>
                <w:p w:rsidR="00AC2131" w:rsidRPr="007E34F5" w:rsidRDefault="00AC2131" w:rsidP="00AC2131">
                  <w:pPr>
                    <w:pStyle w:val="TableBodyText"/>
                    <w:spacing w:after="0"/>
                    <w:ind w:left="0" w:right="57"/>
                  </w:pPr>
                  <w:r w:rsidRPr="007E34F5">
                    <w:t>96.1</w:t>
                  </w:r>
                </w:p>
              </w:tc>
              <w:tc>
                <w:tcPr>
                  <w:tcW w:w="501" w:type="pct"/>
                  <w:vAlign w:val="bottom"/>
                </w:tcPr>
                <w:p w:rsidR="00AC2131" w:rsidRPr="007E34F5" w:rsidRDefault="00AC2131" w:rsidP="00AC2131">
                  <w:pPr>
                    <w:pStyle w:val="TableBodyText"/>
                    <w:spacing w:after="0"/>
                    <w:ind w:left="0" w:right="57"/>
                  </w:pPr>
                  <w:r w:rsidRPr="007E34F5">
                    <w:t>95.8</w:t>
                  </w:r>
                </w:p>
              </w:tc>
              <w:tc>
                <w:tcPr>
                  <w:tcW w:w="499" w:type="pct"/>
                  <w:vAlign w:val="bottom"/>
                </w:tcPr>
                <w:p w:rsidR="00AC2131" w:rsidRPr="007E34F5" w:rsidRDefault="00AC2131" w:rsidP="00AC2131">
                  <w:pPr>
                    <w:pStyle w:val="TableBodyText"/>
                    <w:spacing w:after="0"/>
                    <w:ind w:left="0" w:right="57"/>
                  </w:pPr>
                  <w:r w:rsidRPr="007E34F5">
                    <w:t>113.5</w:t>
                  </w:r>
                </w:p>
              </w:tc>
              <w:tc>
                <w:tcPr>
                  <w:tcW w:w="499" w:type="pct"/>
                  <w:shd w:val="clear" w:color="auto" w:fill="auto"/>
                  <w:vAlign w:val="bottom"/>
                </w:tcPr>
                <w:p w:rsidR="00AC2131" w:rsidRPr="007E34F5" w:rsidRDefault="00AC2131" w:rsidP="00AC2131">
                  <w:pPr>
                    <w:pStyle w:val="TableBodyText"/>
                    <w:spacing w:after="0"/>
                    <w:ind w:left="0" w:right="57"/>
                  </w:pPr>
                  <w:r w:rsidRPr="007E34F5">
                    <w:t>109.1</w:t>
                  </w:r>
                </w:p>
              </w:tc>
              <w:tc>
                <w:tcPr>
                  <w:tcW w:w="496" w:type="pct"/>
                  <w:shd w:val="clear" w:color="auto" w:fill="auto"/>
                  <w:vAlign w:val="bottom"/>
                </w:tcPr>
                <w:p w:rsidR="00AC2131" w:rsidRPr="007E34F5" w:rsidRDefault="00AC2131" w:rsidP="00AC2131">
                  <w:pPr>
                    <w:pStyle w:val="TableBodyText"/>
                    <w:spacing w:after="0"/>
                    <w:ind w:left="0" w:right="57"/>
                  </w:pPr>
                  <w:r w:rsidRPr="007E34F5">
                    <w:t>123.9</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Arts and recreation services</w:t>
                  </w:r>
                </w:p>
              </w:tc>
              <w:tc>
                <w:tcPr>
                  <w:tcW w:w="502" w:type="pct"/>
                  <w:vAlign w:val="bottom"/>
                </w:tcPr>
                <w:p w:rsidR="00AC2131" w:rsidRPr="007E34F5" w:rsidRDefault="00AC2131" w:rsidP="00AC2131">
                  <w:pPr>
                    <w:pStyle w:val="TableBodyText"/>
                    <w:spacing w:after="0"/>
                    <w:ind w:left="0" w:right="57"/>
                  </w:pPr>
                  <w:r w:rsidRPr="007E34F5">
                    <w:t>128.7</w:t>
                  </w:r>
                </w:p>
              </w:tc>
              <w:tc>
                <w:tcPr>
                  <w:tcW w:w="501" w:type="pct"/>
                  <w:vAlign w:val="bottom"/>
                </w:tcPr>
                <w:p w:rsidR="00AC2131" w:rsidRPr="007E34F5" w:rsidRDefault="00AC2131" w:rsidP="00AC2131">
                  <w:pPr>
                    <w:pStyle w:val="TableBodyText"/>
                    <w:spacing w:after="0"/>
                    <w:ind w:left="0" w:right="57"/>
                  </w:pPr>
                  <w:r w:rsidRPr="007E34F5">
                    <w:t>120.5</w:t>
                  </w:r>
                </w:p>
              </w:tc>
              <w:tc>
                <w:tcPr>
                  <w:tcW w:w="501" w:type="pct"/>
                  <w:vAlign w:val="bottom"/>
                </w:tcPr>
                <w:p w:rsidR="00AC2131" w:rsidRPr="007E34F5" w:rsidRDefault="00AC2131" w:rsidP="00AC2131">
                  <w:pPr>
                    <w:pStyle w:val="TableBodyText"/>
                    <w:spacing w:after="0"/>
                    <w:ind w:left="0" w:right="57"/>
                  </w:pPr>
                  <w:r w:rsidRPr="007E34F5">
                    <w:t>112.0</w:t>
                  </w:r>
                </w:p>
              </w:tc>
              <w:tc>
                <w:tcPr>
                  <w:tcW w:w="499" w:type="pct"/>
                  <w:vAlign w:val="bottom"/>
                </w:tcPr>
                <w:p w:rsidR="00AC2131" w:rsidRPr="007E34F5" w:rsidRDefault="00AC2131" w:rsidP="00AC2131">
                  <w:pPr>
                    <w:pStyle w:val="TableBodyText"/>
                    <w:spacing w:after="0"/>
                    <w:ind w:left="0" w:right="57"/>
                  </w:pPr>
                  <w:r w:rsidRPr="007E34F5">
                    <w:t>116.0</w:t>
                  </w:r>
                </w:p>
              </w:tc>
              <w:tc>
                <w:tcPr>
                  <w:tcW w:w="499" w:type="pct"/>
                  <w:shd w:val="clear" w:color="auto" w:fill="auto"/>
                  <w:vAlign w:val="bottom"/>
                </w:tcPr>
                <w:p w:rsidR="00AC2131" w:rsidRPr="007E34F5" w:rsidRDefault="00AC2131" w:rsidP="00AC2131">
                  <w:pPr>
                    <w:pStyle w:val="TableBodyText"/>
                    <w:spacing w:after="0"/>
                    <w:ind w:left="0" w:right="57"/>
                  </w:pPr>
                  <w:r w:rsidRPr="007E34F5">
                    <w:t>121.8</w:t>
                  </w:r>
                </w:p>
              </w:tc>
              <w:tc>
                <w:tcPr>
                  <w:tcW w:w="496" w:type="pct"/>
                  <w:shd w:val="clear" w:color="auto" w:fill="auto"/>
                  <w:vAlign w:val="bottom"/>
                </w:tcPr>
                <w:p w:rsidR="00AC2131" w:rsidRPr="007E34F5" w:rsidRDefault="00AC2131" w:rsidP="00AC2131">
                  <w:pPr>
                    <w:pStyle w:val="TableBodyText"/>
                    <w:spacing w:after="0"/>
                    <w:ind w:left="0" w:right="57"/>
                  </w:pPr>
                  <w:r w:rsidRPr="007E34F5">
                    <w:t>125.6</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Other services</w:t>
                  </w:r>
                </w:p>
              </w:tc>
              <w:tc>
                <w:tcPr>
                  <w:tcW w:w="502" w:type="pct"/>
                  <w:vAlign w:val="bottom"/>
                </w:tcPr>
                <w:p w:rsidR="00AC2131" w:rsidRPr="007E34F5" w:rsidRDefault="00AC2131" w:rsidP="00AC2131">
                  <w:pPr>
                    <w:pStyle w:val="TableBodyText"/>
                    <w:spacing w:after="0"/>
                    <w:ind w:left="0" w:right="57"/>
                  </w:pPr>
                  <w:r w:rsidRPr="007E34F5">
                    <w:t>11.6</w:t>
                  </w:r>
                </w:p>
              </w:tc>
              <w:tc>
                <w:tcPr>
                  <w:tcW w:w="501" w:type="pct"/>
                  <w:vAlign w:val="bottom"/>
                </w:tcPr>
                <w:p w:rsidR="00AC2131" w:rsidRPr="007E34F5" w:rsidRDefault="00AC2131" w:rsidP="00AC2131">
                  <w:pPr>
                    <w:pStyle w:val="TableBodyText"/>
                    <w:spacing w:after="0"/>
                    <w:ind w:left="0" w:right="57"/>
                  </w:pPr>
                  <w:r w:rsidRPr="007E34F5">
                    <w:t>16.1</w:t>
                  </w:r>
                </w:p>
              </w:tc>
              <w:tc>
                <w:tcPr>
                  <w:tcW w:w="501" w:type="pct"/>
                  <w:vAlign w:val="bottom"/>
                </w:tcPr>
                <w:p w:rsidR="00AC2131" w:rsidRPr="007E34F5" w:rsidRDefault="00AC2131" w:rsidP="00AC2131">
                  <w:pPr>
                    <w:pStyle w:val="TableBodyText"/>
                    <w:spacing w:after="0"/>
                    <w:ind w:left="0" w:right="57"/>
                  </w:pPr>
                  <w:r w:rsidRPr="007E34F5">
                    <w:t>12.3</w:t>
                  </w:r>
                </w:p>
              </w:tc>
              <w:tc>
                <w:tcPr>
                  <w:tcW w:w="499" w:type="pct"/>
                  <w:vAlign w:val="bottom"/>
                </w:tcPr>
                <w:p w:rsidR="00AC2131" w:rsidRPr="007E34F5" w:rsidRDefault="00AC2131" w:rsidP="00AC2131">
                  <w:pPr>
                    <w:pStyle w:val="TableBodyText"/>
                    <w:spacing w:after="0"/>
                    <w:ind w:left="0" w:right="57"/>
                  </w:pPr>
                  <w:r w:rsidRPr="007E34F5">
                    <w:t>19.4</w:t>
                  </w:r>
                </w:p>
              </w:tc>
              <w:tc>
                <w:tcPr>
                  <w:tcW w:w="499" w:type="pct"/>
                  <w:shd w:val="clear" w:color="auto" w:fill="auto"/>
                  <w:vAlign w:val="bottom"/>
                </w:tcPr>
                <w:p w:rsidR="00AC2131" w:rsidRPr="007E34F5" w:rsidRDefault="00AC2131" w:rsidP="00AC2131">
                  <w:pPr>
                    <w:pStyle w:val="TableBodyText"/>
                    <w:spacing w:after="0"/>
                    <w:ind w:left="0" w:right="57"/>
                  </w:pPr>
                  <w:r w:rsidRPr="007E34F5">
                    <w:t>19.1</w:t>
                  </w:r>
                </w:p>
              </w:tc>
              <w:tc>
                <w:tcPr>
                  <w:tcW w:w="496" w:type="pct"/>
                  <w:shd w:val="clear" w:color="auto" w:fill="auto"/>
                  <w:vAlign w:val="bottom"/>
                </w:tcPr>
                <w:p w:rsidR="00AC2131" w:rsidRPr="007E34F5" w:rsidRDefault="00AC2131" w:rsidP="00AC2131">
                  <w:pPr>
                    <w:pStyle w:val="TableBodyText"/>
                    <w:spacing w:after="0"/>
                    <w:ind w:left="0" w:right="57"/>
                  </w:pPr>
                  <w:r w:rsidRPr="007E34F5">
                    <w:t>19.7</w:t>
                  </w:r>
                </w:p>
              </w:tc>
            </w:tr>
            <w:tr w:rsidR="00AC2131" w:rsidTr="00AC2131">
              <w:tc>
                <w:tcPr>
                  <w:tcW w:w="2002" w:type="pct"/>
                  <w:shd w:val="clear" w:color="auto" w:fill="auto"/>
                  <w:vAlign w:val="center"/>
                </w:tcPr>
                <w:p w:rsidR="00AC2131" w:rsidRPr="002E0713" w:rsidRDefault="00AC2131">
                  <w:pPr>
                    <w:rPr>
                      <w:rFonts w:ascii="Arial" w:hAnsi="Arial" w:cs="Arial"/>
                      <w:sz w:val="18"/>
                      <w:szCs w:val="18"/>
                    </w:rPr>
                  </w:pPr>
                  <w:r w:rsidRPr="002E0713">
                    <w:rPr>
                      <w:rFonts w:ascii="Arial" w:hAnsi="Arial" w:cs="Arial"/>
                      <w:sz w:val="18"/>
                      <w:szCs w:val="18"/>
                    </w:rPr>
                    <w:t>Unallocated services</w:t>
                  </w:r>
                  <w:r>
                    <w:rPr>
                      <w:rStyle w:val="NoteLabel"/>
                    </w:rPr>
                    <w:t>a</w:t>
                  </w:r>
                </w:p>
              </w:tc>
              <w:tc>
                <w:tcPr>
                  <w:tcW w:w="502" w:type="pct"/>
                  <w:vAlign w:val="bottom"/>
                </w:tcPr>
                <w:p w:rsidR="00AC2131" w:rsidRPr="007E34F5" w:rsidRDefault="00AC2131" w:rsidP="00AC2131">
                  <w:pPr>
                    <w:pStyle w:val="TableBodyText"/>
                    <w:spacing w:after="0"/>
                    <w:ind w:left="0" w:right="57"/>
                  </w:pPr>
                  <w:r w:rsidRPr="007E34F5">
                    <w:t>160.2</w:t>
                  </w:r>
                </w:p>
              </w:tc>
              <w:tc>
                <w:tcPr>
                  <w:tcW w:w="501" w:type="pct"/>
                  <w:vAlign w:val="bottom"/>
                </w:tcPr>
                <w:p w:rsidR="00AC2131" w:rsidRPr="007E34F5" w:rsidRDefault="00AC2131" w:rsidP="00AC2131">
                  <w:pPr>
                    <w:pStyle w:val="TableBodyText"/>
                    <w:spacing w:after="0"/>
                    <w:ind w:left="0" w:right="57"/>
                  </w:pPr>
                  <w:r w:rsidRPr="007E34F5">
                    <w:t>194.7</w:t>
                  </w:r>
                </w:p>
              </w:tc>
              <w:tc>
                <w:tcPr>
                  <w:tcW w:w="501" w:type="pct"/>
                  <w:vAlign w:val="bottom"/>
                </w:tcPr>
                <w:p w:rsidR="00AC2131" w:rsidRPr="007E34F5" w:rsidRDefault="00AC2131" w:rsidP="00AC2131">
                  <w:pPr>
                    <w:pStyle w:val="TableBodyText"/>
                    <w:spacing w:after="0"/>
                    <w:ind w:left="0" w:right="57"/>
                  </w:pPr>
                  <w:r w:rsidRPr="007E34F5">
                    <w:t>169.3</w:t>
                  </w:r>
                </w:p>
              </w:tc>
              <w:tc>
                <w:tcPr>
                  <w:tcW w:w="499" w:type="pct"/>
                  <w:vAlign w:val="bottom"/>
                </w:tcPr>
                <w:p w:rsidR="00AC2131" w:rsidRPr="007E34F5" w:rsidRDefault="00AC2131" w:rsidP="00AC2131">
                  <w:pPr>
                    <w:pStyle w:val="TableBodyText"/>
                    <w:spacing w:after="0"/>
                    <w:ind w:left="0" w:right="57"/>
                  </w:pPr>
                  <w:r w:rsidRPr="007E34F5">
                    <w:t>179.0</w:t>
                  </w:r>
                </w:p>
              </w:tc>
              <w:tc>
                <w:tcPr>
                  <w:tcW w:w="499" w:type="pct"/>
                  <w:shd w:val="clear" w:color="auto" w:fill="auto"/>
                  <w:vAlign w:val="bottom"/>
                </w:tcPr>
                <w:p w:rsidR="00AC2131" w:rsidRPr="007E34F5" w:rsidRDefault="00AC2131" w:rsidP="00AC2131">
                  <w:pPr>
                    <w:pStyle w:val="TableBodyText"/>
                    <w:spacing w:after="0"/>
                    <w:ind w:left="0" w:right="57"/>
                  </w:pPr>
                  <w:r w:rsidRPr="007E34F5">
                    <w:t>170.8</w:t>
                  </w:r>
                </w:p>
              </w:tc>
              <w:tc>
                <w:tcPr>
                  <w:tcW w:w="496" w:type="pct"/>
                  <w:shd w:val="clear" w:color="auto" w:fill="auto"/>
                  <w:vAlign w:val="bottom"/>
                </w:tcPr>
                <w:p w:rsidR="00AC2131" w:rsidRPr="007E34F5" w:rsidRDefault="00AC2131" w:rsidP="00AC2131">
                  <w:pPr>
                    <w:pStyle w:val="TableBodyText"/>
                    <w:spacing w:after="0"/>
                    <w:ind w:left="0" w:right="57"/>
                  </w:pPr>
                  <w:r w:rsidRPr="007E34F5">
                    <w:t>156.8</w:t>
                  </w:r>
                </w:p>
              </w:tc>
            </w:tr>
            <w:tr w:rsidR="00AC2131" w:rsidRPr="007E34F5" w:rsidTr="00AC2131">
              <w:tc>
                <w:tcPr>
                  <w:tcW w:w="2002" w:type="pct"/>
                  <w:shd w:val="clear" w:color="auto" w:fill="auto"/>
                  <w:vAlign w:val="center"/>
                </w:tcPr>
                <w:p w:rsidR="00AC2131" w:rsidRPr="007E34F5" w:rsidRDefault="00AC2131" w:rsidP="00AC2131">
                  <w:pPr>
                    <w:rPr>
                      <w:rFonts w:ascii="Arial" w:hAnsi="Arial" w:cs="Arial"/>
                      <w:b/>
                      <w:bCs/>
                      <w:sz w:val="18"/>
                      <w:szCs w:val="18"/>
                    </w:rPr>
                  </w:pPr>
                  <w:r w:rsidRPr="007E34F5">
                    <w:rPr>
                      <w:rFonts w:ascii="Arial" w:hAnsi="Arial" w:cs="Arial"/>
                      <w:b/>
                      <w:bCs/>
                      <w:sz w:val="18"/>
                      <w:szCs w:val="18"/>
                    </w:rPr>
                    <w:t>Unallocated other</w:t>
                  </w:r>
                  <w:r>
                    <w:rPr>
                      <w:rStyle w:val="NoteLabel"/>
                    </w:rPr>
                    <w:t>a</w:t>
                  </w:r>
                </w:p>
              </w:tc>
              <w:tc>
                <w:tcPr>
                  <w:tcW w:w="502" w:type="pct"/>
                  <w:vAlign w:val="bottom"/>
                </w:tcPr>
                <w:p w:rsidR="00AC2131" w:rsidRPr="007E34F5" w:rsidRDefault="00AC2131" w:rsidP="00AC2131">
                  <w:pPr>
                    <w:pStyle w:val="TableBodyText"/>
                    <w:spacing w:after="0"/>
                    <w:ind w:left="0" w:right="57"/>
                    <w:rPr>
                      <w:b/>
                    </w:rPr>
                  </w:pPr>
                  <w:r w:rsidRPr="007E34F5">
                    <w:rPr>
                      <w:b/>
                    </w:rPr>
                    <w:t>195.2</w:t>
                  </w:r>
                </w:p>
              </w:tc>
              <w:tc>
                <w:tcPr>
                  <w:tcW w:w="501" w:type="pct"/>
                  <w:vAlign w:val="bottom"/>
                </w:tcPr>
                <w:p w:rsidR="00AC2131" w:rsidRPr="007E34F5" w:rsidRDefault="00AC2131" w:rsidP="00AC2131">
                  <w:pPr>
                    <w:pStyle w:val="TableBodyText"/>
                    <w:spacing w:after="0"/>
                    <w:ind w:left="0" w:right="57"/>
                    <w:rPr>
                      <w:b/>
                    </w:rPr>
                  </w:pPr>
                  <w:r w:rsidRPr="007E34F5">
                    <w:rPr>
                      <w:b/>
                    </w:rPr>
                    <w:t>293.4</w:t>
                  </w:r>
                </w:p>
              </w:tc>
              <w:tc>
                <w:tcPr>
                  <w:tcW w:w="501" w:type="pct"/>
                  <w:vAlign w:val="bottom"/>
                </w:tcPr>
                <w:p w:rsidR="00AC2131" w:rsidRPr="007E34F5" w:rsidRDefault="00AC2131" w:rsidP="00AC2131">
                  <w:pPr>
                    <w:pStyle w:val="TableBodyText"/>
                    <w:spacing w:after="0"/>
                    <w:ind w:left="0" w:right="57"/>
                    <w:rPr>
                      <w:b/>
                    </w:rPr>
                  </w:pPr>
                  <w:r w:rsidRPr="007E34F5">
                    <w:rPr>
                      <w:b/>
                    </w:rPr>
                    <w:t>303.8</w:t>
                  </w:r>
                </w:p>
              </w:tc>
              <w:tc>
                <w:tcPr>
                  <w:tcW w:w="499" w:type="pct"/>
                  <w:vAlign w:val="bottom"/>
                </w:tcPr>
                <w:p w:rsidR="00AC2131" w:rsidRPr="007E34F5" w:rsidRDefault="00AC2131" w:rsidP="00AC2131">
                  <w:pPr>
                    <w:pStyle w:val="TableBodyText"/>
                    <w:spacing w:after="0"/>
                    <w:ind w:left="0" w:right="57"/>
                    <w:rPr>
                      <w:b/>
                    </w:rPr>
                  </w:pPr>
                  <w:r w:rsidRPr="007E34F5">
                    <w:rPr>
                      <w:b/>
                    </w:rPr>
                    <w:t>329.7</w:t>
                  </w:r>
                </w:p>
              </w:tc>
              <w:tc>
                <w:tcPr>
                  <w:tcW w:w="499" w:type="pct"/>
                  <w:shd w:val="clear" w:color="auto" w:fill="auto"/>
                  <w:vAlign w:val="bottom"/>
                </w:tcPr>
                <w:p w:rsidR="00AC2131" w:rsidRPr="007E34F5" w:rsidRDefault="00AC2131" w:rsidP="00AC2131">
                  <w:pPr>
                    <w:pStyle w:val="TableBodyText"/>
                    <w:spacing w:after="0"/>
                    <w:ind w:left="0" w:right="57"/>
                    <w:rPr>
                      <w:b/>
                    </w:rPr>
                  </w:pPr>
                  <w:r w:rsidRPr="007E34F5">
                    <w:rPr>
                      <w:b/>
                    </w:rPr>
                    <w:t>281.2</w:t>
                  </w:r>
                </w:p>
              </w:tc>
              <w:tc>
                <w:tcPr>
                  <w:tcW w:w="496" w:type="pct"/>
                  <w:shd w:val="clear" w:color="auto" w:fill="auto"/>
                  <w:vAlign w:val="bottom"/>
                </w:tcPr>
                <w:p w:rsidR="00AC2131" w:rsidRPr="007E34F5" w:rsidRDefault="00AC2131" w:rsidP="00AC2131">
                  <w:pPr>
                    <w:pStyle w:val="TableBodyText"/>
                    <w:spacing w:after="0"/>
                    <w:ind w:left="0" w:right="57"/>
                    <w:rPr>
                      <w:b/>
                    </w:rPr>
                  </w:pPr>
                  <w:r w:rsidRPr="007E34F5">
                    <w:rPr>
                      <w:b/>
                    </w:rPr>
                    <w:t>437.4</w:t>
                  </w:r>
                </w:p>
              </w:tc>
            </w:tr>
            <w:tr w:rsidR="00AC2131" w:rsidRPr="007E34F5" w:rsidTr="00AC2131">
              <w:tc>
                <w:tcPr>
                  <w:tcW w:w="2002" w:type="pct"/>
                  <w:tcBorders>
                    <w:bottom w:val="single" w:sz="6" w:space="0" w:color="BFBFBF"/>
                  </w:tcBorders>
                  <w:shd w:val="clear" w:color="auto" w:fill="auto"/>
                  <w:vAlign w:val="center"/>
                </w:tcPr>
                <w:p w:rsidR="00AC2131" w:rsidRPr="007E34F5" w:rsidRDefault="00AC2131">
                  <w:pPr>
                    <w:rPr>
                      <w:rFonts w:ascii="Arial" w:hAnsi="Arial" w:cs="Arial"/>
                      <w:b/>
                      <w:bCs/>
                      <w:sz w:val="18"/>
                      <w:szCs w:val="18"/>
                    </w:rPr>
                  </w:pPr>
                  <w:r w:rsidRPr="007E34F5">
                    <w:rPr>
                      <w:rFonts w:ascii="Arial" w:hAnsi="Arial" w:cs="Arial"/>
                      <w:b/>
                      <w:bCs/>
                      <w:sz w:val="18"/>
                      <w:szCs w:val="18"/>
                    </w:rPr>
                    <w:t>Total</w:t>
                  </w:r>
                </w:p>
              </w:tc>
              <w:tc>
                <w:tcPr>
                  <w:tcW w:w="502"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3745.3</w:t>
                  </w:r>
                </w:p>
              </w:tc>
              <w:tc>
                <w:tcPr>
                  <w:tcW w:w="501"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3887.4</w:t>
                  </w:r>
                </w:p>
              </w:tc>
              <w:tc>
                <w:tcPr>
                  <w:tcW w:w="501"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3656.6</w:t>
                  </w:r>
                </w:p>
              </w:tc>
              <w:tc>
                <w:tcPr>
                  <w:tcW w:w="499"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5285.8</w:t>
                  </w:r>
                </w:p>
              </w:tc>
              <w:tc>
                <w:tcPr>
                  <w:tcW w:w="499" w:type="pct"/>
                  <w:tcBorders>
                    <w:bottom w:val="single" w:sz="6" w:space="0" w:color="BFBFBF"/>
                  </w:tcBorders>
                  <w:shd w:val="clear" w:color="auto" w:fill="auto"/>
                  <w:vAlign w:val="bottom"/>
                </w:tcPr>
                <w:p w:rsidR="00AC2131" w:rsidRPr="007E34F5" w:rsidRDefault="00AC2131" w:rsidP="00AC2131">
                  <w:pPr>
                    <w:pStyle w:val="TableBodyText"/>
                    <w:spacing w:after="0"/>
                    <w:ind w:left="0" w:right="57"/>
                    <w:rPr>
                      <w:b/>
                    </w:rPr>
                  </w:pPr>
                  <w:r w:rsidRPr="007E34F5">
                    <w:rPr>
                      <w:b/>
                    </w:rPr>
                    <w:t>3358.7</w:t>
                  </w:r>
                </w:p>
              </w:tc>
              <w:tc>
                <w:tcPr>
                  <w:tcW w:w="496" w:type="pct"/>
                  <w:tcBorders>
                    <w:bottom w:val="single" w:sz="6" w:space="0" w:color="BFBFBF"/>
                  </w:tcBorders>
                  <w:shd w:val="clear" w:color="auto" w:fill="auto"/>
                  <w:vAlign w:val="bottom"/>
                </w:tcPr>
                <w:p w:rsidR="00AC2131" w:rsidRPr="007E34F5" w:rsidRDefault="00AC2131" w:rsidP="00AC2131">
                  <w:pPr>
                    <w:pStyle w:val="TableBodyText"/>
                    <w:spacing w:after="0"/>
                    <w:ind w:left="0" w:right="57"/>
                    <w:rPr>
                      <w:b/>
                    </w:rPr>
                  </w:pPr>
                  <w:r w:rsidRPr="007E34F5">
                    <w:rPr>
                      <w:b/>
                    </w:rPr>
                    <w:t>4132.6</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Note"/>
              <w:rPr>
                <w:i/>
              </w:rPr>
            </w:pPr>
            <w:r>
              <w:rPr>
                <w:rFonts w:cs="Arial"/>
                <w:szCs w:val="18"/>
              </w:rPr>
              <w:t xml:space="preserve">– Nil. </w:t>
            </w:r>
            <w:r w:rsidRPr="00C74A79">
              <w:rPr>
                <w:rFonts w:cs="Arial"/>
                <w:szCs w:val="18"/>
              </w:rPr>
              <w:t>Figures may not add to totals due to rounding.</w:t>
            </w:r>
            <w:r>
              <w:rPr>
                <w:rFonts w:cs="Arial"/>
                <w:szCs w:val="18"/>
              </w:rPr>
              <w:t xml:space="preserve"> </w:t>
            </w:r>
            <w:r w:rsidRPr="008E77FE">
              <w:rPr>
                <w:rStyle w:val="NoteLabel"/>
              </w:rPr>
              <w:t>a</w:t>
            </w:r>
            <w:r>
              <w:t> </w:t>
            </w:r>
            <w:r w:rsidRPr="008405D4">
              <w:t>Unallocated includes budgetary measures where details of beneficiaries are unknown.</w:t>
            </w: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w:t>
            </w:r>
            <w:r>
              <w:rPr>
                <w:b w:val="0"/>
                <w:noProof/>
              </w:rPr>
              <w:t>7</w:t>
            </w:r>
            <w:r>
              <w:tab/>
            </w:r>
            <w:r w:rsidRPr="003803B3">
              <w:t xml:space="preserve">Budgetary tax concessions by industry grouping, </w:t>
            </w:r>
            <w:r>
              <w:br/>
            </w:r>
            <w:r w:rsidRPr="003803B3">
              <w:t>2008</w:t>
            </w:r>
            <w:r>
              <w:noBreakHyphen/>
            </w:r>
            <w:r w:rsidRPr="003803B3">
              <w:t>09 to 2013</w:t>
            </w:r>
            <w:r>
              <w:noBreakHyphen/>
            </w:r>
            <w:r w:rsidRPr="003803B3">
              <w:t>14</w:t>
            </w:r>
          </w:p>
          <w:p w:rsidR="00AC2131" w:rsidRPr="00784A05" w:rsidRDefault="00AC2131" w:rsidP="00AC2131">
            <w:pPr>
              <w:pStyle w:val="Subtitle"/>
            </w:pPr>
            <w:r w:rsidRPr="003803B3">
              <w:t>$ million (nominal)</w:t>
            </w:r>
          </w:p>
        </w:tc>
      </w:tr>
      <w:tr w:rsidR="00AC2131" w:rsidTr="00AC2131">
        <w:trPr>
          <w:cantSplit/>
        </w:trPr>
        <w:tc>
          <w:tcPr>
            <w:tcW w:w="8767" w:type="dxa"/>
            <w:tcBorders>
              <w:top w:val="nil"/>
              <w:left w:val="nil"/>
              <w:bottom w:val="nil"/>
              <w:right w:val="nil"/>
            </w:tcBorders>
            <w:shd w:val="clear" w:color="auto" w:fill="auto"/>
          </w:tcPr>
          <w:tbl>
            <w:tblPr>
              <w:tblW w:w="8508" w:type="dxa"/>
              <w:tblLayout w:type="fixed"/>
              <w:tblCellMar>
                <w:top w:w="28" w:type="dxa"/>
                <w:left w:w="0" w:type="dxa"/>
                <w:right w:w="0" w:type="dxa"/>
              </w:tblCellMar>
              <w:tblLook w:val="0000" w:firstRow="0" w:lastRow="0" w:firstColumn="0" w:lastColumn="0" w:noHBand="0" w:noVBand="0"/>
            </w:tblPr>
            <w:tblGrid>
              <w:gridCol w:w="3400"/>
              <w:gridCol w:w="853"/>
              <w:gridCol w:w="853"/>
              <w:gridCol w:w="853"/>
              <w:gridCol w:w="849"/>
              <w:gridCol w:w="849"/>
              <w:gridCol w:w="851"/>
            </w:tblGrid>
            <w:tr w:rsidR="00AC2131" w:rsidTr="00AC2131">
              <w:tc>
                <w:tcPr>
                  <w:tcW w:w="1998"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Industry grouping</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99"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5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RPr="007E34F5" w:rsidTr="00AC2131">
              <w:tc>
                <w:tcPr>
                  <w:tcW w:w="1998" w:type="pct"/>
                  <w:tcBorders>
                    <w:top w:val="single" w:sz="6" w:space="0" w:color="BFBFBF"/>
                  </w:tcBorders>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Primary production</w:t>
                  </w:r>
                </w:p>
              </w:tc>
              <w:tc>
                <w:tcPr>
                  <w:tcW w:w="501"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410.6</w:t>
                  </w:r>
                </w:p>
              </w:tc>
              <w:tc>
                <w:tcPr>
                  <w:tcW w:w="501"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562.7</w:t>
                  </w:r>
                </w:p>
              </w:tc>
              <w:tc>
                <w:tcPr>
                  <w:tcW w:w="501"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483.5</w:t>
                  </w:r>
                </w:p>
              </w:tc>
              <w:tc>
                <w:tcPr>
                  <w:tcW w:w="499"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600.9</w:t>
                  </w:r>
                </w:p>
              </w:tc>
              <w:tc>
                <w:tcPr>
                  <w:tcW w:w="499"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488.0</w:t>
                  </w:r>
                </w:p>
              </w:tc>
              <w:tc>
                <w:tcPr>
                  <w:tcW w:w="500" w:type="pct"/>
                  <w:tcBorders>
                    <w:top w:val="single" w:sz="6" w:space="0" w:color="BFBFBF"/>
                  </w:tcBorders>
                  <w:vAlign w:val="bottom"/>
                </w:tcPr>
                <w:p w:rsidR="00AC2131" w:rsidRPr="007E34F5" w:rsidRDefault="00AC2131" w:rsidP="00AC2131">
                  <w:pPr>
                    <w:pStyle w:val="TableBodyText"/>
                    <w:spacing w:after="0"/>
                    <w:ind w:left="0" w:right="57"/>
                    <w:rPr>
                      <w:b/>
                    </w:rPr>
                  </w:pPr>
                  <w:r w:rsidRPr="007E34F5">
                    <w:rPr>
                      <w:b/>
                    </w:rPr>
                    <w:t>530.1</w:t>
                  </w:r>
                </w:p>
              </w:tc>
            </w:tr>
            <w:tr w:rsidR="00AC2131" w:rsidTr="00AC2131">
              <w:tc>
                <w:tcPr>
                  <w:tcW w:w="1998" w:type="pct"/>
                  <w:vAlign w:val="center"/>
                </w:tcPr>
                <w:p w:rsidR="00AC2131" w:rsidRPr="00037109" w:rsidRDefault="00AC2131">
                  <w:pPr>
                    <w:rPr>
                      <w:rFonts w:ascii="Arial" w:hAnsi="Arial" w:cs="Arial"/>
                      <w:sz w:val="18"/>
                      <w:szCs w:val="18"/>
                    </w:rPr>
                  </w:pPr>
                  <w:r w:rsidRPr="00037109">
                    <w:rPr>
                      <w:rFonts w:ascii="Arial" w:hAnsi="Arial" w:cs="Arial"/>
                      <w:sz w:val="18"/>
                      <w:szCs w:val="18"/>
                    </w:rPr>
                    <w:t>Horticulture and fruit growing</w:t>
                  </w:r>
                </w:p>
              </w:tc>
              <w:tc>
                <w:tcPr>
                  <w:tcW w:w="501" w:type="pct"/>
                  <w:vAlign w:val="bottom"/>
                </w:tcPr>
                <w:p w:rsidR="00AC2131" w:rsidRPr="007E34F5" w:rsidRDefault="00AC2131" w:rsidP="00AC2131">
                  <w:pPr>
                    <w:pStyle w:val="TableBodyText"/>
                    <w:spacing w:after="0"/>
                    <w:ind w:left="0" w:right="57"/>
                  </w:pPr>
                  <w:r w:rsidRPr="007E34F5">
                    <w:t>52.6</w:t>
                  </w:r>
                </w:p>
              </w:tc>
              <w:tc>
                <w:tcPr>
                  <w:tcW w:w="501" w:type="pct"/>
                  <w:vAlign w:val="bottom"/>
                </w:tcPr>
                <w:p w:rsidR="00AC2131" w:rsidRPr="007E34F5" w:rsidRDefault="00AC2131" w:rsidP="00AC2131">
                  <w:pPr>
                    <w:pStyle w:val="TableBodyText"/>
                    <w:spacing w:after="0"/>
                    <w:ind w:left="0" w:right="57"/>
                  </w:pPr>
                  <w:r w:rsidRPr="007E34F5">
                    <w:t>61.9</w:t>
                  </w:r>
                </w:p>
              </w:tc>
              <w:tc>
                <w:tcPr>
                  <w:tcW w:w="501" w:type="pct"/>
                  <w:vAlign w:val="bottom"/>
                </w:tcPr>
                <w:p w:rsidR="00AC2131" w:rsidRPr="007E34F5" w:rsidRDefault="00AC2131" w:rsidP="00AC2131">
                  <w:pPr>
                    <w:pStyle w:val="TableBodyText"/>
                    <w:spacing w:after="0"/>
                    <w:ind w:left="0" w:right="57"/>
                  </w:pPr>
                  <w:r w:rsidRPr="007E34F5">
                    <w:t>42.6</w:t>
                  </w:r>
                </w:p>
              </w:tc>
              <w:tc>
                <w:tcPr>
                  <w:tcW w:w="499" w:type="pct"/>
                  <w:vAlign w:val="bottom"/>
                </w:tcPr>
                <w:p w:rsidR="00AC2131" w:rsidRPr="007E34F5" w:rsidRDefault="00AC2131" w:rsidP="00AC2131">
                  <w:pPr>
                    <w:pStyle w:val="TableBodyText"/>
                    <w:spacing w:after="0"/>
                    <w:ind w:left="0" w:right="57"/>
                  </w:pPr>
                  <w:r w:rsidRPr="007E34F5">
                    <w:t>50.0</w:t>
                  </w:r>
                </w:p>
              </w:tc>
              <w:tc>
                <w:tcPr>
                  <w:tcW w:w="499" w:type="pct"/>
                  <w:vAlign w:val="bottom"/>
                </w:tcPr>
                <w:p w:rsidR="00AC2131" w:rsidRPr="007E34F5" w:rsidRDefault="00AC2131" w:rsidP="00AC2131">
                  <w:pPr>
                    <w:pStyle w:val="TableBodyText"/>
                    <w:spacing w:after="0"/>
                    <w:ind w:left="0" w:right="57"/>
                  </w:pPr>
                  <w:r w:rsidRPr="007E34F5">
                    <w:t>50.2</w:t>
                  </w:r>
                </w:p>
              </w:tc>
              <w:tc>
                <w:tcPr>
                  <w:tcW w:w="500" w:type="pct"/>
                  <w:vAlign w:val="bottom"/>
                </w:tcPr>
                <w:p w:rsidR="00AC2131" w:rsidRPr="007E34F5" w:rsidRDefault="00AC2131" w:rsidP="00AC2131">
                  <w:pPr>
                    <w:pStyle w:val="TableBodyText"/>
                    <w:spacing w:after="0"/>
                    <w:ind w:left="0" w:right="57"/>
                  </w:pPr>
                  <w:r w:rsidRPr="007E34F5">
                    <w:t>57.7</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Sheep, beef cattle and grain farming</w:t>
                  </w:r>
                </w:p>
              </w:tc>
              <w:tc>
                <w:tcPr>
                  <w:tcW w:w="501" w:type="pct"/>
                  <w:vAlign w:val="bottom"/>
                </w:tcPr>
                <w:p w:rsidR="00AC2131" w:rsidRPr="007E34F5" w:rsidRDefault="00AC2131" w:rsidP="00AC2131">
                  <w:pPr>
                    <w:pStyle w:val="TableBodyText"/>
                    <w:spacing w:after="0"/>
                    <w:ind w:left="0" w:right="57"/>
                  </w:pPr>
                  <w:r w:rsidRPr="007E34F5">
                    <w:t>318.4</w:t>
                  </w:r>
                </w:p>
              </w:tc>
              <w:tc>
                <w:tcPr>
                  <w:tcW w:w="501" w:type="pct"/>
                  <w:vAlign w:val="bottom"/>
                </w:tcPr>
                <w:p w:rsidR="00AC2131" w:rsidRPr="007E34F5" w:rsidRDefault="00AC2131" w:rsidP="00AC2131">
                  <w:pPr>
                    <w:pStyle w:val="TableBodyText"/>
                    <w:spacing w:after="0"/>
                    <w:ind w:left="0" w:right="57"/>
                  </w:pPr>
                  <w:r w:rsidRPr="007E34F5">
                    <w:t>336.7</w:t>
                  </w:r>
                </w:p>
              </w:tc>
              <w:tc>
                <w:tcPr>
                  <w:tcW w:w="501" w:type="pct"/>
                  <w:vAlign w:val="bottom"/>
                </w:tcPr>
                <w:p w:rsidR="00AC2131" w:rsidRPr="007E34F5" w:rsidRDefault="00AC2131" w:rsidP="00AC2131">
                  <w:pPr>
                    <w:pStyle w:val="TableBodyText"/>
                    <w:spacing w:after="0"/>
                    <w:ind w:left="0" w:right="57"/>
                  </w:pPr>
                  <w:r w:rsidRPr="007E34F5">
                    <w:t>313.1</w:t>
                  </w:r>
                </w:p>
              </w:tc>
              <w:tc>
                <w:tcPr>
                  <w:tcW w:w="499" w:type="pct"/>
                  <w:vAlign w:val="bottom"/>
                </w:tcPr>
                <w:p w:rsidR="00AC2131" w:rsidRPr="007E34F5" w:rsidRDefault="00AC2131" w:rsidP="00AC2131">
                  <w:pPr>
                    <w:pStyle w:val="TableBodyText"/>
                    <w:spacing w:after="0"/>
                    <w:ind w:left="0" w:right="57"/>
                  </w:pPr>
                  <w:r w:rsidRPr="007E34F5">
                    <w:t>406.7</w:t>
                  </w:r>
                </w:p>
              </w:tc>
              <w:tc>
                <w:tcPr>
                  <w:tcW w:w="499" w:type="pct"/>
                  <w:shd w:val="clear" w:color="auto" w:fill="auto"/>
                  <w:vAlign w:val="bottom"/>
                </w:tcPr>
                <w:p w:rsidR="00AC2131" w:rsidRPr="007E34F5" w:rsidRDefault="00AC2131" w:rsidP="00AC2131">
                  <w:pPr>
                    <w:pStyle w:val="TableBodyText"/>
                    <w:spacing w:after="0"/>
                    <w:ind w:left="0" w:right="57"/>
                  </w:pPr>
                  <w:r w:rsidRPr="007E34F5">
                    <w:t>309.9</w:t>
                  </w:r>
                </w:p>
              </w:tc>
              <w:tc>
                <w:tcPr>
                  <w:tcW w:w="500" w:type="pct"/>
                  <w:shd w:val="clear" w:color="auto" w:fill="auto"/>
                  <w:vAlign w:val="bottom"/>
                </w:tcPr>
                <w:p w:rsidR="00AC2131" w:rsidRPr="007E34F5" w:rsidRDefault="00AC2131" w:rsidP="00AC2131">
                  <w:pPr>
                    <w:pStyle w:val="TableBodyText"/>
                    <w:spacing w:after="0"/>
                    <w:ind w:left="0" w:right="57"/>
                  </w:pPr>
                  <w:r w:rsidRPr="007E34F5">
                    <w:t>335.8</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Other crop growing</w:t>
                  </w:r>
                </w:p>
              </w:tc>
              <w:tc>
                <w:tcPr>
                  <w:tcW w:w="501" w:type="pct"/>
                  <w:vAlign w:val="bottom"/>
                </w:tcPr>
                <w:p w:rsidR="00AC2131" w:rsidRPr="007E34F5" w:rsidRDefault="00AC2131" w:rsidP="00AC2131">
                  <w:pPr>
                    <w:pStyle w:val="TableBodyText"/>
                    <w:spacing w:after="0"/>
                    <w:ind w:left="0" w:right="57"/>
                  </w:pPr>
                  <w:r w:rsidRPr="007E34F5">
                    <w:t>25.2</w:t>
                  </w:r>
                </w:p>
              </w:tc>
              <w:tc>
                <w:tcPr>
                  <w:tcW w:w="501" w:type="pct"/>
                  <w:vAlign w:val="bottom"/>
                </w:tcPr>
                <w:p w:rsidR="00AC2131" w:rsidRPr="007E34F5" w:rsidRDefault="00AC2131" w:rsidP="00AC2131">
                  <w:pPr>
                    <w:pStyle w:val="TableBodyText"/>
                    <w:spacing w:after="0"/>
                    <w:ind w:left="0" w:right="57"/>
                  </w:pPr>
                  <w:r w:rsidRPr="007E34F5">
                    <w:t>37.1</w:t>
                  </w:r>
                </w:p>
              </w:tc>
              <w:tc>
                <w:tcPr>
                  <w:tcW w:w="501" w:type="pct"/>
                  <w:vAlign w:val="bottom"/>
                </w:tcPr>
                <w:p w:rsidR="00AC2131" w:rsidRPr="007E34F5" w:rsidRDefault="00AC2131" w:rsidP="00AC2131">
                  <w:pPr>
                    <w:pStyle w:val="TableBodyText"/>
                    <w:spacing w:after="0"/>
                    <w:ind w:left="0" w:right="57"/>
                  </w:pPr>
                  <w:r w:rsidRPr="007E34F5">
                    <w:t>21.1</w:t>
                  </w:r>
                </w:p>
              </w:tc>
              <w:tc>
                <w:tcPr>
                  <w:tcW w:w="499" w:type="pct"/>
                  <w:vAlign w:val="bottom"/>
                </w:tcPr>
                <w:p w:rsidR="00AC2131" w:rsidRPr="007E34F5" w:rsidRDefault="00AC2131" w:rsidP="00AC2131">
                  <w:pPr>
                    <w:pStyle w:val="TableBodyText"/>
                    <w:spacing w:after="0"/>
                    <w:ind w:left="0" w:right="57"/>
                  </w:pPr>
                  <w:r w:rsidRPr="007E34F5">
                    <w:t>43.6</w:t>
                  </w:r>
                </w:p>
              </w:tc>
              <w:tc>
                <w:tcPr>
                  <w:tcW w:w="499" w:type="pct"/>
                  <w:shd w:val="clear" w:color="auto" w:fill="auto"/>
                  <w:vAlign w:val="bottom"/>
                </w:tcPr>
                <w:p w:rsidR="00AC2131" w:rsidRPr="007E34F5" w:rsidRDefault="00AC2131" w:rsidP="00AC2131">
                  <w:pPr>
                    <w:pStyle w:val="TableBodyText"/>
                    <w:spacing w:after="0"/>
                    <w:ind w:left="0" w:right="57"/>
                  </w:pPr>
                  <w:r w:rsidRPr="007E34F5">
                    <w:t>43.9</w:t>
                  </w:r>
                </w:p>
              </w:tc>
              <w:tc>
                <w:tcPr>
                  <w:tcW w:w="500" w:type="pct"/>
                  <w:shd w:val="clear" w:color="auto" w:fill="auto"/>
                  <w:vAlign w:val="bottom"/>
                </w:tcPr>
                <w:p w:rsidR="00AC2131" w:rsidRPr="007E34F5" w:rsidRDefault="00AC2131" w:rsidP="00AC2131">
                  <w:pPr>
                    <w:pStyle w:val="TableBodyText"/>
                    <w:spacing w:after="0"/>
                    <w:ind w:left="0" w:right="57"/>
                  </w:pPr>
                  <w:r w:rsidRPr="007E34F5">
                    <w:t>30.4</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Dairy cattle farming</w:t>
                  </w:r>
                </w:p>
              </w:tc>
              <w:tc>
                <w:tcPr>
                  <w:tcW w:w="501" w:type="pct"/>
                  <w:vAlign w:val="bottom"/>
                </w:tcPr>
                <w:p w:rsidR="00AC2131" w:rsidRPr="007E34F5" w:rsidRDefault="00AC2131" w:rsidP="00AC2131">
                  <w:pPr>
                    <w:pStyle w:val="TableBodyText"/>
                    <w:spacing w:after="0"/>
                    <w:ind w:left="0" w:right="57"/>
                  </w:pPr>
                  <w:r w:rsidRPr="007E34F5">
                    <w:t>40.2</w:t>
                  </w:r>
                </w:p>
              </w:tc>
              <w:tc>
                <w:tcPr>
                  <w:tcW w:w="501" w:type="pct"/>
                  <w:vAlign w:val="bottom"/>
                </w:tcPr>
                <w:p w:rsidR="00AC2131" w:rsidRPr="007E34F5" w:rsidRDefault="00AC2131" w:rsidP="00AC2131">
                  <w:pPr>
                    <w:pStyle w:val="TableBodyText"/>
                    <w:spacing w:after="0"/>
                    <w:ind w:left="0" w:right="57"/>
                  </w:pPr>
                  <w:r w:rsidRPr="007E34F5">
                    <w:t>34.8</w:t>
                  </w:r>
                </w:p>
              </w:tc>
              <w:tc>
                <w:tcPr>
                  <w:tcW w:w="501" w:type="pct"/>
                  <w:vAlign w:val="bottom"/>
                </w:tcPr>
                <w:p w:rsidR="00AC2131" w:rsidRPr="007E34F5" w:rsidRDefault="00AC2131" w:rsidP="00AC2131">
                  <w:pPr>
                    <w:pStyle w:val="TableBodyText"/>
                    <w:spacing w:after="0"/>
                    <w:ind w:left="0" w:right="57"/>
                  </w:pPr>
                  <w:r w:rsidRPr="007E34F5">
                    <w:t>29.2</w:t>
                  </w:r>
                </w:p>
              </w:tc>
              <w:tc>
                <w:tcPr>
                  <w:tcW w:w="499" w:type="pct"/>
                  <w:vAlign w:val="bottom"/>
                </w:tcPr>
                <w:p w:rsidR="00AC2131" w:rsidRPr="007E34F5" w:rsidRDefault="00AC2131" w:rsidP="00AC2131">
                  <w:pPr>
                    <w:pStyle w:val="TableBodyText"/>
                    <w:spacing w:after="0"/>
                    <w:ind w:left="0" w:right="57"/>
                  </w:pPr>
                  <w:r w:rsidRPr="007E34F5">
                    <w:t>36.2</w:t>
                  </w:r>
                </w:p>
              </w:tc>
              <w:tc>
                <w:tcPr>
                  <w:tcW w:w="499" w:type="pct"/>
                  <w:shd w:val="clear" w:color="auto" w:fill="auto"/>
                  <w:vAlign w:val="bottom"/>
                </w:tcPr>
                <w:p w:rsidR="00AC2131" w:rsidRPr="007E34F5" w:rsidRDefault="00AC2131" w:rsidP="00AC2131">
                  <w:pPr>
                    <w:pStyle w:val="TableBodyText"/>
                    <w:spacing w:after="0"/>
                    <w:ind w:left="0" w:right="57"/>
                  </w:pPr>
                  <w:r w:rsidRPr="007E34F5">
                    <w:t>21.8</w:t>
                  </w:r>
                </w:p>
              </w:tc>
              <w:tc>
                <w:tcPr>
                  <w:tcW w:w="500" w:type="pct"/>
                  <w:shd w:val="clear" w:color="auto" w:fill="auto"/>
                  <w:vAlign w:val="bottom"/>
                </w:tcPr>
                <w:p w:rsidR="00AC2131" w:rsidRPr="007E34F5" w:rsidRDefault="00AC2131" w:rsidP="00AC2131">
                  <w:pPr>
                    <w:pStyle w:val="TableBodyText"/>
                    <w:spacing w:after="0"/>
                    <w:ind w:left="0" w:right="57"/>
                  </w:pPr>
                  <w:r w:rsidRPr="007E34F5">
                    <w:t>29.3</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Other livestock farming</w:t>
                  </w:r>
                </w:p>
              </w:tc>
              <w:tc>
                <w:tcPr>
                  <w:tcW w:w="501" w:type="pct"/>
                  <w:vAlign w:val="bottom"/>
                </w:tcPr>
                <w:p w:rsidR="00AC2131" w:rsidRPr="007E34F5" w:rsidRDefault="00AC2131" w:rsidP="00AC2131">
                  <w:pPr>
                    <w:pStyle w:val="TableBodyText"/>
                    <w:spacing w:after="0"/>
                    <w:ind w:left="0" w:right="57"/>
                  </w:pPr>
                  <w:r w:rsidRPr="007E34F5">
                    <w:t>19.1</w:t>
                  </w:r>
                </w:p>
              </w:tc>
              <w:tc>
                <w:tcPr>
                  <w:tcW w:w="501" w:type="pct"/>
                  <w:vAlign w:val="bottom"/>
                </w:tcPr>
                <w:p w:rsidR="00AC2131" w:rsidRPr="007E34F5" w:rsidRDefault="00AC2131" w:rsidP="00AC2131">
                  <w:pPr>
                    <w:pStyle w:val="TableBodyText"/>
                    <w:spacing w:after="0"/>
                    <w:ind w:left="0" w:right="57"/>
                  </w:pPr>
                  <w:r w:rsidRPr="007E34F5">
                    <w:t>22.1</w:t>
                  </w:r>
                </w:p>
              </w:tc>
              <w:tc>
                <w:tcPr>
                  <w:tcW w:w="501" w:type="pct"/>
                  <w:vAlign w:val="bottom"/>
                </w:tcPr>
                <w:p w:rsidR="00AC2131" w:rsidRPr="007E34F5" w:rsidRDefault="00AC2131" w:rsidP="00AC2131">
                  <w:pPr>
                    <w:pStyle w:val="TableBodyText"/>
                    <w:spacing w:after="0"/>
                    <w:ind w:left="0" w:right="57"/>
                  </w:pPr>
                  <w:r w:rsidRPr="007E34F5">
                    <w:t>20.5</w:t>
                  </w:r>
                </w:p>
              </w:tc>
              <w:tc>
                <w:tcPr>
                  <w:tcW w:w="499" w:type="pct"/>
                  <w:vAlign w:val="bottom"/>
                </w:tcPr>
                <w:p w:rsidR="00AC2131" w:rsidRPr="007E34F5" w:rsidRDefault="00AC2131" w:rsidP="00AC2131">
                  <w:pPr>
                    <w:pStyle w:val="TableBodyText"/>
                    <w:spacing w:after="0"/>
                    <w:ind w:left="0" w:right="57"/>
                  </w:pPr>
                  <w:r w:rsidRPr="007E34F5">
                    <w:t>24.9</w:t>
                  </w:r>
                </w:p>
              </w:tc>
              <w:tc>
                <w:tcPr>
                  <w:tcW w:w="499" w:type="pct"/>
                  <w:shd w:val="clear" w:color="auto" w:fill="auto"/>
                  <w:vAlign w:val="bottom"/>
                </w:tcPr>
                <w:p w:rsidR="00AC2131" w:rsidRPr="007E34F5" w:rsidRDefault="00AC2131" w:rsidP="00AC2131">
                  <w:pPr>
                    <w:pStyle w:val="TableBodyText"/>
                    <w:spacing w:after="0"/>
                    <w:ind w:left="0" w:right="57"/>
                  </w:pPr>
                  <w:r w:rsidRPr="007E34F5">
                    <w:t>14.8</w:t>
                  </w:r>
                </w:p>
              </w:tc>
              <w:tc>
                <w:tcPr>
                  <w:tcW w:w="500" w:type="pct"/>
                  <w:shd w:val="clear" w:color="auto" w:fill="auto"/>
                  <w:vAlign w:val="bottom"/>
                </w:tcPr>
                <w:p w:rsidR="00AC2131" w:rsidRPr="007E34F5" w:rsidRDefault="00AC2131" w:rsidP="00AC2131">
                  <w:pPr>
                    <w:pStyle w:val="TableBodyText"/>
                    <w:spacing w:after="0"/>
                    <w:ind w:left="0" w:right="57"/>
                  </w:pPr>
                  <w:r w:rsidRPr="007E34F5">
                    <w:t>20.0</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Aquaculture and fishing</w:t>
                  </w:r>
                </w:p>
              </w:tc>
              <w:tc>
                <w:tcPr>
                  <w:tcW w:w="501" w:type="pct"/>
                  <w:vAlign w:val="bottom"/>
                </w:tcPr>
                <w:p w:rsidR="00AC2131" w:rsidRPr="007E34F5" w:rsidRDefault="00AC2131" w:rsidP="00AC2131">
                  <w:pPr>
                    <w:pStyle w:val="TableBodyText"/>
                    <w:spacing w:after="0"/>
                    <w:ind w:left="0" w:right="57"/>
                  </w:pPr>
                  <w:r w:rsidRPr="007E34F5">
                    <w:t>7.0</w:t>
                  </w:r>
                </w:p>
              </w:tc>
              <w:tc>
                <w:tcPr>
                  <w:tcW w:w="501" w:type="pct"/>
                  <w:vAlign w:val="bottom"/>
                </w:tcPr>
                <w:p w:rsidR="00AC2131" w:rsidRPr="007E34F5" w:rsidRDefault="00AC2131" w:rsidP="00AC2131">
                  <w:pPr>
                    <w:pStyle w:val="TableBodyText"/>
                    <w:spacing w:after="0"/>
                    <w:ind w:left="0" w:right="57"/>
                  </w:pPr>
                  <w:r w:rsidRPr="007E34F5">
                    <w:t>17.1</w:t>
                  </w:r>
                </w:p>
              </w:tc>
              <w:tc>
                <w:tcPr>
                  <w:tcW w:w="501" w:type="pct"/>
                  <w:vAlign w:val="bottom"/>
                </w:tcPr>
                <w:p w:rsidR="00AC2131" w:rsidRPr="007E34F5" w:rsidRDefault="00AC2131" w:rsidP="00AC2131">
                  <w:pPr>
                    <w:pStyle w:val="TableBodyText"/>
                    <w:spacing w:after="0"/>
                    <w:ind w:left="0" w:right="57"/>
                  </w:pPr>
                  <w:r w:rsidRPr="007E34F5">
                    <w:t>13.2</w:t>
                  </w:r>
                </w:p>
              </w:tc>
              <w:tc>
                <w:tcPr>
                  <w:tcW w:w="499" w:type="pct"/>
                  <w:vAlign w:val="bottom"/>
                </w:tcPr>
                <w:p w:rsidR="00AC2131" w:rsidRPr="007E34F5" w:rsidRDefault="00AC2131" w:rsidP="00AC2131">
                  <w:pPr>
                    <w:pStyle w:val="TableBodyText"/>
                    <w:spacing w:after="0"/>
                    <w:ind w:left="0" w:right="57"/>
                  </w:pPr>
                  <w:r w:rsidRPr="007E34F5">
                    <w:t>13.4</w:t>
                  </w:r>
                </w:p>
              </w:tc>
              <w:tc>
                <w:tcPr>
                  <w:tcW w:w="499" w:type="pct"/>
                  <w:shd w:val="clear" w:color="auto" w:fill="auto"/>
                  <w:vAlign w:val="bottom"/>
                </w:tcPr>
                <w:p w:rsidR="00AC2131" w:rsidRPr="007E34F5" w:rsidRDefault="00AC2131" w:rsidP="00AC2131">
                  <w:pPr>
                    <w:pStyle w:val="TableBodyText"/>
                    <w:spacing w:after="0"/>
                    <w:ind w:left="0" w:right="57"/>
                  </w:pPr>
                  <w:r w:rsidRPr="007E34F5">
                    <w:t>11.7</w:t>
                  </w:r>
                </w:p>
              </w:tc>
              <w:tc>
                <w:tcPr>
                  <w:tcW w:w="500" w:type="pct"/>
                  <w:shd w:val="clear" w:color="auto" w:fill="auto"/>
                  <w:vAlign w:val="bottom"/>
                </w:tcPr>
                <w:p w:rsidR="00AC2131" w:rsidRPr="007E34F5" w:rsidRDefault="00AC2131" w:rsidP="00AC2131">
                  <w:pPr>
                    <w:pStyle w:val="TableBodyText"/>
                    <w:spacing w:after="0"/>
                    <w:ind w:left="0" w:right="57"/>
                  </w:pPr>
                  <w:r w:rsidRPr="007E34F5">
                    <w:t>13.1</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Forestry and logging</w:t>
                  </w:r>
                </w:p>
              </w:tc>
              <w:tc>
                <w:tcPr>
                  <w:tcW w:w="501" w:type="pct"/>
                  <w:vAlign w:val="bottom"/>
                </w:tcPr>
                <w:p w:rsidR="00AC2131" w:rsidRPr="007E34F5" w:rsidRDefault="00AC2131" w:rsidP="00AC2131">
                  <w:pPr>
                    <w:pStyle w:val="TableBodyText"/>
                    <w:spacing w:after="0"/>
                    <w:ind w:left="0" w:right="57"/>
                  </w:pPr>
                  <w:r w:rsidRPr="007E34F5">
                    <w:t>-78.4</w:t>
                  </w:r>
                </w:p>
              </w:tc>
              <w:tc>
                <w:tcPr>
                  <w:tcW w:w="501" w:type="pct"/>
                  <w:vAlign w:val="bottom"/>
                </w:tcPr>
                <w:p w:rsidR="00AC2131" w:rsidRPr="007E34F5" w:rsidRDefault="00AC2131" w:rsidP="00AC2131">
                  <w:pPr>
                    <w:pStyle w:val="TableBodyText"/>
                    <w:spacing w:after="0"/>
                    <w:ind w:left="0" w:right="57"/>
                  </w:pPr>
                  <w:r w:rsidRPr="007E34F5">
                    <w:t>20.5</w:t>
                  </w:r>
                </w:p>
              </w:tc>
              <w:tc>
                <w:tcPr>
                  <w:tcW w:w="501" w:type="pct"/>
                  <w:vAlign w:val="bottom"/>
                </w:tcPr>
                <w:p w:rsidR="00AC2131" w:rsidRPr="007E34F5" w:rsidRDefault="00AC2131" w:rsidP="00AC2131">
                  <w:pPr>
                    <w:pStyle w:val="TableBodyText"/>
                    <w:spacing w:after="0"/>
                    <w:ind w:left="0" w:right="57"/>
                  </w:pPr>
                  <w:r w:rsidRPr="007E34F5">
                    <w:t>11.9</w:t>
                  </w:r>
                </w:p>
              </w:tc>
              <w:tc>
                <w:tcPr>
                  <w:tcW w:w="499" w:type="pct"/>
                  <w:vAlign w:val="bottom"/>
                </w:tcPr>
                <w:p w:rsidR="00AC2131" w:rsidRPr="007E34F5" w:rsidRDefault="00AC2131" w:rsidP="00AC2131">
                  <w:pPr>
                    <w:pStyle w:val="TableBodyText"/>
                    <w:spacing w:after="0"/>
                    <w:ind w:left="0" w:right="57"/>
                  </w:pPr>
                  <w:r w:rsidRPr="007E34F5">
                    <w:t>8.2</w:t>
                  </w:r>
                </w:p>
              </w:tc>
              <w:tc>
                <w:tcPr>
                  <w:tcW w:w="499" w:type="pct"/>
                  <w:shd w:val="clear" w:color="auto" w:fill="auto"/>
                  <w:vAlign w:val="bottom"/>
                </w:tcPr>
                <w:p w:rsidR="00AC2131" w:rsidRPr="007E34F5" w:rsidRDefault="00AC2131" w:rsidP="00AC2131">
                  <w:pPr>
                    <w:pStyle w:val="TableBodyText"/>
                    <w:spacing w:after="0"/>
                    <w:ind w:left="0" w:right="57"/>
                  </w:pPr>
                  <w:r w:rsidRPr="007E34F5">
                    <w:t>10.3</w:t>
                  </w:r>
                </w:p>
              </w:tc>
              <w:tc>
                <w:tcPr>
                  <w:tcW w:w="500" w:type="pct"/>
                  <w:shd w:val="clear" w:color="auto" w:fill="auto"/>
                  <w:vAlign w:val="bottom"/>
                </w:tcPr>
                <w:p w:rsidR="00AC2131" w:rsidRPr="007E34F5" w:rsidRDefault="00AC2131" w:rsidP="00AC2131">
                  <w:pPr>
                    <w:pStyle w:val="TableBodyText"/>
                    <w:spacing w:after="0"/>
                    <w:ind w:left="0" w:right="57"/>
                  </w:pPr>
                  <w:r w:rsidRPr="007E34F5">
                    <w:t>17.0</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Primary production support services</w:t>
                  </w:r>
                </w:p>
              </w:tc>
              <w:tc>
                <w:tcPr>
                  <w:tcW w:w="501" w:type="pct"/>
                  <w:vAlign w:val="bottom"/>
                </w:tcPr>
                <w:p w:rsidR="00AC2131" w:rsidRPr="007E34F5" w:rsidRDefault="00AC2131" w:rsidP="00AC2131">
                  <w:pPr>
                    <w:pStyle w:val="TableBodyText"/>
                    <w:spacing w:after="0"/>
                    <w:ind w:left="0" w:right="57"/>
                  </w:pPr>
                  <w:r w:rsidRPr="007E34F5">
                    <w:t>18.9</w:t>
                  </w:r>
                </w:p>
              </w:tc>
              <w:tc>
                <w:tcPr>
                  <w:tcW w:w="501" w:type="pct"/>
                  <w:vAlign w:val="bottom"/>
                </w:tcPr>
                <w:p w:rsidR="00AC2131" w:rsidRPr="007E34F5" w:rsidRDefault="00AC2131" w:rsidP="00AC2131">
                  <w:pPr>
                    <w:pStyle w:val="TableBodyText"/>
                    <w:spacing w:after="0"/>
                    <w:ind w:left="0" w:right="57"/>
                  </w:pPr>
                  <w:r w:rsidRPr="007E34F5">
                    <w:t>27.3</w:t>
                  </w:r>
                </w:p>
              </w:tc>
              <w:tc>
                <w:tcPr>
                  <w:tcW w:w="501" w:type="pct"/>
                  <w:vAlign w:val="bottom"/>
                </w:tcPr>
                <w:p w:rsidR="00AC2131" w:rsidRPr="007E34F5" w:rsidRDefault="00AC2131" w:rsidP="00AC2131">
                  <w:pPr>
                    <w:pStyle w:val="TableBodyText"/>
                    <w:spacing w:after="0"/>
                    <w:ind w:left="0" w:right="57"/>
                  </w:pPr>
                  <w:r w:rsidRPr="007E34F5">
                    <w:t>30.7</w:t>
                  </w:r>
                </w:p>
              </w:tc>
              <w:tc>
                <w:tcPr>
                  <w:tcW w:w="499" w:type="pct"/>
                  <w:vAlign w:val="bottom"/>
                </w:tcPr>
                <w:p w:rsidR="00AC2131" w:rsidRPr="007E34F5" w:rsidRDefault="00AC2131" w:rsidP="00AC2131">
                  <w:pPr>
                    <w:pStyle w:val="TableBodyText"/>
                    <w:spacing w:after="0"/>
                    <w:ind w:left="0" w:right="57"/>
                  </w:pPr>
                  <w:r w:rsidRPr="007E34F5">
                    <w:t>16.2</w:t>
                  </w:r>
                </w:p>
              </w:tc>
              <w:tc>
                <w:tcPr>
                  <w:tcW w:w="499" w:type="pct"/>
                  <w:shd w:val="clear" w:color="auto" w:fill="auto"/>
                  <w:vAlign w:val="bottom"/>
                </w:tcPr>
                <w:p w:rsidR="00AC2131" w:rsidRPr="007E34F5" w:rsidRDefault="00AC2131" w:rsidP="00AC2131">
                  <w:pPr>
                    <w:pStyle w:val="TableBodyText"/>
                    <w:spacing w:after="0"/>
                    <w:ind w:left="0" w:right="57"/>
                  </w:pPr>
                  <w:r w:rsidRPr="007E34F5">
                    <w:t>20.5</w:t>
                  </w:r>
                </w:p>
              </w:tc>
              <w:tc>
                <w:tcPr>
                  <w:tcW w:w="500" w:type="pct"/>
                  <w:shd w:val="clear" w:color="auto" w:fill="auto"/>
                  <w:vAlign w:val="bottom"/>
                </w:tcPr>
                <w:p w:rsidR="00AC2131" w:rsidRPr="007E34F5" w:rsidRDefault="00AC2131" w:rsidP="00AC2131">
                  <w:pPr>
                    <w:pStyle w:val="TableBodyText"/>
                    <w:spacing w:after="0"/>
                    <w:ind w:left="0" w:right="57"/>
                  </w:pPr>
                  <w:r w:rsidRPr="007E34F5">
                    <w:t>24.1</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Unallocated primary production</w:t>
                  </w:r>
                  <w:r>
                    <w:rPr>
                      <w:rStyle w:val="NoteLabel"/>
                    </w:rPr>
                    <w:t>a</w:t>
                  </w:r>
                </w:p>
              </w:tc>
              <w:tc>
                <w:tcPr>
                  <w:tcW w:w="501" w:type="pct"/>
                  <w:vAlign w:val="bottom"/>
                </w:tcPr>
                <w:p w:rsidR="00AC2131" w:rsidRPr="007E34F5" w:rsidRDefault="00AC2131" w:rsidP="00AC2131">
                  <w:pPr>
                    <w:pStyle w:val="TableBodyText"/>
                    <w:spacing w:after="0"/>
                    <w:ind w:left="0" w:right="57"/>
                  </w:pPr>
                  <w:r w:rsidRPr="007E34F5">
                    <w:t>7.6</w:t>
                  </w:r>
                </w:p>
              </w:tc>
              <w:tc>
                <w:tcPr>
                  <w:tcW w:w="501" w:type="pct"/>
                  <w:vAlign w:val="bottom"/>
                </w:tcPr>
                <w:p w:rsidR="00AC2131" w:rsidRPr="007E34F5" w:rsidRDefault="00AC2131" w:rsidP="00AC2131">
                  <w:pPr>
                    <w:pStyle w:val="TableBodyText"/>
                    <w:spacing w:after="0"/>
                    <w:ind w:left="0" w:right="57"/>
                  </w:pPr>
                  <w:r w:rsidRPr="007E34F5">
                    <w:t>5.1</w:t>
                  </w:r>
                </w:p>
              </w:tc>
              <w:tc>
                <w:tcPr>
                  <w:tcW w:w="501" w:type="pct"/>
                  <w:vAlign w:val="bottom"/>
                </w:tcPr>
                <w:p w:rsidR="00AC2131" w:rsidRPr="007E34F5" w:rsidRDefault="00AC2131" w:rsidP="00AC2131">
                  <w:pPr>
                    <w:pStyle w:val="TableBodyText"/>
                    <w:spacing w:after="0"/>
                    <w:ind w:left="0" w:right="57"/>
                  </w:pPr>
                  <w:r w:rsidRPr="007E34F5">
                    <w:t>1.2</w:t>
                  </w:r>
                </w:p>
              </w:tc>
              <w:tc>
                <w:tcPr>
                  <w:tcW w:w="499" w:type="pct"/>
                  <w:vAlign w:val="bottom"/>
                </w:tcPr>
                <w:p w:rsidR="00AC2131" w:rsidRPr="007E34F5" w:rsidRDefault="00AC2131" w:rsidP="00AC2131">
                  <w:pPr>
                    <w:pStyle w:val="TableBodyText"/>
                    <w:spacing w:after="0"/>
                    <w:ind w:left="0" w:right="57"/>
                  </w:pPr>
                  <w:r w:rsidRPr="007E34F5">
                    <w:t>1.8</w:t>
                  </w:r>
                </w:p>
              </w:tc>
              <w:tc>
                <w:tcPr>
                  <w:tcW w:w="499" w:type="pct"/>
                  <w:shd w:val="clear" w:color="auto" w:fill="auto"/>
                  <w:vAlign w:val="bottom"/>
                </w:tcPr>
                <w:p w:rsidR="00AC2131" w:rsidRPr="007E34F5" w:rsidRDefault="00AC2131" w:rsidP="00AC2131">
                  <w:pPr>
                    <w:pStyle w:val="TableBodyText"/>
                    <w:spacing w:after="0"/>
                    <w:ind w:left="0" w:right="57"/>
                  </w:pPr>
                  <w:r w:rsidRPr="007E34F5">
                    <w:t>4.8</w:t>
                  </w:r>
                </w:p>
              </w:tc>
              <w:tc>
                <w:tcPr>
                  <w:tcW w:w="500" w:type="pct"/>
                  <w:shd w:val="clear" w:color="auto" w:fill="auto"/>
                  <w:vAlign w:val="bottom"/>
                </w:tcPr>
                <w:p w:rsidR="00AC2131" w:rsidRPr="007E34F5" w:rsidRDefault="00AC2131" w:rsidP="00AC2131">
                  <w:pPr>
                    <w:pStyle w:val="TableBodyText"/>
                    <w:spacing w:after="0"/>
                    <w:ind w:left="0" w:right="57"/>
                  </w:pPr>
                  <w:r w:rsidRPr="007E34F5">
                    <w:t>2.7</w:t>
                  </w:r>
                </w:p>
              </w:tc>
            </w:tr>
            <w:tr w:rsidR="00AC2131" w:rsidRPr="007E34F5" w:rsidTr="00AC2131">
              <w:tc>
                <w:tcPr>
                  <w:tcW w:w="1998" w:type="pct"/>
                  <w:shd w:val="clear" w:color="auto" w:fill="auto"/>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Mining</w:t>
                  </w:r>
                </w:p>
              </w:tc>
              <w:tc>
                <w:tcPr>
                  <w:tcW w:w="501" w:type="pct"/>
                  <w:vAlign w:val="bottom"/>
                </w:tcPr>
                <w:p w:rsidR="00AC2131" w:rsidRPr="007E34F5" w:rsidRDefault="00AC2131" w:rsidP="00AC2131">
                  <w:pPr>
                    <w:pStyle w:val="TableBodyText"/>
                    <w:spacing w:after="0"/>
                    <w:ind w:left="0" w:right="57"/>
                    <w:rPr>
                      <w:b/>
                    </w:rPr>
                  </w:pPr>
                  <w:r w:rsidRPr="007E34F5">
                    <w:rPr>
                      <w:b/>
                    </w:rPr>
                    <w:t>325.4</w:t>
                  </w:r>
                </w:p>
              </w:tc>
              <w:tc>
                <w:tcPr>
                  <w:tcW w:w="501" w:type="pct"/>
                  <w:vAlign w:val="bottom"/>
                </w:tcPr>
                <w:p w:rsidR="00AC2131" w:rsidRPr="007E34F5" w:rsidRDefault="00AC2131" w:rsidP="00AC2131">
                  <w:pPr>
                    <w:pStyle w:val="TableBodyText"/>
                    <w:spacing w:after="0"/>
                    <w:ind w:left="0" w:right="57"/>
                    <w:rPr>
                      <w:b/>
                    </w:rPr>
                  </w:pPr>
                  <w:r w:rsidRPr="007E34F5">
                    <w:rPr>
                      <w:b/>
                    </w:rPr>
                    <w:t>475.8</w:t>
                  </w:r>
                </w:p>
              </w:tc>
              <w:tc>
                <w:tcPr>
                  <w:tcW w:w="501" w:type="pct"/>
                  <w:vAlign w:val="bottom"/>
                </w:tcPr>
                <w:p w:rsidR="00AC2131" w:rsidRPr="007E34F5" w:rsidRDefault="00AC2131" w:rsidP="00AC2131">
                  <w:pPr>
                    <w:pStyle w:val="TableBodyText"/>
                    <w:spacing w:after="0"/>
                    <w:ind w:left="0" w:right="57"/>
                    <w:rPr>
                      <w:b/>
                    </w:rPr>
                  </w:pPr>
                  <w:r w:rsidRPr="007E34F5">
                    <w:rPr>
                      <w:b/>
                    </w:rPr>
                    <w:t>970.2</w:t>
                  </w:r>
                </w:p>
              </w:tc>
              <w:tc>
                <w:tcPr>
                  <w:tcW w:w="499" w:type="pct"/>
                  <w:vAlign w:val="bottom"/>
                </w:tcPr>
                <w:p w:rsidR="00AC2131" w:rsidRPr="007E34F5" w:rsidRDefault="00AC2131" w:rsidP="00AC2131">
                  <w:pPr>
                    <w:pStyle w:val="TableBodyText"/>
                    <w:spacing w:after="0"/>
                    <w:ind w:left="0" w:right="57"/>
                    <w:rPr>
                      <w:b/>
                    </w:rPr>
                  </w:pPr>
                  <w:r w:rsidRPr="007E34F5">
                    <w:rPr>
                      <w:b/>
                    </w:rPr>
                    <w:t>347.5</w:t>
                  </w:r>
                </w:p>
              </w:tc>
              <w:tc>
                <w:tcPr>
                  <w:tcW w:w="499" w:type="pct"/>
                  <w:shd w:val="clear" w:color="auto" w:fill="auto"/>
                  <w:vAlign w:val="bottom"/>
                </w:tcPr>
                <w:p w:rsidR="00AC2131" w:rsidRPr="007E34F5" w:rsidRDefault="00AC2131" w:rsidP="00AC2131">
                  <w:pPr>
                    <w:pStyle w:val="TableBodyText"/>
                    <w:spacing w:after="0"/>
                    <w:ind w:left="0" w:right="57"/>
                    <w:rPr>
                      <w:b/>
                    </w:rPr>
                  </w:pPr>
                  <w:r w:rsidRPr="007E34F5">
                    <w:rPr>
                      <w:b/>
                    </w:rPr>
                    <w:t>321.2</w:t>
                  </w:r>
                </w:p>
              </w:tc>
              <w:tc>
                <w:tcPr>
                  <w:tcW w:w="500" w:type="pct"/>
                  <w:shd w:val="clear" w:color="auto" w:fill="auto"/>
                  <w:vAlign w:val="bottom"/>
                </w:tcPr>
                <w:p w:rsidR="00AC2131" w:rsidRPr="007E34F5" w:rsidRDefault="00AC2131" w:rsidP="00AC2131">
                  <w:pPr>
                    <w:pStyle w:val="TableBodyText"/>
                    <w:spacing w:after="0"/>
                    <w:ind w:left="0" w:right="57"/>
                    <w:rPr>
                      <w:b/>
                    </w:rPr>
                  </w:pPr>
                  <w:r w:rsidRPr="007E34F5">
                    <w:rPr>
                      <w:b/>
                    </w:rPr>
                    <w:t>254.9</w:t>
                  </w:r>
                </w:p>
              </w:tc>
            </w:tr>
            <w:tr w:rsidR="00AC2131" w:rsidRPr="007E34F5" w:rsidTr="00AC2131">
              <w:tc>
                <w:tcPr>
                  <w:tcW w:w="1998" w:type="pct"/>
                  <w:shd w:val="clear" w:color="auto" w:fill="auto"/>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Manufacturing</w:t>
                  </w:r>
                </w:p>
              </w:tc>
              <w:tc>
                <w:tcPr>
                  <w:tcW w:w="501" w:type="pct"/>
                  <w:vAlign w:val="bottom"/>
                </w:tcPr>
                <w:p w:rsidR="00AC2131" w:rsidRPr="007E34F5" w:rsidRDefault="00AC2131" w:rsidP="00AC2131">
                  <w:pPr>
                    <w:pStyle w:val="TableBodyText"/>
                    <w:spacing w:after="0"/>
                    <w:ind w:left="0" w:right="57"/>
                    <w:rPr>
                      <w:b/>
                    </w:rPr>
                  </w:pPr>
                  <w:r w:rsidRPr="007E34F5">
                    <w:rPr>
                      <w:b/>
                    </w:rPr>
                    <w:t>928.3</w:t>
                  </w:r>
                </w:p>
              </w:tc>
              <w:tc>
                <w:tcPr>
                  <w:tcW w:w="501" w:type="pct"/>
                  <w:vAlign w:val="bottom"/>
                </w:tcPr>
                <w:p w:rsidR="00AC2131" w:rsidRPr="007E34F5" w:rsidRDefault="00AC2131" w:rsidP="00AC2131">
                  <w:pPr>
                    <w:pStyle w:val="TableBodyText"/>
                    <w:spacing w:after="0"/>
                    <w:ind w:left="0" w:right="57"/>
                    <w:rPr>
                      <w:b/>
                    </w:rPr>
                  </w:pPr>
                  <w:r w:rsidRPr="007E34F5">
                    <w:rPr>
                      <w:b/>
                    </w:rPr>
                    <w:t>1109.2</w:t>
                  </w:r>
                </w:p>
              </w:tc>
              <w:tc>
                <w:tcPr>
                  <w:tcW w:w="501" w:type="pct"/>
                  <w:vAlign w:val="bottom"/>
                </w:tcPr>
                <w:p w:rsidR="00AC2131" w:rsidRPr="007E34F5" w:rsidRDefault="00AC2131" w:rsidP="00AC2131">
                  <w:pPr>
                    <w:pStyle w:val="TableBodyText"/>
                    <w:spacing w:after="0"/>
                    <w:ind w:left="0" w:right="57"/>
                    <w:rPr>
                      <w:b/>
                    </w:rPr>
                  </w:pPr>
                  <w:r w:rsidRPr="007E34F5">
                    <w:rPr>
                      <w:b/>
                    </w:rPr>
                    <w:t>986.2</w:t>
                  </w:r>
                </w:p>
              </w:tc>
              <w:tc>
                <w:tcPr>
                  <w:tcW w:w="499" w:type="pct"/>
                  <w:vAlign w:val="bottom"/>
                </w:tcPr>
                <w:p w:rsidR="00AC2131" w:rsidRPr="007E34F5" w:rsidRDefault="00AC2131" w:rsidP="00AC2131">
                  <w:pPr>
                    <w:pStyle w:val="TableBodyText"/>
                    <w:spacing w:after="0"/>
                    <w:ind w:left="0" w:right="57"/>
                    <w:rPr>
                      <w:b/>
                    </w:rPr>
                  </w:pPr>
                  <w:r w:rsidRPr="007E34F5">
                    <w:rPr>
                      <w:b/>
                    </w:rPr>
                    <w:t>475.2</w:t>
                  </w:r>
                </w:p>
              </w:tc>
              <w:tc>
                <w:tcPr>
                  <w:tcW w:w="499" w:type="pct"/>
                  <w:shd w:val="clear" w:color="auto" w:fill="auto"/>
                  <w:vAlign w:val="bottom"/>
                </w:tcPr>
                <w:p w:rsidR="00AC2131" w:rsidRPr="007E34F5" w:rsidRDefault="00AC2131" w:rsidP="00AC2131">
                  <w:pPr>
                    <w:pStyle w:val="TableBodyText"/>
                    <w:spacing w:after="0"/>
                    <w:ind w:left="0" w:right="57"/>
                    <w:rPr>
                      <w:b/>
                    </w:rPr>
                  </w:pPr>
                  <w:r w:rsidRPr="007E34F5">
                    <w:rPr>
                      <w:b/>
                    </w:rPr>
                    <w:t>587.0</w:t>
                  </w:r>
                </w:p>
              </w:tc>
              <w:tc>
                <w:tcPr>
                  <w:tcW w:w="500" w:type="pct"/>
                  <w:shd w:val="clear" w:color="auto" w:fill="auto"/>
                  <w:vAlign w:val="bottom"/>
                </w:tcPr>
                <w:p w:rsidR="00AC2131" w:rsidRPr="007E34F5" w:rsidRDefault="00AC2131" w:rsidP="00AC2131">
                  <w:pPr>
                    <w:pStyle w:val="TableBodyText"/>
                    <w:spacing w:after="0"/>
                    <w:ind w:left="0" w:right="57"/>
                    <w:rPr>
                      <w:b/>
                    </w:rPr>
                  </w:pPr>
                  <w:r w:rsidRPr="007E34F5">
                    <w:rPr>
                      <w:b/>
                    </w:rPr>
                    <w:t>636.6</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Food, beverages and tobacco</w:t>
                  </w:r>
                </w:p>
              </w:tc>
              <w:tc>
                <w:tcPr>
                  <w:tcW w:w="501" w:type="pct"/>
                  <w:vAlign w:val="bottom"/>
                </w:tcPr>
                <w:p w:rsidR="00AC2131" w:rsidRPr="007E34F5" w:rsidRDefault="00AC2131" w:rsidP="00AC2131">
                  <w:pPr>
                    <w:pStyle w:val="TableBodyText"/>
                    <w:spacing w:after="0"/>
                    <w:ind w:left="0" w:right="57"/>
                  </w:pPr>
                  <w:r w:rsidRPr="007E34F5">
                    <w:t>52.2</w:t>
                  </w:r>
                </w:p>
              </w:tc>
              <w:tc>
                <w:tcPr>
                  <w:tcW w:w="501" w:type="pct"/>
                  <w:vAlign w:val="bottom"/>
                </w:tcPr>
                <w:p w:rsidR="00AC2131" w:rsidRPr="007E34F5" w:rsidRDefault="00AC2131" w:rsidP="00AC2131">
                  <w:pPr>
                    <w:pStyle w:val="TableBodyText"/>
                    <w:spacing w:after="0"/>
                    <w:ind w:left="0" w:right="57"/>
                  </w:pPr>
                  <w:r w:rsidRPr="007E34F5">
                    <w:t>104.6</w:t>
                  </w:r>
                </w:p>
              </w:tc>
              <w:tc>
                <w:tcPr>
                  <w:tcW w:w="501" w:type="pct"/>
                  <w:vAlign w:val="bottom"/>
                </w:tcPr>
                <w:p w:rsidR="00AC2131" w:rsidRPr="007E34F5" w:rsidRDefault="00AC2131" w:rsidP="00AC2131">
                  <w:pPr>
                    <w:pStyle w:val="TableBodyText"/>
                    <w:spacing w:after="0"/>
                    <w:ind w:left="0" w:right="57"/>
                  </w:pPr>
                  <w:r w:rsidRPr="007E34F5">
                    <w:t>141.1</w:t>
                  </w:r>
                </w:p>
              </w:tc>
              <w:tc>
                <w:tcPr>
                  <w:tcW w:w="499" w:type="pct"/>
                  <w:vAlign w:val="bottom"/>
                </w:tcPr>
                <w:p w:rsidR="00AC2131" w:rsidRPr="007E34F5" w:rsidRDefault="00AC2131" w:rsidP="00AC2131">
                  <w:pPr>
                    <w:pStyle w:val="TableBodyText"/>
                    <w:spacing w:after="0"/>
                    <w:ind w:left="0" w:right="57"/>
                  </w:pPr>
                  <w:r w:rsidRPr="007E34F5">
                    <w:t>81.1</w:t>
                  </w:r>
                </w:p>
              </w:tc>
              <w:tc>
                <w:tcPr>
                  <w:tcW w:w="499" w:type="pct"/>
                  <w:shd w:val="clear" w:color="auto" w:fill="auto"/>
                  <w:vAlign w:val="bottom"/>
                </w:tcPr>
                <w:p w:rsidR="00AC2131" w:rsidRPr="007E34F5" w:rsidRDefault="00AC2131" w:rsidP="00AC2131">
                  <w:pPr>
                    <w:pStyle w:val="TableBodyText"/>
                    <w:spacing w:after="0"/>
                    <w:ind w:left="0" w:right="57"/>
                  </w:pPr>
                  <w:r w:rsidRPr="007E34F5">
                    <w:t>111.2</w:t>
                  </w:r>
                </w:p>
              </w:tc>
              <w:tc>
                <w:tcPr>
                  <w:tcW w:w="500" w:type="pct"/>
                  <w:shd w:val="clear" w:color="auto" w:fill="auto"/>
                  <w:vAlign w:val="bottom"/>
                </w:tcPr>
                <w:p w:rsidR="00AC2131" w:rsidRPr="007E34F5" w:rsidRDefault="00AC2131" w:rsidP="00AC2131">
                  <w:pPr>
                    <w:pStyle w:val="TableBodyText"/>
                    <w:spacing w:after="0"/>
                    <w:ind w:left="0" w:right="57"/>
                  </w:pPr>
                  <w:r w:rsidRPr="007E34F5">
                    <w:t>44.9</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Textile</w:t>
                  </w:r>
                  <w:r>
                    <w:rPr>
                      <w:rFonts w:ascii="Arial" w:hAnsi="Arial" w:cs="Arial"/>
                      <w:sz w:val="18"/>
                      <w:szCs w:val="18"/>
                    </w:rPr>
                    <w:t>s</w:t>
                  </w:r>
                  <w:r w:rsidRPr="00037109">
                    <w:rPr>
                      <w:rFonts w:ascii="Arial" w:hAnsi="Arial" w:cs="Arial"/>
                      <w:sz w:val="18"/>
                      <w:szCs w:val="18"/>
                    </w:rPr>
                    <w:t>, leather, clothing and footwear</w:t>
                  </w:r>
                </w:p>
              </w:tc>
              <w:tc>
                <w:tcPr>
                  <w:tcW w:w="501" w:type="pct"/>
                  <w:vAlign w:val="bottom"/>
                </w:tcPr>
                <w:p w:rsidR="00AC2131" w:rsidRPr="007E34F5" w:rsidRDefault="00AC2131" w:rsidP="00AC2131">
                  <w:pPr>
                    <w:pStyle w:val="TableBodyText"/>
                    <w:spacing w:after="0"/>
                    <w:ind w:left="0" w:right="57"/>
                  </w:pPr>
                  <w:r w:rsidRPr="007E34F5">
                    <w:t>14.7</w:t>
                  </w:r>
                </w:p>
              </w:tc>
              <w:tc>
                <w:tcPr>
                  <w:tcW w:w="501" w:type="pct"/>
                  <w:vAlign w:val="bottom"/>
                </w:tcPr>
                <w:p w:rsidR="00AC2131" w:rsidRPr="007E34F5" w:rsidRDefault="00AC2131" w:rsidP="00AC2131">
                  <w:pPr>
                    <w:pStyle w:val="TableBodyText"/>
                    <w:spacing w:after="0"/>
                    <w:ind w:left="0" w:right="57"/>
                  </w:pPr>
                  <w:r w:rsidRPr="007E34F5">
                    <w:t>17.1</w:t>
                  </w:r>
                </w:p>
              </w:tc>
              <w:tc>
                <w:tcPr>
                  <w:tcW w:w="501" w:type="pct"/>
                  <w:vAlign w:val="bottom"/>
                </w:tcPr>
                <w:p w:rsidR="00AC2131" w:rsidRPr="007E34F5" w:rsidRDefault="00AC2131" w:rsidP="00AC2131">
                  <w:pPr>
                    <w:pStyle w:val="TableBodyText"/>
                    <w:spacing w:after="0"/>
                    <w:ind w:left="0" w:right="57"/>
                  </w:pPr>
                  <w:r w:rsidRPr="007E34F5">
                    <w:t>12.2</w:t>
                  </w:r>
                </w:p>
              </w:tc>
              <w:tc>
                <w:tcPr>
                  <w:tcW w:w="499" w:type="pct"/>
                  <w:vAlign w:val="bottom"/>
                </w:tcPr>
                <w:p w:rsidR="00AC2131" w:rsidRPr="007E34F5" w:rsidRDefault="00AC2131" w:rsidP="00AC2131">
                  <w:pPr>
                    <w:pStyle w:val="TableBodyText"/>
                    <w:spacing w:after="0"/>
                    <w:ind w:left="0" w:right="57"/>
                  </w:pPr>
                  <w:r w:rsidRPr="007E34F5">
                    <w:t>10.5</w:t>
                  </w:r>
                </w:p>
              </w:tc>
              <w:tc>
                <w:tcPr>
                  <w:tcW w:w="499" w:type="pct"/>
                  <w:shd w:val="clear" w:color="auto" w:fill="auto"/>
                  <w:vAlign w:val="bottom"/>
                </w:tcPr>
                <w:p w:rsidR="00AC2131" w:rsidRPr="007E34F5" w:rsidRDefault="00AC2131" w:rsidP="00AC2131">
                  <w:pPr>
                    <w:pStyle w:val="TableBodyText"/>
                    <w:spacing w:after="0"/>
                    <w:ind w:left="0" w:right="57"/>
                  </w:pPr>
                  <w:r w:rsidRPr="007E34F5">
                    <w:t>10.4</w:t>
                  </w:r>
                </w:p>
              </w:tc>
              <w:tc>
                <w:tcPr>
                  <w:tcW w:w="500" w:type="pct"/>
                  <w:shd w:val="clear" w:color="auto" w:fill="auto"/>
                  <w:vAlign w:val="bottom"/>
                </w:tcPr>
                <w:p w:rsidR="00AC2131" w:rsidRPr="007E34F5" w:rsidRDefault="00AC2131" w:rsidP="00AC2131">
                  <w:pPr>
                    <w:pStyle w:val="TableBodyText"/>
                    <w:spacing w:after="0"/>
                    <w:ind w:left="0" w:right="57"/>
                  </w:pPr>
                  <w:r w:rsidRPr="007E34F5">
                    <w:t>12.2</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Wood and paper products</w:t>
                  </w:r>
                </w:p>
              </w:tc>
              <w:tc>
                <w:tcPr>
                  <w:tcW w:w="501" w:type="pct"/>
                  <w:vAlign w:val="bottom"/>
                </w:tcPr>
                <w:p w:rsidR="00AC2131" w:rsidRPr="007E34F5" w:rsidRDefault="00AC2131" w:rsidP="00AC2131">
                  <w:pPr>
                    <w:pStyle w:val="TableBodyText"/>
                    <w:spacing w:after="0"/>
                    <w:ind w:left="0" w:right="57"/>
                  </w:pPr>
                  <w:r w:rsidRPr="007E34F5">
                    <w:t>11.7</w:t>
                  </w:r>
                </w:p>
              </w:tc>
              <w:tc>
                <w:tcPr>
                  <w:tcW w:w="501" w:type="pct"/>
                  <w:vAlign w:val="bottom"/>
                </w:tcPr>
                <w:p w:rsidR="00AC2131" w:rsidRPr="007E34F5" w:rsidRDefault="00AC2131" w:rsidP="00AC2131">
                  <w:pPr>
                    <w:pStyle w:val="TableBodyText"/>
                    <w:spacing w:after="0"/>
                    <w:ind w:left="0" w:right="57"/>
                  </w:pPr>
                  <w:r w:rsidRPr="007E34F5">
                    <w:t>19.1</w:t>
                  </w:r>
                </w:p>
              </w:tc>
              <w:tc>
                <w:tcPr>
                  <w:tcW w:w="501" w:type="pct"/>
                  <w:vAlign w:val="bottom"/>
                </w:tcPr>
                <w:p w:rsidR="00AC2131" w:rsidRPr="007E34F5" w:rsidRDefault="00AC2131" w:rsidP="00AC2131">
                  <w:pPr>
                    <w:pStyle w:val="TableBodyText"/>
                    <w:spacing w:after="0"/>
                    <w:ind w:left="0" w:right="57"/>
                  </w:pPr>
                  <w:r w:rsidRPr="007E34F5">
                    <w:t>25.8</w:t>
                  </w:r>
                </w:p>
              </w:tc>
              <w:tc>
                <w:tcPr>
                  <w:tcW w:w="499" w:type="pct"/>
                  <w:vAlign w:val="bottom"/>
                </w:tcPr>
                <w:p w:rsidR="00AC2131" w:rsidRPr="007E34F5" w:rsidRDefault="00AC2131" w:rsidP="00AC2131">
                  <w:pPr>
                    <w:pStyle w:val="TableBodyText"/>
                    <w:spacing w:after="0"/>
                    <w:ind w:left="0" w:right="57"/>
                  </w:pPr>
                  <w:r w:rsidRPr="007E34F5">
                    <w:t>11.7</w:t>
                  </w:r>
                </w:p>
              </w:tc>
              <w:tc>
                <w:tcPr>
                  <w:tcW w:w="499" w:type="pct"/>
                  <w:shd w:val="clear" w:color="auto" w:fill="auto"/>
                  <w:vAlign w:val="bottom"/>
                </w:tcPr>
                <w:p w:rsidR="00AC2131" w:rsidRPr="007E34F5" w:rsidRDefault="00AC2131" w:rsidP="00AC2131">
                  <w:pPr>
                    <w:pStyle w:val="TableBodyText"/>
                    <w:spacing w:after="0"/>
                    <w:ind w:left="0" w:right="57"/>
                  </w:pPr>
                  <w:r w:rsidRPr="007E34F5">
                    <w:t>13.2</w:t>
                  </w:r>
                </w:p>
              </w:tc>
              <w:tc>
                <w:tcPr>
                  <w:tcW w:w="500" w:type="pct"/>
                  <w:shd w:val="clear" w:color="auto" w:fill="auto"/>
                  <w:vAlign w:val="bottom"/>
                </w:tcPr>
                <w:p w:rsidR="00AC2131" w:rsidRPr="007E34F5" w:rsidRDefault="00AC2131" w:rsidP="00AC2131">
                  <w:pPr>
                    <w:pStyle w:val="TableBodyText"/>
                    <w:spacing w:after="0"/>
                    <w:ind w:left="0" w:right="57"/>
                  </w:pPr>
                  <w:r w:rsidRPr="007E34F5">
                    <w:t>11.2</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Printing and recorded media</w:t>
                  </w:r>
                </w:p>
              </w:tc>
              <w:tc>
                <w:tcPr>
                  <w:tcW w:w="501" w:type="pct"/>
                  <w:vAlign w:val="bottom"/>
                </w:tcPr>
                <w:p w:rsidR="00AC2131" w:rsidRPr="007E34F5" w:rsidRDefault="00AC2131" w:rsidP="00AC2131">
                  <w:pPr>
                    <w:pStyle w:val="TableBodyText"/>
                    <w:spacing w:after="0"/>
                    <w:ind w:left="0" w:right="57"/>
                  </w:pPr>
                  <w:r w:rsidRPr="007E34F5">
                    <w:t>4.8</w:t>
                  </w:r>
                </w:p>
              </w:tc>
              <w:tc>
                <w:tcPr>
                  <w:tcW w:w="501" w:type="pct"/>
                  <w:vAlign w:val="bottom"/>
                </w:tcPr>
                <w:p w:rsidR="00AC2131" w:rsidRPr="007E34F5" w:rsidRDefault="00AC2131" w:rsidP="00AC2131">
                  <w:pPr>
                    <w:pStyle w:val="TableBodyText"/>
                    <w:spacing w:after="0"/>
                    <w:ind w:left="0" w:right="57"/>
                  </w:pPr>
                  <w:r w:rsidRPr="007E34F5">
                    <w:t>13.1</w:t>
                  </w:r>
                </w:p>
              </w:tc>
              <w:tc>
                <w:tcPr>
                  <w:tcW w:w="501" w:type="pct"/>
                  <w:vAlign w:val="bottom"/>
                </w:tcPr>
                <w:p w:rsidR="00AC2131" w:rsidRPr="007E34F5" w:rsidRDefault="00AC2131" w:rsidP="00AC2131">
                  <w:pPr>
                    <w:pStyle w:val="TableBodyText"/>
                    <w:spacing w:after="0"/>
                    <w:ind w:left="0" w:right="57"/>
                  </w:pPr>
                  <w:r w:rsidRPr="007E34F5">
                    <w:t>14.5</w:t>
                  </w:r>
                </w:p>
              </w:tc>
              <w:tc>
                <w:tcPr>
                  <w:tcW w:w="499" w:type="pct"/>
                  <w:vAlign w:val="bottom"/>
                </w:tcPr>
                <w:p w:rsidR="00AC2131" w:rsidRPr="007E34F5" w:rsidRDefault="00AC2131" w:rsidP="00AC2131">
                  <w:pPr>
                    <w:pStyle w:val="TableBodyText"/>
                    <w:spacing w:after="0"/>
                    <w:ind w:left="0" w:right="57"/>
                  </w:pPr>
                  <w:r w:rsidRPr="007E34F5">
                    <w:t>10.3</w:t>
                  </w:r>
                </w:p>
              </w:tc>
              <w:tc>
                <w:tcPr>
                  <w:tcW w:w="499" w:type="pct"/>
                  <w:shd w:val="clear" w:color="auto" w:fill="auto"/>
                  <w:vAlign w:val="bottom"/>
                </w:tcPr>
                <w:p w:rsidR="00AC2131" w:rsidRPr="007E34F5" w:rsidRDefault="00AC2131" w:rsidP="00AC2131">
                  <w:pPr>
                    <w:pStyle w:val="TableBodyText"/>
                    <w:spacing w:after="0"/>
                    <w:ind w:left="0" w:right="57"/>
                  </w:pPr>
                  <w:r w:rsidRPr="007E34F5">
                    <w:t>8.7</w:t>
                  </w:r>
                </w:p>
              </w:tc>
              <w:tc>
                <w:tcPr>
                  <w:tcW w:w="500" w:type="pct"/>
                  <w:shd w:val="clear" w:color="auto" w:fill="auto"/>
                  <w:vAlign w:val="bottom"/>
                </w:tcPr>
                <w:p w:rsidR="00AC2131" w:rsidRPr="007E34F5" w:rsidRDefault="00AC2131" w:rsidP="00AC2131">
                  <w:pPr>
                    <w:pStyle w:val="TableBodyText"/>
                    <w:spacing w:after="0"/>
                    <w:ind w:left="0" w:right="57"/>
                  </w:pPr>
                  <w:r w:rsidRPr="007E34F5">
                    <w:t>12.0</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Petroleum, coal, chemical and rubber</w:t>
                  </w:r>
                </w:p>
              </w:tc>
              <w:tc>
                <w:tcPr>
                  <w:tcW w:w="501" w:type="pct"/>
                  <w:vAlign w:val="bottom"/>
                </w:tcPr>
                <w:p w:rsidR="00AC2131" w:rsidRPr="007E34F5" w:rsidRDefault="00AC2131" w:rsidP="00AC2131">
                  <w:pPr>
                    <w:pStyle w:val="TableBodyText"/>
                    <w:spacing w:after="0"/>
                    <w:ind w:left="0" w:right="57"/>
                  </w:pPr>
                  <w:r w:rsidRPr="007E34F5">
                    <w:t>52.1</w:t>
                  </w:r>
                </w:p>
              </w:tc>
              <w:tc>
                <w:tcPr>
                  <w:tcW w:w="501" w:type="pct"/>
                  <w:vAlign w:val="bottom"/>
                </w:tcPr>
                <w:p w:rsidR="00AC2131" w:rsidRPr="007E34F5" w:rsidRDefault="00AC2131" w:rsidP="00AC2131">
                  <w:pPr>
                    <w:pStyle w:val="TableBodyText"/>
                    <w:spacing w:after="0"/>
                    <w:ind w:left="0" w:right="57"/>
                  </w:pPr>
                  <w:r w:rsidRPr="007E34F5">
                    <w:t>67.2</w:t>
                  </w:r>
                </w:p>
              </w:tc>
              <w:tc>
                <w:tcPr>
                  <w:tcW w:w="501" w:type="pct"/>
                  <w:vAlign w:val="bottom"/>
                </w:tcPr>
                <w:p w:rsidR="00AC2131" w:rsidRPr="007E34F5" w:rsidRDefault="00AC2131" w:rsidP="00AC2131">
                  <w:pPr>
                    <w:pStyle w:val="TableBodyText"/>
                    <w:spacing w:after="0"/>
                    <w:ind w:left="0" w:right="57"/>
                  </w:pPr>
                  <w:r w:rsidRPr="007E34F5">
                    <w:t>118.8</w:t>
                  </w:r>
                </w:p>
              </w:tc>
              <w:tc>
                <w:tcPr>
                  <w:tcW w:w="499" w:type="pct"/>
                  <w:vAlign w:val="bottom"/>
                </w:tcPr>
                <w:p w:rsidR="00AC2131" w:rsidRPr="007E34F5" w:rsidRDefault="00AC2131" w:rsidP="00AC2131">
                  <w:pPr>
                    <w:pStyle w:val="TableBodyText"/>
                    <w:spacing w:after="0"/>
                    <w:ind w:left="0" w:right="57"/>
                  </w:pPr>
                  <w:r w:rsidRPr="007E34F5">
                    <w:t>59.0</w:t>
                  </w:r>
                </w:p>
              </w:tc>
              <w:tc>
                <w:tcPr>
                  <w:tcW w:w="499" w:type="pct"/>
                  <w:shd w:val="clear" w:color="auto" w:fill="auto"/>
                  <w:vAlign w:val="bottom"/>
                </w:tcPr>
                <w:p w:rsidR="00AC2131" w:rsidRPr="007E34F5" w:rsidRDefault="00AC2131" w:rsidP="00AC2131">
                  <w:pPr>
                    <w:pStyle w:val="TableBodyText"/>
                    <w:spacing w:after="0"/>
                    <w:ind w:left="0" w:right="57"/>
                  </w:pPr>
                  <w:r w:rsidRPr="007E34F5">
                    <w:t>66.9</w:t>
                  </w:r>
                </w:p>
              </w:tc>
              <w:tc>
                <w:tcPr>
                  <w:tcW w:w="500" w:type="pct"/>
                  <w:shd w:val="clear" w:color="auto" w:fill="auto"/>
                  <w:vAlign w:val="bottom"/>
                </w:tcPr>
                <w:p w:rsidR="00AC2131" w:rsidRPr="007E34F5" w:rsidRDefault="00AC2131" w:rsidP="00AC2131">
                  <w:pPr>
                    <w:pStyle w:val="TableBodyText"/>
                    <w:spacing w:after="0"/>
                    <w:ind w:left="0" w:right="57"/>
                  </w:pPr>
                  <w:r w:rsidRPr="007E34F5">
                    <w:t>37.6</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Non-metallic mineral products</w:t>
                  </w:r>
                </w:p>
              </w:tc>
              <w:tc>
                <w:tcPr>
                  <w:tcW w:w="501" w:type="pct"/>
                  <w:vAlign w:val="bottom"/>
                </w:tcPr>
                <w:p w:rsidR="00AC2131" w:rsidRPr="007E34F5" w:rsidRDefault="00AC2131" w:rsidP="00AC2131">
                  <w:pPr>
                    <w:pStyle w:val="TableBodyText"/>
                    <w:spacing w:after="0"/>
                    <w:ind w:left="0" w:right="57"/>
                  </w:pPr>
                  <w:r w:rsidRPr="007E34F5">
                    <w:t>7.7</w:t>
                  </w:r>
                </w:p>
              </w:tc>
              <w:tc>
                <w:tcPr>
                  <w:tcW w:w="501" w:type="pct"/>
                  <w:vAlign w:val="bottom"/>
                </w:tcPr>
                <w:p w:rsidR="00AC2131" w:rsidRPr="007E34F5" w:rsidRDefault="00AC2131" w:rsidP="00AC2131">
                  <w:pPr>
                    <w:pStyle w:val="TableBodyText"/>
                    <w:spacing w:after="0"/>
                    <w:ind w:left="0" w:right="57"/>
                  </w:pPr>
                  <w:r w:rsidRPr="007E34F5">
                    <w:t>18.1</w:t>
                  </w:r>
                </w:p>
              </w:tc>
              <w:tc>
                <w:tcPr>
                  <w:tcW w:w="501" w:type="pct"/>
                  <w:vAlign w:val="bottom"/>
                </w:tcPr>
                <w:p w:rsidR="00AC2131" w:rsidRPr="007E34F5" w:rsidRDefault="00AC2131" w:rsidP="00AC2131">
                  <w:pPr>
                    <w:pStyle w:val="TableBodyText"/>
                    <w:spacing w:after="0"/>
                    <w:ind w:left="0" w:right="57"/>
                  </w:pPr>
                  <w:r w:rsidRPr="007E34F5">
                    <w:t>21.3</w:t>
                  </w:r>
                </w:p>
              </w:tc>
              <w:tc>
                <w:tcPr>
                  <w:tcW w:w="499" w:type="pct"/>
                  <w:vAlign w:val="bottom"/>
                </w:tcPr>
                <w:p w:rsidR="00AC2131" w:rsidRPr="007E34F5" w:rsidRDefault="00AC2131" w:rsidP="00AC2131">
                  <w:pPr>
                    <w:pStyle w:val="TableBodyText"/>
                    <w:spacing w:after="0"/>
                    <w:ind w:left="0" w:right="57"/>
                  </w:pPr>
                  <w:r w:rsidRPr="007E34F5">
                    <w:t>9.4</w:t>
                  </w:r>
                </w:p>
              </w:tc>
              <w:tc>
                <w:tcPr>
                  <w:tcW w:w="499" w:type="pct"/>
                  <w:shd w:val="clear" w:color="auto" w:fill="auto"/>
                  <w:vAlign w:val="bottom"/>
                </w:tcPr>
                <w:p w:rsidR="00AC2131" w:rsidRPr="007E34F5" w:rsidRDefault="00AC2131" w:rsidP="00AC2131">
                  <w:pPr>
                    <w:pStyle w:val="TableBodyText"/>
                    <w:spacing w:after="0"/>
                    <w:ind w:left="0" w:right="57"/>
                  </w:pPr>
                  <w:r w:rsidRPr="007E34F5">
                    <w:t>10.6</w:t>
                  </w:r>
                </w:p>
              </w:tc>
              <w:tc>
                <w:tcPr>
                  <w:tcW w:w="500" w:type="pct"/>
                  <w:shd w:val="clear" w:color="auto" w:fill="auto"/>
                  <w:vAlign w:val="bottom"/>
                </w:tcPr>
                <w:p w:rsidR="00AC2131" w:rsidRPr="007E34F5" w:rsidRDefault="00AC2131" w:rsidP="00AC2131">
                  <w:pPr>
                    <w:pStyle w:val="TableBodyText"/>
                    <w:spacing w:after="0"/>
                    <w:ind w:left="0" w:right="57"/>
                  </w:pPr>
                  <w:r w:rsidRPr="007E34F5">
                    <w:t>5.2</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Metal and fabricated metal products</w:t>
                  </w:r>
                </w:p>
              </w:tc>
              <w:tc>
                <w:tcPr>
                  <w:tcW w:w="501" w:type="pct"/>
                  <w:vAlign w:val="bottom"/>
                </w:tcPr>
                <w:p w:rsidR="00AC2131" w:rsidRPr="007E34F5" w:rsidRDefault="00AC2131" w:rsidP="00AC2131">
                  <w:pPr>
                    <w:pStyle w:val="TableBodyText"/>
                    <w:spacing w:after="0"/>
                    <w:ind w:left="0" w:right="57"/>
                  </w:pPr>
                  <w:r w:rsidRPr="007E34F5">
                    <w:t>59.1</w:t>
                  </w:r>
                </w:p>
              </w:tc>
              <w:tc>
                <w:tcPr>
                  <w:tcW w:w="501" w:type="pct"/>
                  <w:vAlign w:val="bottom"/>
                </w:tcPr>
                <w:p w:rsidR="00AC2131" w:rsidRPr="007E34F5" w:rsidRDefault="00AC2131" w:rsidP="00AC2131">
                  <w:pPr>
                    <w:pStyle w:val="TableBodyText"/>
                    <w:spacing w:after="0"/>
                    <w:ind w:left="0" w:right="57"/>
                  </w:pPr>
                  <w:r w:rsidRPr="007E34F5">
                    <w:t>70.8</w:t>
                  </w:r>
                </w:p>
              </w:tc>
              <w:tc>
                <w:tcPr>
                  <w:tcW w:w="501" w:type="pct"/>
                  <w:vAlign w:val="bottom"/>
                </w:tcPr>
                <w:p w:rsidR="00AC2131" w:rsidRPr="007E34F5" w:rsidRDefault="00AC2131" w:rsidP="00AC2131">
                  <w:pPr>
                    <w:pStyle w:val="TableBodyText"/>
                    <w:spacing w:after="0"/>
                    <w:ind w:left="0" w:right="57"/>
                  </w:pPr>
                  <w:r w:rsidRPr="007E34F5">
                    <w:t>89.9</w:t>
                  </w:r>
                </w:p>
              </w:tc>
              <w:tc>
                <w:tcPr>
                  <w:tcW w:w="499" w:type="pct"/>
                  <w:vAlign w:val="bottom"/>
                </w:tcPr>
                <w:p w:rsidR="00AC2131" w:rsidRPr="007E34F5" w:rsidRDefault="00AC2131" w:rsidP="00AC2131">
                  <w:pPr>
                    <w:pStyle w:val="TableBodyText"/>
                    <w:spacing w:after="0"/>
                    <w:ind w:left="0" w:right="57"/>
                  </w:pPr>
                  <w:r w:rsidRPr="007E34F5">
                    <w:t>83.4</w:t>
                  </w:r>
                </w:p>
              </w:tc>
              <w:tc>
                <w:tcPr>
                  <w:tcW w:w="499" w:type="pct"/>
                  <w:shd w:val="clear" w:color="auto" w:fill="auto"/>
                  <w:vAlign w:val="bottom"/>
                </w:tcPr>
                <w:p w:rsidR="00AC2131" w:rsidRPr="007E34F5" w:rsidRDefault="00AC2131" w:rsidP="00AC2131">
                  <w:pPr>
                    <w:pStyle w:val="TableBodyText"/>
                    <w:spacing w:after="0"/>
                    <w:ind w:left="0" w:right="57"/>
                  </w:pPr>
                  <w:r w:rsidRPr="007E34F5">
                    <w:t>145.7</w:t>
                  </w:r>
                </w:p>
              </w:tc>
              <w:tc>
                <w:tcPr>
                  <w:tcW w:w="500" w:type="pct"/>
                  <w:shd w:val="clear" w:color="auto" w:fill="auto"/>
                  <w:vAlign w:val="bottom"/>
                </w:tcPr>
                <w:p w:rsidR="00AC2131" w:rsidRPr="007E34F5" w:rsidRDefault="00AC2131" w:rsidP="00AC2131">
                  <w:pPr>
                    <w:pStyle w:val="TableBodyText"/>
                    <w:spacing w:after="0"/>
                    <w:ind w:left="0" w:right="57"/>
                  </w:pPr>
                  <w:r w:rsidRPr="007E34F5">
                    <w:t>372.6</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Motor vehicle</w:t>
                  </w:r>
                  <w:r>
                    <w:rPr>
                      <w:rFonts w:ascii="Arial" w:hAnsi="Arial" w:cs="Arial"/>
                      <w:sz w:val="18"/>
                      <w:szCs w:val="18"/>
                    </w:rPr>
                    <w:t>s</w:t>
                  </w:r>
                  <w:r w:rsidRPr="00037109">
                    <w:rPr>
                      <w:rFonts w:ascii="Arial" w:hAnsi="Arial" w:cs="Arial"/>
                      <w:sz w:val="18"/>
                      <w:szCs w:val="18"/>
                    </w:rPr>
                    <w:t xml:space="preserve"> and parts</w:t>
                  </w:r>
                </w:p>
              </w:tc>
              <w:tc>
                <w:tcPr>
                  <w:tcW w:w="501" w:type="pct"/>
                  <w:vAlign w:val="bottom"/>
                </w:tcPr>
                <w:p w:rsidR="00AC2131" w:rsidRPr="007E34F5" w:rsidRDefault="00AC2131" w:rsidP="00AC2131">
                  <w:pPr>
                    <w:pStyle w:val="TableBodyText"/>
                    <w:spacing w:after="0"/>
                    <w:ind w:left="0" w:right="57"/>
                  </w:pPr>
                  <w:r w:rsidRPr="007E34F5">
                    <w:t>531.1</w:t>
                  </w:r>
                </w:p>
              </w:tc>
              <w:tc>
                <w:tcPr>
                  <w:tcW w:w="501" w:type="pct"/>
                  <w:vAlign w:val="bottom"/>
                </w:tcPr>
                <w:p w:rsidR="00AC2131" w:rsidRPr="007E34F5" w:rsidRDefault="00AC2131" w:rsidP="00AC2131">
                  <w:pPr>
                    <w:pStyle w:val="TableBodyText"/>
                    <w:spacing w:after="0"/>
                    <w:ind w:left="0" w:right="57"/>
                  </w:pPr>
                  <w:r w:rsidRPr="007E34F5">
                    <w:t>597.0</w:t>
                  </w:r>
                </w:p>
              </w:tc>
              <w:tc>
                <w:tcPr>
                  <w:tcW w:w="501" w:type="pct"/>
                  <w:vAlign w:val="bottom"/>
                </w:tcPr>
                <w:p w:rsidR="00AC2131" w:rsidRPr="007E34F5" w:rsidRDefault="00AC2131" w:rsidP="00AC2131">
                  <w:pPr>
                    <w:pStyle w:val="TableBodyText"/>
                    <w:spacing w:after="0"/>
                    <w:ind w:left="0" w:right="57"/>
                  </w:pPr>
                  <w:r w:rsidRPr="007E34F5">
                    <w:t>380.3</w:t>
                  </w:r>
                </w:p>
              </w:tc>
              <w:tc>
                <w:tcPr>
                  <w:tcW w:w="499" w:type="pct"/>
                  <w:vAlign w:val="bottom"/>
                </w:tcPr>
                <w:p w:rsidR="00AC2131" w:rsidRPr="007E34F5" w:rsidRDefault="00AC2131" w:rsidP="00AC2131">
                  <w:pPr>
                    <w:pStyle w:val="TableBodyText"/>
                    <w:spacing w:after="0"/>
                    <w:ind w:left="0" w:right="57"/>
                  </w:pPr>
                  <w:r w:rsidRPr="007E34F5">
                    <w:t>45.0</w:t>
                  </w:r>
                </w:p>
              </w:tc>
              <w:tc>
                <w:tcPr>
                  <w:tcW w:w="499" w:type="pct"/>
                  <w:shd w:val="clear" w:color="auto" w:fill="auto"/>
                  <w:vAlign w:val="bottom"/>
                </w:tcPr>
                <w:p w:rsidR="00AC2131" w:rsidRPr="007E34F5" w:rsidRDefault="00AC2131" w:rsidP="00AC2131">
                  <w:pPr>
                    <w:pStyle w:val="TableBodyText"/>
                    <w:spacing w:after="0"/>
                    <w:ind w:left="0" w:right="57"/>
                  </w:pPr>
                  <w:r w:rsidRPr="007E34F5">
                    <w:t>37.9</w:t>
                  </w:r>
                </w:p>
              </w:tc>
              <w:tc>
                <w:tcPr>
                  <w:tcW w:w="500" w:type="pct"/>
                  <w:shd w:val="clear" w:color="auto" w:fill="auto"/>
                  <w:vAlign w:val="bottom"/>
                </w:tcPr>
                <w:p w:rsidR="00AC2131" w:rsidRPr="007E34F5" w:rsidRDefault="00AC2131" w:rsidP="00AC2131">
                  <w:pPr>
                    <w:pStyle w:val="TableBodyText"/>
                    <w:spacing w:after="0"/>
                    <w:ind w:left="0" w:right="57"/>
                  </w:pPr>
                  <w:r w:rsidRPr="007E34F5">
                    <w:t>34.3</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Other transport equipment</w:t>
                  </w:r>
                </w:p>
              </w:tc>
              <w:tc>
                <w:tcPr>
                  <w:tcW w:w="501" w:type="pct"/>
                  <w:vAlign w:val="bottom"/>
                </w:tcPr>
                <w:p w:rsidR="00AC2131" w:rsidRPr="007E34F5" w:rsidRDefault="00AC2131" w:rsidP="00AC2131">
                  <w:pPr>
                    <w:pStyle w:val="TableBodyText"/>
                    <w:spacing w:after="0"/>
                    <w:ind w:left="0" w:right="57"/>
                  </w:pPr>
                  <w:r w:rsidRPr="007E34F5">
                    <w:t>9.1</w:t>
                  </w:r>
                </w:p>
              </w:tc>
              <w:tc>
                <w:tcPr>
                  <w:tcW w:w="501" w:type="pct"/>
                  <w:vAlign w:val="bottom"/>
                </w:tcPr>
                <w:p w:rsidR="00AC2131" w:rsidRPr="007E34F5" w:rsidRDefault="00AC2131" w:rsidP="00AC2131">
                  <w:pPr>
                    <w:pStyle w:val="TableBodyText"/>
                    <w:spacing w:after="0"/>
                    <w:ind w:left="0" w:right="57"/>
                  </w:pPr>
                  <w:r w:rsidRPr="007E34F5">
                    <w:t>11.7</w:t>
                  </w:r>
                </w:p>
              </w:tc>
              <w:tc>
                <w:tcPr>
                  <w:tcW w:w="501" w:type="pct"/>
                  <w:vAlign w:val="bottom"/>
                </w:tcPr>
                <w:p w:rsidR="00AC2131" w:rsidRPr="007E34F5" w:rsidRDefault="00AC2131" w:rsidP="00AC2131">
                  <w:pPr>
                    <w:pStyle w:val="TableBodyText"/>
                    <w:spacing w:after="0"/>
                    <w:ind w:left="0" w:right="57"/>
                  </w:pPr>
                  <w:r w:rsidRPr="007E34F5">
                    <w:t>12.9</w:t>
                  </w:r>
                </w:p>
              </w:tc>
              <w:tc>
                <w:tcPr>
                  <w:tcW w:w="499" w:type="pct"/>
                  <w:vAlign w:val="bottom"/>
                </w:tcPr>
                <w:p w:rsidR="00AC2131" w:rsidRPr="007E34F5" w:rsidRDefault="00AC2131" w:rsidP="00AC2131">
                  <w:pPr>
                    <w:pStyle w:val="TableBodyText"/>
                    <w:spacing w:after="0"/>
                    <w:ind w:left="0" w:right="57"/>
                  </w:pPr>
                  <w:r w:rsidRPr="007E34F5">
                    <w:t>8.6</w:t>
                  </w:r>
                </w:p>
              </w:tc>
              <w:tc>
                <w:tcPr>
                  <w:tcW w:w="499" w:type="pct"/>
                  <w:shd w:val="clear" w:color="auto" w:fill="auto"/>
                  <w:vAlign w:val="bottom"/>
                </w:tcPr>
                <w:p w:rsidR="00AC2131" w:rsidRPr="007E34F5" w:rsidRDefault="00AC2131" w:rsidP="00AC2131">
                  <w:pPr>
                    <w:pStyle w:val="TableBodyText"/>
                    <w:spacing w:after="0"/>
                    <w:ind w:left="0" w:right="57"/>
                  </w:pPr>
                  <w:r w:rsidRPr="007E34F5">
                    <w:t>7.2</w:t>
                  </w:r>
                </w:p>
              </w:tc>
              <w:tc>
                <w:tcPr>
                  <w:tcW w:w="500" w:type="pct"/>
                  <w:shd w:val="clear" w:color="auto" w:fill="auto"/>
                  <w:vAlign w:val="bottom"/>
                </w:tcPr>
                <w:p w:rsidR="00AC2131" w:rsidRPr="007E34F5" w:rsidRDefault="00AC2131" w:rsidP="00AC2131">
                  <w:pPr>
                    <w:pStyle w:val="TableBodyText"/>
                    <w:spacing w:after="0"/>
                    <w:ind w:left="0" w:right="57"/>
                  </w:pPr>
                  <w:r w:rsidRPr="007E34F5">
                    <w:t>4.4</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Machinery &amp; equipment manufacturing</w:t>
                  </w:r>
                </w:p>
              </w:tc>
              <w:tc>
                <w:tcPr>
                  <w:tcW w:w="501" w:type="pct"/>
                  <w:vAlign w:val="bottom"/>
                </w:tcPr>
                <w:p w:rsidR="00AC2131" w:rsidRPr="007E34F5" w:rsidRDefault="00AC2131" w:rsidP="00AC2131">
                  <w:pPr>
                    <w:pStyle w:val="TableBodyText"/>
                    <w:spacing w:after="0"/>
                    <w:ind w:left="0" w:right="57"/>
                  </w:pPr>
                  <w:r w:rsidRPr="007E34F5">
                    <w:t>59.7</w:t>
                  </w:r>
                </w:p>
              </w:tc>
              <w:tc>
                <w:tcPr>
                  <w:tcW w:w="501" w:type="pct"/>
                  <w:vAlign w:val="bottom"/>
                </w:tcPr>
                <w:p w:rsidR="00AC2131" w:rsidRPr="007E34F5" w:rsidRDefault="00AC2131" w:rsidP="00AC2131">
                  <w:pPr>
                    <w:pStyle w:val="TableBodyText"/>
                    <w:spacing w:after="0"/>
                    <w:ind w:left="0" w:right="57"/>
                  </w:pPr>
                  <w:r w:rsidRPr="007E34F5">
                    <w:t>85.0</w:t>
                  </w:r>
                </w:p>
              </w:tc>
              <w:tc>
                <w:tcPr>
                  <w:tcW w:w="501" w:type="pct"/>
                  <w:vAlign w:val="bottom"/>
                </w:tcPr>
                <w:p w:rsidR="00AC2131" w:rsidRPr="007E34F5" w:rsidRDefault="00AC2131" w:rsidP="00AC2131">
                  <w:pPr>
                    <w:pStyle w:val="TableBodyText"/>
                    <w:spacing w:after="0"/>
                    <w:ind w:left="0" w:right="57"/>
                  </w:pPr>
                  <w:r w:rsidRPr="007E34F5">
                    <w:t>80.1</w:t>
                  </w:r>
                </w:p>
              </w:tc>
              <w:tc>
                <w:tcPr>
                  <w:tcW w:w="499" w:type="pct"/>
                  <w:vAlign w:val="bottom"/>
                </w:tcPr>
                <w:p w:rsidR="00AC2131" w:rsidRPr="007E34F5" w:rsidRDefault="00AC2131" w:rsidP="00AC2131">
                  <w:pPr>
                    <w:pStyle w:val="TableBodyText"/>
                    <w:spacing w:after="0"/>
                    <w:ind w:left="0" w:right="57"/>
                  </w:pPr>
                  <w:r w:rsidRPr="007E34F5">
                    <w:t>83.0</w:t>
                  </w:r>
                </w:p>
              </w:tc>
              <w:tc>
                <w:tcPr>
                  <w:tcW w:w="499" w:type="pct"/>
                  <w:shd w:val="clear" w:color="auto" w:fill="auto"/>
                  <w:vAlign w:val="bottom"/>
                </w:tcPr>
                <w:p w:rsidR="00AC2131" w:rsidRPr="007E34F5" w:rsidRDefault="00AC2131" w:rsidP="00AC2131">
                  <w:pPr>
                    <w:pStyle w:val="TableBodyText"/>
                    <w:spacing w:after="0"/>
                    <w:ind w:left="0" w:right="57"/>
                  </w:pPr>
                  <w:r w:rsidRPr="007E34F5">
                    <w:t>93.9</w:t>
                  </w:r>
                </w:p>
              </w:tc>
              <w:tc>
                <w:tcPr>
                  <w:tcW w:w="500" w:type="pct"/>
                  <w:shd w:val="clear" w:color="auto" w:fill="auto"/>
                  <w:vAlign w:val="bottom"/>
                </w:tcPr>
                <w:p w:rsidR="00AC2131" w:rsidRPr="007E34F5" w:rsidRDefault="00AC2131" w:rsidP="00AC2131">
                  <w:pPr>
                    <w:pStyle w:val="TableBodyText"/>
                    <w:spacing w:after="0"/>
                    <w:ind w:left="0" w:right="57"/>
                  </w:pPr>
                  <w:r w:rsidRPr="007E34F5">
                    <w:t>25.3</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Furniture and other manufacturing</w:t>
                  </w:r>
                </w:p>
              </w:tc>
              <w:tc>
                <w:tcPr>
                  <w:tcW w:w="501" w:type="pct"/>
                  <w:vAlign w:val="bottom"/>
                </w:tcPr>
                <w:p w:rsidR="00AC2131" w:rsidRPr="007E34F5" w:rsidRDefault="00AC2131" w:rsidP="00AC2131">
                  <w:pPr>
                    <w:pStyle w:val="TableBodyText"/>
                    <w:spacing w:after="0"/>
                    <w:ind w:left="0" w:right="57"/>
                  </w:pPr>
                  <w:r w:rsidRPr="007E34F5">
                    <w:t>7.8</w:t>
                  </w:r>
                </w:p>
              </w:tc>
              <w:tc>
                <w:tcPr>
                  <w:tcW w:w="501" w:type="pct"/>
                  <w:vAlign w:val="bottom"/>
                </w:tcPr>
                <w:p w:rsidR="00AC2131" w:rsidRPr="007E34F5" w:rsidRDefault="00AC2131" w:rsidP="00AC2131">
                  <w:pPr>
                    <w:pStyle w:val="TableBodyText"/>
                    <w:spacing w:after="0"/>
                    <w:ind w:left="0" w:right="57"/>
                  </w:pPr>
                  <w:r w:rsidRPr="007E34F5">
                    <w:t>11.0</w:t>
                  </w:r>
                </w:p>
              </w:tc>
              <w:tc>
                <w:tcPr>
                  <w:tcW w:w="501" w:type="pct"/>
                  <w:vAlign w:val="bottom"/>
                </w:tcPr>
                <w:p w:rsidR="00AC2131" w:rsidRPr="007E34F5" w:rsidRDefault="00AC2131" w:rsidP="00AC2131">
                  <w:pPr>
                    <w:pStyle w:val="TableBodyText"/>
                    <w:spacing w:after="0"/>
                    <w:ind w:left="0" w:right="57"/>
                  </w:pPr>
                  <w:r w:rsidRPr="007E34F5">
                    <w:t>7.7</w:t>
                  </w:r>
                </w:p>
              </w:tc>
              <w:tc>
                <w:tcPr>
                  <w:tcW w:w="499" w:type="pct"/>
                  <w:vAlign w:val="bottom"/>
                </w:tcPr>
                <w:p w:rsidR="00AC2131" w:rsidRPr="007E34F5" w:rsidRDefault="00AC2131" w:rsidP="00AC2131">
                  <w:pPr>
                    <w:pStyle w:val="TableBodyText"/>
                    <w:spacing w:after="0"/>
                    <w:ind w:left="0" w:right="57"/>
                  </w:pPr>
                  <w:r w:rsidRPr="007E34F5">
                    <w:t>6.5</w:t>
                  </w:r>
                </w:p>
              </w:tc>
              <w:tc>
                <w:tcPr>
                  <w:tcW w:w="499" w:type="pct"/>
                  <w:shd w:val="clear" w:color="auto" w:fill="auto"/>
                  <w:vAlign w:val="bottom"/>
                </w:tcPr>
                <w:p w:rsidR="00AC2131" w:rsidRPr="007E34F5" w:rsidRDefault="00AC2131" w:rsidP="00AC2131">
                  <w:pPr>
                    <w:pStyle w:val="TableBodyText"/>
                    <w:spacing w:after="0"/>
                    <w:ind w:left="0" w:right="57"/>
                  </w:pPr>
                  <w:r w:rsidRPr="007E34F5">
                    <w:t>7.5</w:t>
                  </w:r>
                </w:p>
              </w:tc>
              <w:tc>
                <w:tcPr>
                  <w:tcW w:w="500" w:type="pct"/>
                  <w:shd w:val="clear" w:color="auto" w:fill="auto"/>
                  <w:vAlign w:val="bottom"/>
                </w:tcPr>
                <w:p w:rsidR="00AC2131" w:rsidRPr="007E34F5" w:rsidRDefault="00AC2131" w:rsidP="00AC2131">
                  <w:pPr>
                    <w:pStyle w:val="TableBodyText"/>
                    <w:spacing w:after="0"/>
                    <w:ind w:left="0" w:right="57"/>
                  </w:pPr>
                  <w:r w:rsidRPr="007E34F5">
                    <w:t>8.6</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Unallocated manufacturing</w:t>
                  </w:r>
                  <w:r>
                    <w:rPr>
                      <w:rStyle w:val="NoteLabel"/>
                    </w:rPr>
                    <w:t>a</w:t>
                  </w:r>
                </w:p>
              </w:tc>
              <w:tc>
                <w:tcPr>
                  <w:tcW w:w="501" w:type="pct"/>
                  <w:vAlign w:val="bottom"/>
                </w:tcPr>
                <w:p w:rsidR="00AC2131" w:rsidRPr="007E34F5" w:rsidRDefault="00AC2131" w:rsidP="00AC2131">
                  <w:pPr>
                    <w:pStyle w:val="TableBodyText"/>
                    <w:spacing w:after="0"/>
                    <w:ind w:left="0" w:right="57"/>
                  </w:pPr>
                  <w:r w:rsidRPr="007E34F5">
                    <w:t>118.4</w:t>
                  </w:r>
                </w:p>
              </w:tc>
              <w:tc>
                <w:tcPr>
                  <w:tcW w:w="501" w:type="pct"/>
                  <w:vAlign w:val="bottom"/>
                </w:tcPr>
                <w:p w:rsidR="00AC2131" w:rsidRPr="007E34F5" w:rsidRDefault="00AC2131" w:rsidP="00AC2131">
                  <w:pPr>
                    <w:pStyle w:val="TableBodyText"/>
                    <w:spacing w:after="0"/>
                    <w:ind w:left="0" w:right="57"/>
                  </w:pPr>
                  <w:r w:rsidRPr="007E34F5">
                    <w:t>94.6</w:t>
                  </w:r>
                </w:p>
              </w:tc>
              <w:tc>
                <w:tcPr>
                  <w:tcW w:w="501" w:type="pct"/>
                  <w:vAlign w:val="bottom"/>
                </w:tcPr>
                <w:p w:rsidR="00AC2131" w:rsidRPr="007E34F5" w:rsidRDefault="00AC2131" w:rsidP="00AC2131">
                  <w:pPr>
                    <w:pStyle w:val="TableBodyText"/>
                    <w:spacing w:after="0"/>
                    <w:ind w:left="0" w:right="57"/>
                  </w:pPr>
                  <w:r w:rsidRPr="007E34F5">
                    <w:t>81.6</w:t>
                  </w:r>
                </w:p>
              </w:tc>
              <w:tc>
                <w:tcPr>
                  <w:tcW w:w="499" w:type="pct"/>
                  <w:vAlign w:val="bottom"/>
                </w:tcPr>
                <w:p w:rsidR="00AC2131" w:rsidRPr="007E34F5" w:rsidRDefault="00AC2131" w:rsidP="00AC2131">
                  <w:pPr>
                    <w:pStyle w:val="TableBodyText"/>
                    <w:spacing w:after="0"/>
                    <w:ind w:left="0" w:right="57"/>
                  </w:pPr>
                  <w:r w:rsidRPr="007E34F5">
                    <w:t>66.8</w:t>
                  </w:r>
                </w:p>
              </w:tc>
              <w:tc>
                <w:tcPr>
                  <w:tcW w:w="499" w:type="pct"/>
                  <w:shd w:val="clear" w:color="auto" w:fill="auto"/>
                  <w:vAlign w:val="bottom"/>
                </w:tcPr>
                <w:p w:rsidR="00AC2131" w:rsidRPr="007E34F5" w:rsidRDefault="00AC2131" w:rsidP="00AC2131">
                  <w:pPr>
                    <w:pStyle w:val="TableBodyText"/>
                    <w:spacing w:after="0"/>
                    <w:ind w:left="0" w:right="57"/>
                  </w:pPr>
                  <w:r w:rsidRPr="007E34F5">
                    <w:t>73.6</w:t>
                  </w:r>
                </w:p>
              </w:tc>
              <w:tc>
                <w:tcPr>
                  <w:tcW w:w="500" w:type="pct"/>
                  <w:shd w:val="clear" w:color="auto" w:fill="auto"/>
                  <w:vAlign w:val="bottom"/>
                </w:tcPr>
                <w:p w:rsidR="00AC2131" w:rsidRPr="007E34F5" w:rsidRDefault="00AC2131" w:rsidP="00AC2131">
                  <w:pPr>
                    <w:pStyle w:val="TableBodyText"/>
                    <w:spacing w:after="0"/>
                    <w:ind w:left="0" w:right="57"/>
                  </w:pPr>
                  <w:r w:rsidRPr="007E34F5">
                    <w:t>68.2</w:t>
                  </w:r>
                </w:p>
              </w:tc>
            </w:tr>
            <w:tr w:rsidR="00AC2131" w:rsidRPr="007E34F5" w:rsidTr="00AC2131">
              <w:tc>
                <w:tcPr>
                  <w:tcW w:w="1998" w:type="pct"/>
                  <w:shd w:val="clear" w:color="auto" w:fill="auto"/>
                  <w:vAlign w:val="bottom"/>
                </w:tcPr>
                <w:p w:rsidR="00AC2131" w:rsidRPr="007E34F5" w:rsidRDefault="00AC2131">
                  <w:pPr>
                    <w:rPr>
                      <w:rFonts w:ascii="Arial" w:hAnsi="Arial" w:cs="Arial"/>
                      <w:b/>
                      <w:bCs/>
                      <w:sz w:val="18"/>
                      <w:szCs w:val="18"/>
                    </w:rPr>
                  </w:pPr>
                  <w:r w:rsidRPr="007E34F5">
                    <w:rPr>
                      <w:rFonts w:ascii="Arial" w:hAnsi="Arial" w:cs="Arial"/>
                      <w:b/>
                      <w:bCs/>
                      <w:sz w:val="18"/>
                      <w:szCs w:val="18"/>
                    </w:rPr>
                    <w:t>Services</w:t>
                  </w:r>
                </w:p>
              </w:tc>
              <w:tc>
                <w:tcPr>
                  <w:tcW w:w="501" w:type="pct"/>
                  <w:vAlign w:val="bottom"/>
                </w:tcPr>
                <w:p w:rsidR="00AC2131" w:rsidRPr="007E34F5" w:rsidRDefault="00AC2131" w:rsidP="00AC2131">
                  <w:pPr>
                    <w:pStyle w:val="TableBodyText"/>
                    <w:spacing w:after="0"/>
                    <w:ind w:left="0" w:right="57"/>
                    <w:rPr>
                      <w:b/>
                    </w:rPr>
                  </w:pPr>
                  <w:r w:rsidRPr="007E34F5">
                    <w:rPr>
                      <w:b/>
                    </w:rPr>
                    <w:t>2288.1</w:t>
                  </w:r>
                </w:p>
              </w:tc>
              <w:tc>
                <w:tcPr>
                  <w:tcW w:w="501" w:type="pct"/>
                  <w:vAlign w:val="bottom"/>
                </w:tcPr>
                <w:p w:rsidR="00AC2131" w:rsidRPr="007E34F5" w:rsidRDefault="00AC2131" w:rsidP="00AC2131">
                  <w:pPr>
                    <w:pStyle w:val="TableBodyText"/>
                    <w:spacing w:after="0"/>
                    <w:ind w:left="0" w:right="57"/>
                    <w:rPr>
                      <w:b/>
                    </w:rPr>
                  </w:pPr>
                  <w:r w:rsidRPr="007E34F5">
                    <w:rPr>
                      <w:b/>
                    </w:rPr>
                    <w:t>3344.9</w:t>
                  </w:r>
                </w:p>
              </w:tc>
              <w:tc>
                <w:tcPr>
                  <w:tcW w:w="501" w:type="pct"/>
                  <w:vAlign w:val="bottom"/>
                </w:tcPr>
                <w:p w:rsidR="00AC2131" w:rsidRPr="007E34F5" w:rsidRDefault="00AC2131" w:rsidP="00AC2131">
                  <w:pPr>
                    <w:pStyle w:val="TableBodyText"/>
                    <w:spacing w:after="0"/>
                    <w:ind w:left="0" w:right="57"/>
                    <w:rPr>
                      <w:b/>
                    </w:rPr>
                  </w:pPr>
                  <w:r w:rsidRPr="007E34F5">
                    <w:rPr>
                      <w:b/>
                    </w:rPr>
                    <w:t>3335.6</w:t>
                  </w:r>
                </w:p>
              </w:tc>
              <w:tc>
                <w:tcPr>
                  <w:tcW w:w="499" w:type="pct"/>
                  <w:vAlign w:val="bottom"/>
                </w:tcPr>
                <w:p w:rsidR="00AC2131" w:rsidRPr="007E34F5" w:rsidRDefault="00AC2131" w:rsidP="00AC2131">
                  <w:pPr>
                    <w:pStyle w:val="TableBodyText"/>
                    <w:spacing w:after="0"/>
                    <w:ind w:left="0" w:right="57"/>
                    <w:rPr>
                      <w:b/>
                    </w:rPr>
                  </w:pPr>
                  <w:r w:rsidRPr="007E34F5">
                    <w:rPr>
                      <w:b/>
                    </w:rPr>
                    <w:t>2834.1</w:t>
                  </w:r>
                </w:p>
              </w:tc>
              <w:tc>
                <w:tcPr>
                  <w:tcW w:w="499" w:type="pct"/>
                  <w:shd w:val="clear" w:color="auto" w:fill="auto"/>
                  <w:vAlign w:val="bottom"/>
                </w:tcPr>
                <w:p w:rsidR="00AC2131" w:rsidRPr="007E34F5" w:rsidRDefault="00AC2131" w:rsidP="00AC2131">
                  <w:pPr>
                    <w:pStyle w:val="TableBodyText"/>
                    <w:spacing w:after="0"/>
                    <w:ind w:left="0" w:right="57"/>
                    <w:rPr>
                      <w:b/>
                    </w:rPr>
                  </w:pPr>
                  <w:r w:rsidRPr="007E34F5">
                    <w:rPr>
                      <w:b/>
                    </w:rPr>
                    <w:t>2525.5</w:t>
                  </w:r>
                </w:p>
              </w:tc>
              <w:tc>
                <w:tcPr>
                  <w:tcW w:w="500" w:type="pct"/>
                  <w:shd w:val="clear" w:color="auto" w:fill="auto"/>
                  <w:vAlign w:val="bottom"/>
                </w:tcPr>
                <w:p w:rsidR="00AC2131" w:rsidRPr="007E34F5" w:rsidRDefault="00AC2131" w:rsidP="00AC2131">
                  <w:pPr>
                    <w:pStyle w:val="TableBodyText"/>
                    <w:spacing w:after="0"/>
                    <w:ind w:left="0" w:right="57"/>
                    <w:rPr>
                      <w:b/>
                    </w:rPr>
                  </w:pPr>
                  <w:r w:rsidRPr="007E34F5">
                    <w:rPr>
                      <w:b/>
                    </w:rPr>
                    <w:t>2760.7</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Electricity, gas, water &amp; waste services</w:t>
                  </w:r>
                </w:p>
              </w:tc>
              <w:tc>
                <w:tcPr>
                  <w:tcW w:w="501" w:type="pct"/>
                  <w:vAlign w:val="bottom"/>
                </w:tcPr>
                <w:p w:rsidR="00AC2131" w:rsidRPr="007E34F5" w:rsidRDefault="00AC2131" w:rsidP="00AC2131">
                  <w:pPr>
                    <w:pStyle w:val="TableBodyText"/>
                    <w:spacing w:after="0"/>
                    <w:ind w:left="0" w:right="57"/>
                  </w:pPr>
                  <w:r w:rsidRPr="007E34F5">
                    <w:t>16.7</w:t>
                  </w:r>
                </w:p>
              </w:tc>
              <w:tc>
                <w:tcPr>
                  <w:tcW w:w="501" w:type="pct"/>
                  <w:vAlign w:val="bottom"/>
                </w:tcPr>
                <w:p w:rsidR="00AC2131" w:rsidRPr="007E34F5" w:rsidRDefault="00AC2131" w:rsidP="00AC2131">
                  <w:pPr>
                    <w:pStyle w:val="TableBodyText"/>
                    <w:spacing w:after="0"/>
                    <w:ind w:left="0" w:right="57"/>
                  </w:pPr>
                  <w:r w:rsidRPr="007E34F5">
                    <w:t>54.5</w:t>
                  </w:r>
                </w:p>
              </w:tc>
              <w:tc>
                <w:tcPr>
                  <w:tcW w:w="501" w:type="pct"/>
                  <w:vAlign w:val="bottom"/>
                </w:tcPr>
                <w:p w:rsidR="00AC2131" w:rsidRPr="007E34F5" w:rsidRDefault="00AC2131" w:rsidP="00AC2131">
                  <w:pPr>
                    <w:pStyle w:val="TableBodyText"/>
                    <w:spacing w:after="0"/>
                    <w:ind w:left="0" w:right="57"/>
                  </w:pPr>
                  <w:r w:rsidRPr="007E34F5">
                    <w:t>388.6</w:t>
                  </w:r>
                </w:p>
              </w:tc>
              <w:tc>
                <w:tcPr>
                  <w:tcW w:w="499" w:type="pct"/>
                  <w:vAlign w:val="bottom"/>
                </w:tcPr>
                <w:p w:rsidR="00AC2131" w:rsidRPr="007E34F5" w:rsidRDefault="00AC2131" w:rsidP="00AC2131">
                  <w:pPr>
                    <w:pStyle w:val="TableBodyText"/>
                    <w:spacing w:after="0"/>
                    <w:ind w:left="0" w:right="57"/>
                  </w:pPr>
                  <w:r w:rsidRPr="007E34F5">
                    <w:t>33.9</w:t>
                  </w:r>
                </w:p>
              </w:tc>
              <w:tc>
                <w:tcPr>
                  <w:tcW w:w="499" w:type="pct"/>
                  <w:shd w:val="clear" w:color="auto" w:fill="auto"/>
                  <w:vAlign w:val="bottom"/>
                </w:tcPr>
                <w:p w:rsidR="00AC2131" w:rsidRPr="007E34F5" w:rsidRDefault="00AC2131" w:rsidP="00AC2131">
                  <w:pPr>
                    <w:pStyle w:val="TableBodyText"/>
                    <w:spacing w:after="0"/>
                    <w:ind w:left="0" w:right="57"/>
                  </w:pPr>
                  <w:r w:rsidRPr="007E34F5">
                    <w:t>31.0</w:t>
                  </w:r>
                </w:p>
              </w:tc>
              <w:tc>
                <w:tcPr>
                  <w:tcW w:w="500" w:type="pct"/>
                  <w:shd w:val="clear" w:color="auto" w:fill="auto"/>
                  <w:vAlign w:val="bottom"/>
                </w:tcPr>
                <w:p w:rsidR="00AC2131" w:rsidRPr="007E34F5" w:rsidRDefault="00AC2131" w:rsidP="00AC2131">
                  <w:pPr>
                    <w:pStyle w:val="TableBodyText"/>
                    <w:spacing w:after="0"/>
                    <w:ind w:left="0" w:right="57"/>
                  </w:pPr>
                  <w:r w:rsidRPr="007E34F5">
                    <w:t>29.3</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Construction</w:t>
                  </w:r>
                </w:p>
              </w:tc>
              <w:tc>
                <w:tcPr>
                  <w:tcW w:w="501" w:type="pct"/>
                  <w:vAlign w:val="bottom"/>
                </w:tcPr>
                <w:p w:rsidR="00AC2131" w:rsidRPr="007E34F5" w:rsidRDefault="00AC2131" w:rsidP="00AC2131">
                  <w:pPr>
                    <w:pStyle w:val="TableBodyText"/>
                    <w:spacing w:after="0"/>
                    <w:ind w:left="0" w:right="57"/>
                  </w:pPr>
                  <w:r w:rsidRPr="007E34F5">
                    <w:t>139.5</w:t>
                  </w:r>
                </w:p>
              </w:tc>
              <w:tc>
                <w:tcPr>
                  <w:tcW w:w="501" w:type="pct"/>
                  <w:vAlign w:val="bottom"/>
                </w:tcPr>
                <w:p w:rsidR="00AC2131" w:rsidRPr="007E34F5" w:rsidRDefault="00AC2131" w:rsidP="00AC2131">
                  <w:pPr>
                    <w:pStyle w:val="TableBodyText"/>
                    <w:spacing w:after="0"/>
                    <w:ind w:left="0" w:right="57"/>
                  </w:pPr>
                  <w:r w:rsidRPr="007E34F5">
                    <w:t>278.1</w:t>
                  </w:r>
                </w:p>
              </w:tc>
              <w:tc>
                <w:tcPr>
                  <w:tcW w:w="501" w:type="pct"/>
                  <w:vAlign w:val="bottom"/>
                </w:tcPr>
                <w:p w:rsidR="00AC2131" w:rsidRPr="007E34F5" w:rsidRDefault="00AC2131" w:rsidP="00AC2131">
                  <w:pPr>
                    <w:pStyle w:val="TableBodyText"/>
                    <w:spacing w:after="0"/>
                    <w:ind w:left="0" w:right="57"/>
                  </w:pPr>
                  <w:r w:rsidRPr="007E34F5">
                    <w:t>193.9</w:t>
                  </w:r>
                </w:p>
              </w:tc>
              <w:tc>
                <w:tcPr>
                  <w:tcW w:w="499" w:type="pct"/>
                  <w:vAlign w:val="bottom"/>
                </w:tcPr>
                <w:p w:rsidR="00AC2131" w:rsidRPr="007E34F5" w:rsidRDefault="00AC2131" w:rsidP="00AC2131">
                  <w:pPr>
                    <w:pStyle w:val="TableBodyText"/>
                    <w:spacing w:after="0"/>
                    <w:ind w:left="0" w:right="57"/>
                  </w:pPr>
                  <w:r w:rsidRPr="007E34F5">
                    <w:t>192.1</w:t>
                  </w:r>
                </w:p>
              </w:tc>
              <w:tc>
                <w:tcPr>
                  <w:tcW w:w="499" w:type="pct"/>
                  <w:shd w:val="clear" w:color="auto" w:fill="auto"/>
                  <w:vAlign w:val="bottom"/>
                </w:tcPr>
                <w:p w:rsidR="00AC2131" w:rsidRPr="007E34F5" w:rsidRDefault="00AC2131" w:rsidP="00AC2131">
                  <w:pPr>
                    <w:pStyle w:val="TableBodyText"/>
                    <w:spacing w:after="0"/>
                    <w:ind w:left="0" w:right="57"/>
                  </w:pPr>
                  <w:r w:rsidRPr="007E34F5">
                    <w:t>135.0</w:t>
                  </w:r>
                </w:p>
              </w:tc>
              <w:tc>
                <w:tcPr>
                  <w:tcW w:w="500" w:type="pct"/>
                  <w:shd w:val="clear" w:color="auto" w:fill="auto"/>
                  <w:vAlign w:val="bottom"/>
                </w:tcPr>
                <w:p w:rsidR="00AC2131" w:rsidRPr="007E34F5" w:rsidRDefault="00AC2131" w:rsidP="00AC2131">
                  <w:pPr>
                    <w:pStyle w:val="TableBodyText"/>
                    <w:spacing w:after="0"/>
                    <w:ind w:left="0" w:right="57"/>
                  </w:pPr>
                  <w:r w:rsidRPr="007E34F5">
                    <w:t>311.3</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Wholesale trade</w:t>
                  </w:r>
                </w:p>
              </w:tc>
              <w:tc>
                <w:tcPr>
                  <w:tcW w:w="501" w:type="pct"/>
                  <w:vAlign w:val="bottom"/>
                </w:tcPr>
                <w:p w:rsidR="00AC2131" w:rsidRPr="007E34F5" w:rsidRDefault="00AC2131" w:rsidP="00AC2131">
                  <w:pPr>
                    <w:pStyle w:val="TableBodyText"/>
                    <w:spacing w:after="0"/>
                    <w:ind w:left="0" w:right="57"/>
                  </w:pPr>
                  <w:r w:rsidRPr="007E34F5">
                    <w:t>141.0</w:t>
                  </w:r>
                </w:p>
              </w:tc>
              <w:tc>
                <w:tcPr>
                  <w:tcW w:w="501" w:type="pct"/>
                  <w:vAlign w:val="bottom"/>
                </w:tcPr>
                <w:p w:rsidR="00AC2131" w:rsidRPr="007E34F5" w:rsidRDefault="00AC2131" w:rsidP="00AC2131">
                  <w:pPr>
                    <w:pStyle w:val="TableBodyText"/>
                    <w:spacing w:after="0"/>
                    <w:ind w:left="0" w:right="57"/>
                  </w:pPr>
                  <w:r w:rsidRPr="007E34F5">
                    <w:t>270.0</w:t>
                  </w:r>
                </w:p>
              </w:tc>
              <w:tc>
                <w:tcPr>
                  <w:tcW w:w="501" w:type="pct"/>
                  <w:vAlign w:val="bottom"/>
                </w:tcPr>
                <w:p w:rsidR="00AC2131" w:rsidRPr="007E34F5" w:rsidRDefault="00AC2131" w:rsidP="00AC2131">
                  <w:pPr>
                    <w:pStyle w:val="TableBodyText"/>
                    <w:spacing w:after="0"/>
                    <w:ind w:left="0" w:right="57"/>
                  </w:pPr>
                  <w:r w:rsidRPr="007E34F5">
                    <w:t>404.1</w:t>
                  </w:r>
                </w:p>
              </w:tc>
              <w:tc>
                <w:tcPr>
                  <w:tcW w:w="499" w:type="pct"/>
                  <w:vAlign w:val="bottom"/>
                </w:tcPr>
                <w:p w:rsidR="00AC2131" w:rsidRPr="007E34F5" w:rsidRDefault="00AC2131" w:rsidP="00AC2131">
                  <w:pPr>
                    <w:pStyle w:val="TableBodyText"/>
                    <w:spacing w:after="0"/>
                    <w:ind w:left="0" w:right="57"/>
                  </w:pPr>
                  <w:r w:rsidRPr="007E34F5">
                    <w:t>246.8</w:t>
                  </w:r>
                </w:p>
              </w:tc>
              <w:tc>
                <w:tcPr>
                  <w:tcW w:w="499" w:type="pct"/>
                  <w:shd w:val="clear" w:color="auto" w:fill="auto"/>
                  <w:vAlign w:val="bottom"/>
                </w:tcPr>
                <w:p w:rsidR="00AC2131" w:rsidRPr="007E34F5" w:rsidRDefault="00AC2131" w:rsidP="00AC2131">
                  <w:pPr>
                    <w:pStyle w:val="TableBodyText"/>
                    <w:spacing w:after="0"/>
                    <w:ind w:left="0" w:right="57"/>
                  </w:pPr>
                  <w:r w:rsidRPr="007E34F5">
                    <w:t>180.8</w:t>
                  </w:r>
                </w:p>
              </w:tc>
              <w:tc>
                <w:tcPr>
                  <w:tcW w:w="500" w:type="pct"/>
                  <w:shd w:val="clear" w:color="auto" w:fill="auto"/>
                  <w:vAlign w:val="bottom"/>
                </w:tcPr>
                <w:p w:rsidR="00AC2131" w:rsidRPr="007E34F5" w:rsidRDefault="00AC2131" w:rsidP="00AC2131">
                  <w:pPr>
                    <w:pStyle w:val="TableBodyText"/>
                    <w:spacing w:after="0"/>
                    <w:ind w:left="0" w:right="57"/>
                  </w:pPr>
                  <w:r w:rsidRPr="007E34F5">
                    <w:t>113.7</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Retail trade</w:t>
                  </w:r>
                </w:p>
              </w:tc>
              <w:tc>
                <w:tcPr>
                  <w:tcW w:w="501" w:type="pct"/>
                  <w:vAlign w:val="bottom"/>
                </w:tcPr>
                <w:p w:rsidR="00AC2131" w:rsidRPr="007E34F5" w:rsidRDefault="00AC2131" w:rsidP="00AC2131">
                  <w:pPr>
                    <w:pStyle w:val="TableBodyText"/>
                    <w:spacing w:after="0"/>
                    <w:ind w:left="0" w:right="57"/>
                  </w:pPr>
                  <w:r w:rsidRPr="007E34F5">
                    <w:t>137.7</w:t>
                  </w:r>
                </w:p>
              </w:tc>
              <w:tc>
                <w:tcPr>
                  <w:tcW w:w="501" w:type="pct"/>
                  <w:vAlign w:val="bottom"/>
                </w:tcPr>
                <w:p w:rsidR="00AC2131" w:rsidRPr="007E34F5" w:rsidRDefault="00AC2131" w:rsidP="00AC2131">
                  <w:pPr>
                    <w:pStyle w:val="TableBodyText"/>
                    <w:spacing w:after="0"/>
                    <w:ind w:left="0" w:right="57"/>
                  </w:pPr>
                  <w:r w:rsidRPr="007E34F5">
                    <w:t>180.6</w:t>
                  </w:r>
                </w:p>
              </w:tc>
              <w:tc>
                <w:tcPr>
                  <w:tcW w:w="501" w:type="pct"/>
                  <w:vAlign w:val="bottom"/>
                </w:tcPr>
                <w:p w:rsidR="00AC2131" w:rsidRPr="007E34F5" w:rsidRDefault="00AC2131" w:rsidP="00AC2131">
                  <w:pPr>
                    <w:pStyle w:val="TableBodyText"/>
                    <w:spacing w:after="0"/>
                    <w:ind w:left="0" w:right="57"/>
                  </w:pPr>
                  <w:r w:rsidRPr="007E34F5">
                    <w:t>144.8</w:t>
                  </w:r>
                </w:p>
              </w:tc>
              <w:tc>
                <w:tcPr>
                  <w:tcW w:w="499" w:type="pct"/>
                  <w:vAlign w:val="bottom"/>
                </w:tcPr>
                <w:p w:rsidR="00AC2131" w:rsidRPr="007E34F5" w:rsidRDefault="00AC2131" w:rsidP="00AC2131">
                  <w:pPr>
                    <w:pStyle w:val="TableBodyText"/>
                    <w:spacing w:after="0"/>
                    <w:ind w:left="0" w:right="57"/>
                  </w:pPr>
                  <w:r w:rsidRPr="007E34F5">
                    <w:t>104.0</w:t>
                  </w:r>
                </w:p>
              </w:tc>
              <w:tc>
                <w:tcPr>
                  <w:tcW w:w="499" w:type="pct"/>
                  <w:shd w:val="clear" w:color="auto" w:fill="auto"/>
                  <w:vAlign w:val="bottom"/>
                </w:tcPr>
                <w:p w:rsidR="00AC2131" w:rsidRPr="007E34F5" w:rsidRDefault="00AC2131" w:rsidP="00AC2131">
                  <w:pPr>
                    <w:pStyle w:val="TableBodyText"/>
                    <w:spacing w:after="0"/>
                    <w:ind w:left="0" w:right="57"/>
                  </w:pPr>
                  <w:r w:rsidRPr="007E34F5">
                    <w:t>91.2</w:t>
                  </w:r>
                </w:p>
              </w:tc>
              <w:tc>
                <w:tcPr>
                  <w:tcW w:w="500" w:type="pct"/>
                  <w:shd w:val="clear" w:color="auto" w:fill="auto"/>
                  <w:vAlign w:val="bottom"/>
                </w:tcPr>
                <w:p w:rsidR="00AC2131" w:rsidRPr="007E34F5" w:rsidRDefault="00AC2131" w:rsidP="00AC2131">
                  <w:pPr>
                    <w:pStyle w:val="TableBodyText"/>
                    <w:spacing w:after="0"/>
                    <w:ind w:left="0" w:right="57"/>
                  </w:pPr>
                  <w:r w:rsidRPr="007E34F5">
                    <w:t>150.4</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Accommodation &amp; food services</w:t>
                  </w:r>
                </w:p>
              </w:tc>
              <w:tc>
                <w:tcPr>
                  <w:tcW w:w="501" w:type="pct"/>
                  <w:vAlign w:val="bottom"/>
                </w:tcPr>
                <w:p w:rsidR="00AC2131" w:rsidRPr="007E34F5" w:rsidRDefault="00AC2131" w:rsidP="00AC2131">
                  <w:pPr>
                    <w:pStyle w:val="TableBodyText"/>
                    <w:spacing w:after="0"/>
                    <w:ind w:left="0" w:right="57"/>
                  </w:pPr>
                  <w:r w:rsidRPr="007E34F5">
                    <w:t>73.2</w:t>
                  </w:r>
                </w:p>
              </w:tc>
              <w:tc>
                <w:tcPr>
                  <w:tcW w:w="501" w:type="pct"/>
                  <w:vAlign w:val="bottom"/>
                </w:tcPr>
                <w:p w:rsidR="00AC2131" w:rsidRPr="007E34F5" w:rsidRDefault="00AC2131" w:rsidP="00AC2131">
                  <w:pPr>
                    <w:pStyle w:val="TableBodyText"/>
                    <w:spacing w:after="0"/>
                    <w:ind w:left="0" w:right="57"/>
                  </w:pPr>
                  <w:r w:rsidRPr="007E34F5">
                    <w:t>77.8</w:t>
                  </w:r>
                </w:p>
              </w:tc>
              <w:tc>
                <w:tcPr>
                  <w:tcW w:w="501" w:type="pct"/>
                  <w:vAlign w:val="bottom"/>
                </w:tcPr>
                <w:p w:rsidR="00AC2131" w:rsidRPr="007E34F5" w:rsidRDefault="00AC2131" w:rsidP="00AC2131">
                  <w:pPr>
                    <w:pStyle w:val="TableBodyText"/>
                    <w:spacing w:after="0"/>
                    <w:ind w:left="0" w:right="57"/>
                  </w:pPr>
                  <w:r w:rsidRPr="007E34F5">
                    <w:t>65.7</w:t>
                  </w:r>
                </w:p>
              </w:tc>
              <w:tc>
                <w:tcPr>
                  <w:tcW w:w="499" w:type="pct"/>
                  <w:vAlign w:val="bottom"/>
                </w:tcPr>
                <w:p w:rsidR="00AC2131" w:rsidRPr="007E34F5" w:rsidRDefault="00AC2131" w:rsidP="00AC2131">
                  <w:pPr>
                    <w:pStyle w:val="TableBodyText"/>
                    <w:spacing w:after="0"/>
                    <w:ind w:left="0" w:right="57"/>
                  </w:pPr>
                  <w:r w:rsidRPr="007E34F5">
                    <w:t>63.1</w:t>
                  </w:r>
                </w:p>
              </w:tc>
              <w:tc>
                <w:tcPr>
                  <w:tcW w:w="499" w:type="pct"/>
                  <w:shd w:val="clear" w:color="auto" w:fill="auto"/>
                  <w:vAlign w:val="bottom"/>
                </w:tcPr>
                <w:p w:rsidR="00AC2131" w:rsidRPr="007E34F5" w:rsidRDefault="00AC2131" w:rsidP="00AC2131">
                  <w:pPr>
                    <w:pStyle w:val="TableBodyText"/>
                    <w:spacing w:after="0"/>
                    <w:ind w:left="0" w:right="57"/>
                  </w:pPr>
                  <w:r w:rsidRPr="007E34F5">
                    <w:t>61.1</w:t>
                  </w:r>
                </w:p>
              </w:tc>
              <w:tc>
                <w:tcPr>
                  <w:tcW w:w="500" w:type="pct"/>
                  <w:shd w:val="clear" w:color="auto" w:fill="auto"/>
                  <w:vAlign w:val="bottom"/>
                </w:tcPr>
                <w:p w:rsidR="00AC2131" w:rsidRPr="007E34F5" w:rsidRDefault="00AC2131" w:rsidP="00AC2131">
                  <w:pPr>
                    <w:pStyle w:val="TableBodyText"/>
                    <w:spacing w:after="0"/>
                    <w:ind w:left="0" w:right="57"/>
                  </w:pPr>
                  <w:r w:rsidRPr="007E34F5">
                    <w:t>119.5</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Transport, postal &amp; warehousing</w:t>
                  </w:r>
                </w:p>
              </w:tc>
              <w:tc>
                <w:tcPr>
                  <w:tcW w:w="501" w:type="pct"/>
                  <w:vAlign w:val="bottom"/>
                </w:tcPr>
                <w:p w:rsidR="00AC2131" w:rsidRPr="007E34F5" w:rsidRDefault="00AC2131" w:rsidP="00AC2131">
                  <w:pPr>
                    <w:pStyle w:val="TableBodyText"/>
                    <w:spacing w:after="0"/>
                    <w:ind w:left="0" w:right="57"/>
                  </w:pPr>
                  <w:r w:rsidRPr="007E34F5">
                    <w:t>74.9</w:t>
                  </w:r>
                </w:p>
              </w:tc>
              <w:tc>
                <w:tcPr>
                  <w:tcW w:w="501" w:type="pct"/>
                  <w:vAlign w:val="bottom"/>
                </w:tcPr>
                <w:p w:rsidR="00AC2131" w:rsidRPr="007E34F5" w:rsidRDefault="00AC2131" w:rsidP="00AC2131">
                  <w:pPr>
                    <w:pStyle w:val="TableBodyText"/>
                    <w:spacing w:after="0"/>
                    <w:ind w:left="0" w:right="57"/>
                  </w:pPr>
                  <w:r w:rsidRPr="007E34F5">
                    <w:t>219.3</w:t>
                  </w:r>
                </w:p>
              </w:tc>
              <w:tc>
                <w:tcPr>
                  <w:tcW w:w="501" w:type="pct"/>
                  <w:vAlign w:val="bottom"/>
                </w:tcPr>
                <w:p w:rsidR="00AC2131" w:rsidRPr="007E34F5" w:rsidRDefault="00AC2131" w:rsidP="00AC2131">
                  <w:pPr>
                    <w:pStyle w:val="TableBodyText"/>
                    <w:spacing w:after="0"/>
                    <w:ind w:left="0" w:right="57"/>
                  </w:pPr>
                  <w:r w:rsidRPr="007E34F5">
                    <w:t>214.2</w:t>
                  </w:r>
                </w:p>
              </w:tc>
              <w:tc>
                <w:tcPr>
                  <w:tcW w:w="499" w:type="pct"/>
                  <w:vAlign w:val="bottom"/>
                </w:tcPr>
                <w:p w:rsidR="00AC2131" w:rsidRPr="007E34F5" w:rsidRDefault="00AC2131" w:rsidP="00AC2131">
                  <w:pPr>
                    <w:pStyle w:val="TableBodyText"/>
                    <w:spacing w:after="0"/>
                    <w:ind w:left="0" w:right="57"/>
                  </w:pPr>
                  <w:r w:rsidRPr="007E34F5">
                    <w:t>187.7</w:t>
                  </w:r>
                </w:p>
              </w:tc>
              <w:tc>
                <w:tcPr>
                  <w:tcW w:w="499" w:type="pct"/>
                  <w:shd w:val="clear" w:color="auto" w:fill="auto"/>
                  <w:vAlign w:val="bottom"/>
                </w:tcPr>
                <w:p w:rsidR="00AC2131" w:rsidRPr="007E34F5" w:rsidRDefault="00AC2131" w:rsidP="00AC2131">
                  <w:pPr>
                    <w:pStyle w:val="TableBodyText"/>
                    <w:spacing w:after="0"/>
                    <w:ind w:left="0" w:right="57"/>
                  </w:pPr>
                  <w:r w:rsidRPr="007E34F5">
                    <w:t>128.8</w:t>
                  </w:r>
                </w:p>
              </w:tc>
              <w:tc>
                <w:tcPr>
                  <w:tcW w:w="500" w:type="pct"/>
                  <w:shd w:val="clear" w:color="auto" w:fill="auto"/>
                  <w:vAlign w:val="bottom"/>
                </w:tcPr>
                <w:p w:rsidR="00AC2131" w:rsidRPr="007E34F5" w:rsidRDefault="00AC2131" w:rsidP="00AC2131">
                  <w:pPr>
                    <w:pStyle w:val="TableBodyText"/>
                    <w:spacing w:after="0"/>
                    <w:ind w:left="0" w:right="57"/>
                  </w:pPr>
                  <w:r w:rsidRPr="007E34F5">
                    <w:t>135.9</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Information &amp; telecommunications</w:t>
                  </w:r>
                </w:p>
              </w:tc>
              <w:tc>
                <w:tcPr>
                  <w:tcW w:w="501" w:type="pct"/>
                  <w:vAlign w:val="bottom"/>
                </w:tcPr>
                <w:p w:rsidR="00AC2131" w:rsidRPr="007E34F5" w:rsidRDefault="00AC2131" w:rsidP="00AC2131">
                  <w:pPr>
                    <w:pStyle w:val="TableBodyText"/>
                    <w:spacing w:after="0"/>
                    <w:ind w:left="0" w:right="57"/>
                  </w:pPr>
                  <w:r w:rsidRPr="007E34F5">
                    <w:t>28.9</w:t>
                  </w:r>
                </w:p>
              </w:tc>
              <w:tc>
                <w:tcPr>
                  <w:tcW w:w="501" w:type="pct"/>
                  <w:vAlign w:val="bottom"/>
                </w:tcPr>
                <w:p w:rsidR="00AC2131" w:rsidRPr="007E34F5" w:rsidRDefault="00AC2131" w:rsidP="00AC2131">
                  <w:pPr>
                    <w:pStyle w:val="TableBodyText"/>
                    <w:spacing w:after="0"/>
                    <w:ind w:left="0" w:right="57"/>
                  </w:pPr>
                  <w:r w:rsidRPr="007E34F5">
                    <w:t>98.0</w:t>
                  </w:r>
                </w:p>
              </w:tc>
              <w:tc>
                <w:tcPr>
                  <w:tcW w:w="501" w:type="pct"/>
                  <w:vAlign w:val="bottom"/>
                </w:tcPr>
                <w:p w:rsidR="00AC2131" w:rsidRPr="007E34F5" w:rsidRDefault="00AC2131" w:rsidP="00AC2131">
                  <w:pPr>
                    <w:pStyle w:val="TableBodyText"/>
                    <w:spacing w:after="0"/>
                    <w:ind w:left="0" w:right="57"/>
                  </w:pPr>
                  <w:r w:rsidRPr="007E34F5">
                    <w:t>166.3</w:t>
                  </w:r>
                </w:p>
              </w:tc>
              <w:tc>
                <w:tcPr>
                  <w:tcW w:w="499" w:type="pct"/>
                  <w:vAlign w:val="bottom"/>
                </w:tcPr>
                <w:p w:rsidR="00AC2131" w:rsidRPr="007E34F5" w:rsidRDefault="00AC2131" w:rsidP="00AC2131">
                  <w:pPr>
                    <w:pStyle w:val="TableBodyText"/>
                    <w:spacing w:after="0"/>
                    <w:ind w:left="0" w:right="57"/>
                  </w:pPr>
                  <w:r w:rsidRPr="007E34F5">
                    <w:t>205.5</w:t>
                  </w:r>
                </w:p>
              </w:tc>
              <w:tc>
                <w:tcPr>
                  <w:tcW w:w="499" w:type="pct"/>
                  <w:shd w:val="clear" w:color="auto" w:fill="auto"/>
                  <w:vAlign w:val="bottom"/>
                </w:tcPr>
                <w:p w:rsidR="00AC2131" w:rsidRPr="007E34F5" w:rsidRDefault="00AC2131" w:rsidP="00AC2131">
                  <w:pPr>
                    <w:pStyle w:val="TableBodyText"/>
                    <w:spacing w:after="0"/>
                    <w:ind w:left="0" w:right="57"/>
                  </w:pPr>
                  <w:r w:rsidRPr="007E34F5">
                    <w:t>247.3</w:t>
                  </w:r>
                </w:p>
              </w:tc>
              <w:tc>
                <w:tcPr>
                  <w:tcW w:w="500" w:type="pct"/>
                  <w:shd w:val="clear" w:color="auto" w:fill="auto"/>
                  <w:vAlign w:val="bottom"/>
                </w:tcPr>
                <w:p w:rsidR="00AC2131" w:rsidRPr="007E34F5" w:rsidRDefault="00AC2131" w:rsidP="00AC2131">
                  <w:pPr>
                    <w:pStyle w:val="TableBodyText"/>
                    <w:spacing w:after="0"/>
                    <w:ind w:left="0" w:right="57"/>
                  </w:pPr>
                  <w:r w:rsidRPr="007E34F5">
                    <w:t>25.7</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Financial and insurance services</w:t>
                  </w:r>
                </w:p>
              </w:tc>
              <w:tc>
                <w:tcPr>
                  <w:tcW w:w="501" w:type="pct"/>
                  <w:vAlign w:val="bottom"/>
                </w:tcPr>
                <w:p w:rsidR="00AC2131" w:rsidRPr="007E34F5" w:rsidRDefault="00AC2131" w:rsidP="00AC2131">
                  <w:pPr>
                    <w:pStyle w:val="TableBodyText"/>
                    <w:spacing w:after="0"/>
                    <w:ind w:left="0" w:right="57"/>
                  </w:pPr>
                  <w:r w:rsidRPr="007E34F5">
                    <w:t>873.7</w:t>
                  </w:r>
                </w:p>
              </w:tc>
              <w:tc>
                <w:tcPr>
                  <w:tcW w:w="501" w:type="pct"/>
                  <w:vAlign w:val="bottom"/>
                </w:tcPr>
                <w:p w:rsidR="00AC2131" w:rsidRPr="007E34F5" w:rsidRDefault="00AC2131" w:rsidP="00AC2131">
                  <w:pPr>
                    <w:pStyle w:val="TableBodyText"/>
                    <w:spacing w:after="0"/>
                    <w:ind w:left="0" w:right="57"/>
                  </w:pPr>
                  <w:r w:rsidRPr="007E34F5">
                    <w:t>941.4</w:t>
                  </w:r>
                </w:p>
              </w:tc>
              <w:tc>
                <w:tcPr>
                  <w:tcW w:w="501" w:type="pct"/>
                  <w:vAlign w:val="bottom"/>
                </w:tcPr>
                <w:p w:rsidR="00AC2131" w:rsidRPr="007E34F5" w:rsidRDefault="00AC2131" w:rsidP="00AC2131">
                  <w:pPr>
                    <w:pStyle w:val="TableBodyText"/>
                    <w:spacing w:after="0"/>
                    <w:ind w:left="0" w:right="57"/>
                  </w:pPr>
                  <w:r w:rsidRPr="007E34F5">
                    <w:t>780.9</w:t>
                  </w:r>
                </w:p>
              </w:tc>
              <w:tc>
                <w:tcPr>
                  <w:tcW w:w="499" w:type="pct"/>
                  <w:vAlign w:val="bottom"/>
                </w:tcPr>
                <w:p w:rsidR="00AC2131" w:rsidRPr="007E34F5" w:rsidRDefault="00AC2131" w:rsidP="00AC2131">
                  <w:pPr>
                    <w:pStyle w:val="TableBodyText"/>
                    <w:spacing w:after="0"/>
                    <w:ind w:left="0" w:right="57"/>
                  </w:pPr>
                  <w:r w:rsidRPr="007E34F5">
                    <w:t>898.9</w:t>
                  </w:r>
                </w:p>
              </w:tc>
              <w:tc>
                <w:tcPr>
                  <w:tcW w:w="499" w:type="pct"/>
                  <w:shd w:val="clear" w:color="auto" w:fill="auto"/>
                  <w:vAlign w:val="bottom"/>
                </w:tcPr>
                <w:p w:rsidR="00AC2131" w:rsidRPr="007E34F5" w:rsidRDefault="00AC2131" w:rsidP="00AC2131">
                  <w:pPr>
                    <w:pStyle w:val="TableBodyText"/>
                    <w:spacing w:after="0"/>
                    <w:ind w:left="0" w:right="57"/>
                  </w:pPr>
                  <w:r w:rsidRPr="007E34F5">
                    <w:t>802.9</w:t>
                  </w:r>
                </w:p>
              </w:tc>
              <w:tc>
                <w:tcPr>
                  <w:tcW w:w="500" w:type="pct"/>
                  <w:shd w:val="clear" w:color="auto" w:fill="auto"/>
                  <w:vAlign w:val="bottom"/>
                </w:tcPr>
                <w:p w:rsidR="00AC2131" w:rsidRPr="007E34F5" w:rsidRDefault="00AC2131" w:rsidP="00AC2131">
                  <w:pPr>
                    <w:pStyle w:val="TableBodyText"/>
                    <w:spacing w:after="0"/>
                    <w:ind w:left="0" w:right="57"/>
                  </w:pPr>
                  <w:r w:rsidRPr="007E34F5">
                    <w:t>767.9</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Property, professional &amp; admin.</w:t>
                  </w:r>
                </w:p>
              </w:tc>
              <w:tc>
                <w:tcPr>
                  <w:tcW w:w="501" w:type="pct"/>
                  <w:vAlign w:val="bottom"/>
                </w:tcPr>
                <w:p w:rsidR="00AC2131" w:rsidRPr="007E34F5" w:rsidRDefault="00AC2131" w:rsidP="00AC2131">
                  <w:pPr>
                    <w:pStyle w:val="TableBodyText"/>
                    <w:spacing w:after="0"/>
                    <w:ind w:left="0" w:right="57"/>
                  </w:pPr>
                  <w:r w:rsidRPr="007E34F5">
                    <w:t>500.6</w:t>
                  </w:r>
                </w:p>
              </w:tc>
              <w:tc>
                <w:tcPr>
                  <w:tcW w:w="501" w:type="pct"/>
                  <w:vAlign w:val="bottom"/>
                </w:tcPr>
                <w:p w:rsidR="00AC2131" w:rsidRPr="007E34F5" w:rsidRDefault="00AC2131" w:rsidP="00AC2131">
                  <w:pPr>
                    <w:pStyle w:val="TableBodyText"/>
                    <w:spacing w:after="0"/>
                    <w:ind w:left="0" w:right="57"/>
                  </w:pPr>
                  <w:r w:rsidRPr="007E34F5">
                    <w:t>722.6</w:t>
                  </w:r>
                </w:p>
              </w:tc>
              <w:tc>
                <w:tcPr>
                  <w:tcW w:w="501" w:type="pct"/>
                  <w:vAlign w:val="bottom"/>
                </w:tcPr>
                <w:p w:rsidR="00AC2131" w:rsidRPr="007E34F5" w:rsidRDefault="00AC2131" w:rsidP="00AC2131">
                  <w:pPr>
                    <w:pStyle w:val="TableBodyText"/>
                    <w:spacing w:after="0"/>
                    <w:ind w:left="0" w:right="57"/>
                  </w:pPr>
                  <w:r w:rsidRPr="007E34F5">
                    <w:t>634.1</w:t>
                  </w:r>
                </w:p>
              </w:tc>
              <w:tc>
                <w:tcPr>
                  <w:tcW w:w="499" w:type="pct"/>
                  <w:vAlign w:val="bottom"/>
                </w:tcPr>
                <w:p w:rsidR="00AC2131" w:rsidRPr="007E34F5" w:rsidRDefault="00AC2131" w:rsidP="00AC2131">
                  <w:pPr>
                    <w:pStyle w:val="TableBodyText"/>
                    <w:spacing w:after="0"/>
                    <w:ind w:left="0" w:right="57"/>
                  </w:pPr>
                  <w:r w:rsidRPr="007E34F5">
                    <w:t>530.0</w:t>
                  </w:r>
                </w:p>
              </w:tc>
              <w:tc>
                <w:tcPr>
                  <w:tcW w:w="499" w:type="pct"/>
                  <w:shd w:val="clear" w:color="auto" w:fill="auto"/>
                  <w:vAlign w:val="bottom"/>
                </w:tcPr>
                <w:p w:rsidR="00AC2131" w:rsidRPr="007E34F5" w:rsidRDefault="00AC2131" w:rsidP="00AC2131">
                  <w:pPr>
                    <w:pStyle w:val="TableBodyText"/>
                    <w:spacing w:after="0"/>
                    <w:ind w:left="0" w:right="57"/>
                  </w:pPr>
                  <w:r w:rsidRPr="007E34F5">
                    <w:t>441.0</w:t>
                  </w:r>
                </w:p>
              </w:tc>
              <w:tc>
                <w:tcPr>
                  <w:tcW w:w="500" w:type="pct"/>
                  <w:shd w:val="clear" w:color="auto" w:fill="auto"/>
                  <w:vAlign w:val="bottom"/>
                </w:tcPr>
                <w:p w:rsidR="00AC2131" w:rsidRPr="007E34F5" w:rsidRDefault="00AC2131" w:rsidP="00AC2131">
                  <w:pPr>
                    <w:pStyle w:val="TableBodyText"/>
                    <w:spacing w:after="0"/>
                    <w:ind w:left="0" w:right="57"/>
                  </w:pPr>
                  <w:r w:rsidRPr="007E34F5">
                    <w:t>549.0</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Public administration and safety</w:t>
                  </w:r>
                </w:p>
              </w:tc>
              <w:tc>
                <w:tcPr>
                  <w:tcW w:w="501" w:type="pct"/>
                  <w:vAlign w:val="bottom"/>
                </w:tcPr>
                <w:p w:rsidR="00AC2131" w:rsidRPr="007E34F5" w:rsidRDefault="00AC2131" w:rsidP="00AC2131">
                  <w:pPr>
                    <w:pStyle w:val="TableBodyText"/>
                    <w:spacing w:after="0"/>
                    <w:ind w:left="0" w:right="57"/>
                  </w:pPr>
                  <w:r w:rsidRPr="007E34F5">
                    <w:t>5.6</w:t>
                  </w:r>
                </w:p>
              </w:tc>
              <w:tc>
                <w:tcPr>
                  <w:tcW w:w="501" w:type="pct"/>
                  <w:vAlign w:val="bottom"/>
                </w:tcPr>
                <w:p w:rsidR="00AC2131" w:rsidRPr="007E34F5" w:rsidRDefault="00AC2131" w:rsidP="00AC2131">
                  <w:pPr>
                    <w:pStyle w:val="TableBodyText"/>
                    <w:spacing w:after="0"/>
                    <w:ind w:left="0" w:right="57"/>
                  </w:pPr>
                  <w:r w:rsidRPr="007E34F5">
                    <w:t>8.4</w:t>
                  </w:r>
                </w:p>
              </w:tc>
              <w:tc>
                <w:tcPr>
                  <w:tcW w:w="501" w:type="pct"/>
                  <w:vAlign w:val="bottom"/>
                </w:tcPr>
                <w:p w:rsidR="00AC2131" w:rsidRPr="007E34F5" w:rsidRDefault="00AC2131" w:rsidP="00AC2131">
                  <w:pPr>
                    <w:pStyle w:val="TableBodyText"/>
                    <w:spacing w:after="0"/>
                    <w:ind w:left="0" w:right="57"/>
                  </w:pPr>
                  <w:r w:rsidRPr="007E34F5">
                    <w:t>7.4</w:t>
                  </w:r>
                </w:p>
              </w:tc>
              <w:tc>
                <w:tcPr>
                  <w:tcW w:w="499" w:type="pct"/>
                  <w:vAlign w:val="bottom"/>
                </w:tcPr>
                <w:p w:rsidR="00AC2131" w:rsidRPr="007E34F5" w:rsidRDefault="00AC2131" w:rsidP="00AC2131">
                  <w:pPr>
                    <w:pStyle w:val="TableBodyText"/>
                    <w:spacing w:after="0"/>
                    <w:ind w:left="0" w:right="57"/>
                  </w:pPr>
                  <w:r w:rsidRPr="007E34F5">
                    <w:t>5.2</w:t>
                  </w:r>
                </w:p>
              </w:tc>
              <w:tc>
                <w:tcPr>
                  <w:tcW w:w="499" w:type="pct"/>
                  <w:shd w:val="clear" w:color="auto" w:fill="auto"/>
                  <w:vAlign w:val="bottom"/>
                </w:tcPr>
                <w:p w:rsidR="00AC2131" w:rsidRPr="007E34F5" w:rsidRDefault="00AC2131" w:rsidP="00AC2131">
                  <w:pPr>
                    <w:pStyle w:val="TableBodyText"/>
                    <w:spacing w:after="0"/>
                    <w:ind w:left="0" w:right="57"/>
                  </w:pPr>
                  <w:r w:rsidRPr="007E34F5">
                    <w:t>6.8</w:t>
                  </w:r>
                </w:p>
              </w:tc>
              <w:tc>
                <w:tcPr>
                  <w:tcW w:w="500" w:type="pct"/>
                  <w:shd w:val="clear" w:color="auto" w:fill="auto"/>
                  <w:vAlign w:val="bottom"/>
                </w:tcPr>
                <w:p w:rsidR="00AC2131" w:rsidRPr="007E34F5" w:rsidRDefault="00AC2131" w:rsidP="00AC2131">
                  <w:pPr>
                    <w:pStyle w:val="TableBodyText"/>
                    <w:spacing w:after="0"/>
                    <w:ind w:left="0" w:right="57"/>
                  </w:pPr>
                  <w:r w:rsidRPr="007E34F5">
                    <w:t>7.2</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Education and training</w:t>
                  </w:r>
                </w:p>
              </w:tc>
              <w:tc>
                <w:tcPr>
                  <w:tcW w:w="501" w:type="pct"/>
                  <w:vAlign w:val="bottom"/>
                </w:tcPr>
                <w:p w:rsidR="00AC2131" w:rsidRPr="007E34F5" w:rsidRDefault="00AC2131" w:rsidP="00AC2131">
                  <w:pPr>
                    <w:pStyle w:val="TableBodyText"/>
                    <w:spacing w:after="0"/>
                    <w:ind w:left="0" w:right="57"/>
                  </w:pPr>
                  <w:r w:rsidRPr="007E34F5">
                    <w:t>16.3</w:t>
                  </w:r>
                </w:p>
              </w:tc>
              <w:tc>
                <w:tcPr>
                  <w:tcW w:w="501" w:type="pct"/>
                  <w:vAlign w:val="bottom"/>
                </w:tcPr>
                <w:p w:rsidR="00AC2131" w:rsidRPr="007E34F5" w:rsidRDefault="00AC2131" w:rsidP="00AC2131">
                  <w:pPr>
                    <w:pStyle w:val="TableBodyText"/>
                    <w:spacing w:after="0"/>
                    <w:ind w:left="0" w:right="57"/>
                  </w:pPr>
                  <w:r w:rsidRPr="007E34F5">
                    <w:t>19.1</w:t>
                  </w:r>
                </w:p>
              </w:tc>
              <w:tc>
                <w:tcPr>
                  <w:tcW w:w="501" w:type="pct"/>
                  <w:vAlign w:val="bottom"/>
                </w:tcPr>
                <w:p w:rsidR="00AC2131" w:rsidRPr="007E34F5" w:rsidRDefault="00AC2131" w:rsidP="00AC2131">
                  <w:pPr>
                    <w:pStyle w:val="TableBodyText"/>
                    <w:spacing w:after="0"/>
                    <w:ind w:left="0" w:right="57"/>
                  </w:pPr>
                  <w:r w:rsidRPr="007E34F5">
                    <w:t>11.0</w:t>
                  </w:r>
                </w:p>
              </w:tc>
              <w:tc>
                <w:tcPr>
                  <w:tcW w:w="499" w:type="pct"/>
                  <w:vAlign w:val="bottom"/>
                </w:tcPr>
                <w:p w:rsidR="00AC2131" w:rsidRPr="007E34F5" w:rsidRDefault="00AC2131" w:rsidP="00AC2131">
                  <w:pPr>
                    <w:pStyle w:val="TableBodyText"/>
                    <w:spacing w:after="0"/>
                    <w:ind w:left="0" w:right="57"/>
                  </w:pPr>
                  <w:r w:rsidRPr="007E34F5">
                    <w:t>14.1</w:t>
                  </w:r>
                </w:p>
              </w:tc>
              <w:tc>
                <w:tcPr>
                  <w:tcW w:w="499" w:type="pct"/>
                  <w:shd w:val="clear" w:color="auto" w:fill="auto"/>
                  <w:vAlign w:val="bottom"/>
                </w:tcPr>
                <w:p w:rsidR="00AC2131" w:rsidRPr="007E34F5" w:rsidRDefault="00AC2131" w:rsidP="00AC2131">
                  <w:pPr>
                    <w:pStyle w:val="TableBodyText"/>
                    <w:spacing w:after="0"/>
                    <w:ind w:left="0" w:right="57"/>
                  </w:pPr>
                  <w:r w:rsidRPr="007E34F5">
                    <w:t>12.5</w:t>
                  </w:r>
                </w:p>
              </w:tc>
              <w:tc>
                <w:tcPr>
                  <w:tcW w:w="500" w:type="pct"/>
                  <w:shd w:val="clear" w:color="auto" w:fill="auto"/>
                  <w:vAlign w:val="bottom"/>
                </w:tcPr>
                <w:p w:rsidR="00AC2131" w:rsidRPr="007E34F5" w:rsidRDefault="00AC2131" w:rsidP="00AC2131">
                  <w:pPr>
                    <w:pStyle w:val="TableBodyText"/>
                    <w:spacing w:after="0"/>
                    <w:ind w:left="0" w:right="57"/>
                  </w:pPr>
                  <w:r w:rsidRPr="007E34F5">
                    <w:t>21.4</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Health care and social assistance</w:t>
                  </w:r>
                </w:p>
              </w:tc>
              <w:tc>
                <w:tcPr>
                  <w:tcW w:w="501" w:type="pct"/>
                  <w:vAlign w:val="bottom"/>
                </w:tcPr>
                <w:p w:rsidR="00AC2131" w:rsidRPr="007E34F5" w:rsidRDefault="00AC2131" w:rsidP="00AC2131">
                  <w:pPr>
                    <w:pStyle w:val="TableBodyText"/>
                    <w:spacing w:after="0"/>
                    <w:ind w:left="0" w:right="57"/>
                  </w:pPr>
                  <w:r w:rsidRPr="007E34F5">
                    <w:t>85.1</w:t>
                  </w:r>
                </w:p>
              </w:tc>
              <w:tc>
                <w:tcPr>
                  <w:tcW w:w="501" w:type="pct"/>
                  <w:vAlign w:val="bottom"/>
                </w:tcPr>
                <w:p w:rsidR="00AC2131" w:rsidRPr="007E34F5" w:rsidRDefault="00AC2131" w:rsidP="00AC2131">
                  <w:pPr>
                    <w:pStyle w:val="TableBodyText"/>
                    <w:spacing w:after="0"/>
                    <w:ind w:left="0" w:right="57"/>
                  </w:pPr>
                  <w:r w:rsidRPr="007E34F5">
                    <w:t>121.7</w:t>
                  </w:r>
                </w:p>
              </w:tc>
              <w:tc>
                <w:tcPr>
                  <w:tcW w:w="501" w:type="pct"/>
                  <w:vAlign w:val="bottom"/>
                </w:tcPr>
                <w:p w:rsidR="00AC2131" w:rsidRPr="007E34F5" w:rsidRDefault="00AC2131" w:rsidP="00AC2131">
                  <w:pPr>
                    <w:pStyle w:val="TableBodyText"/>
                    <w:spacing w:after="0"/>
                    <w:ind w:left="0" w:right="57"/>
                  </w:pPr>
                  <w:r w:rsidRPr="007E34F5">
                    <w:t>83.4</w:t>
                  </w:r>
                </w:p>
              </w:tc>
              <w:tc>
                <w:tcPr>
                  <w:tcW w:w="499" w:type="pct"/>
                  <w:vAlign w:val="bottom"/>
                </w:tcPr>
                <w:p w:rsidR="00AC2131" w:rsidRPr="007E34F5" w:rsidRDefault="00AC2131" w:rsidP="00AC2131">
                  <w:pPr>
                    <w:pStyle w:val="TableBodyText"/>
                    <w:spacing w:after="0"/>
                    <w:ind w:left="0" w:right="57"/>
                  </w:pPr>
                  <w:r w:rsidRPr="007E34F5">
                    <w:t>70.8</w:t>
                  </w:r>
                </w:p>
              </w:tc>
              <w:tc>
                <w:tcPr>
                  <w:tcW w:w="499" w:type="pct"/>
                  <w:shd w:val="clear" w:color="auto" w:fill="auto"/>
                  <w:vAlign w:val="bottom"/>
                </w:tcPr>
                <w:p w:rsidR="00AC2131" w:rsidRPr="007E34F5" w:rsidRDefault="00AC2131" w:rsidP="00AC2131">
                  <w:pPr>
                    <w:pStyle w:val="TableBodyText"/>
                    <w:spacing w:after="0"/>
                    <w:ind w:left="0" w:right="57"/>
                  </w:pPr>
                  <w:r w:rsidRPr="007E34F5">
                    <w:t>63.4</w:t>
                  </w:r>
                </w:p>
              </w:tc>
              <w:tc>
                <w:tcPr>
                  <w:tcW w:w="500" w:type="pct"/>
                  <w:shd w:val="clear" w:color="auto" w:fill="auto"/>
                  <w:vAlign w:val="bottom"/>
                </w:tcPr>
                <w:p w:rsidR="00AC2131" w:rsidRPr="007E34F5" w:rsidRDefault="00AC2131" w:rsidP="00AC2131">
                  <w:pPr>
                    <w:pStyle w:val="TableBodyText"/>
                    <w:spacing w:after="0"/>
                    <w:ind w:left="0" w:right="57"/>
                  </w:pPr>
                  <w:r w:rsidRPr="007E34F5">
                    <w:t>116.6</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Arts and recreation services</w:t>
                  </w:r>
                </w:p>
              </w:tc>
              <w:tc>
                <w:tcPr>
                  <w:tcW w:w="501" w:type="pct"/>
                  <w:vAlign w:val="bottom"/>
                </w:tcPr>
                <w:p w:rsidR="00AC2131" w:rsidRPr="007E34F5" w:rsidRDefault="00AC2131" w:rsidP="00AC2131">
                  <w:pPr>
                    <w:pStyle w:val="TableBodyText"/>
                    <w:spacing w:after="0"/>
                    <w:ind w:left="0" w:right="57"/>
                  </w:pPr>
                  <w:r w:rsidRPr="007E34F5">
                    <w:t>147.5</w:t>
                  </w:r>
                </w:p>
              </w:tc>
              <w:tc>
                <w:tcPr>
                  <w:tcW w:w="501" w:type="pct"/>
                  <w:vAlign w:val="bottom"/>
                </w:tcPr>
                <w:p w:rsidR="00AC2131" w:rsidRPr="007E34F5" w:rsidRDefault="00AC2131" w:rsidP="00AC2131">
                  <w:pPr>
                    <w:pStyle w:val="TableBodyText"/>
                    <w:spacing w:after="0"/>
                    <w:ind w:left="0" w:right="57"/>
                  </w:pPr>
                  <w:r w:rsidRPr="007E34F5">
                    <w:t>285.8</w:t>
                  </w:r>
                </w:p>
              </w:tc>
              <w:tc>
                <w:tcPr>
                  <w:tcW w:w="501" w:type="pct"/>
                  <w:vAlign w:val="bottom"/>
                </w:tcPr>
                <w:p w:rsidR="00AC2131" w:rsidRPr="007E34F5" w:rsidRDefault="00AC2131" w:rsidP="00AC2131">
                  <w:pPr>
                    <w:pStyle w:val="TableBodyText"/>
                    <w:spacing w:after="0"/>
                    <w:ind w:left="0" w:right="57"/>
                  </w:pPr>
                  <w:r w:rsidRPr="007E34F5">
                    <w:t>189.4</w:t>
                  </w:r>
                </w:p>
              </w:tc>
              <w:tc>
                <w:tcPr>
                  <w:tcW w:w="499" w:type="pct"/>
                  <w:vAlign w:val="bottom"/>
                </w:tcPr>
                <w:p w:rsidR="00AC2131" w:rsidRPr="007E34F5" w:rsidRDefault="00AC2131" w:rsidP="00AC2131">
                  <w:pPr>
                    <w:pStyle w:val="TableBodyText"/>
                    <w:spacing w:after="0"/>
                    <w:ind w:left="0" w:right="57"/>
                  </w:pPr>
                  <w:r w:rsidRPr="007E34F5">
                    <w:t>233.2</w:t>
                  </w:r>
                </w:p>
              </w:tc>
              <w:tc>
                <w:tcPr>
                  <w:tcW w:w="499" w:type="pct"/>
                  <w:shd w:val="clear" w:color="auto" w:fill="auto"/>
                  <w:vAlign w:val="bottom"/>
                </w:tcPr>
                <w:p w:rsidR="00AC2131" w:rsidRPr="007E34F5" w:rsidRDefault="00AC2131" w:rsidP="00AC2131">
                  <w:pPr>
                    <w:pStyle w:val="TableBodyText"/>
                    <w:spacing w:after="0"/>
                    <w:ind w:left="0" w:right="57"/>
                  </w:pPr>
                  <w:r w:rsidRPr="007E34F5">
                    <w:t>284.2</w:t>
                  </w:r>
                </w:p>
              </w:tc>
              <w:tc>
                <w:tcPr>
                  <w:tcW w:w="500" w:type="pct"/>
                  <w:shd w:val="clear" w:color="auto" w:fill="auto"/>
                  <w:vAlign w:val="bottom"/>
                </w:tcPr>
                <w:p w:rsidR="00AC2131" w:rsidRPr="007E34F5" w:rsidRDefault="00AC2131" w:rsidP="00AC2131">
                  <w:pPr>
                    <w:pStyle w:val="TableBodyText"/>
                    <w:spacing w:after="0"/>
                    <w:ind w:left="0" w:right="57"/>
                  </w:pPr>
                  <w:r w:rsidRPr="007E34F5">
                    <w:t>327.0</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Other services</w:t>
                  </w:r>
                </w:p>
              </w:tc>
              <w:tc>
                <w:tcPr>
                  <w:tcW w:w="501" w:type="pct"/>
                  <w:vAlign w:val="bottom"/>
                </w:tcPr>
                <w:p w:rsidR="00AC2131" w:rsidRPr="007E34F5" w:rsidRDefault="00AC2131" w:rsidP="00AC2131">
                  <w:pPr>
                    <w:pStyle w:val="TableBodyText"/>
                    <w:spacing w:after="0"/>
                    <w:ind w:left="0" w:right="57"/>
                  </w:pPr>
                  <w:r w:rsidRPr="007E34F5">
                    <w:t>47.3</w:t>
                  </w:r>
                </w:p>
              </w:tc>
              <w:tc>
                <w:tcPr>
                  <w:tcW w:w="501" w:type="pct"/>
                  <w:vAlign w:val="bottom"/>
                </w:tcPr>
                <w:p w:rsidR="00AC2131" w:rsidRPr="007E34F5" w:rsidRDefault="00AC2131" w:rsidP="00AC2131">
                  <w:pPr>
                    <w:pStyle w:val="TableBodyText"/>
                    <w:spacing w:after="0"/>
                    <w:ind w:left="0" w:right="57"/>
                  </w:pPr>
                  <w:r w:rsidRPr="007E34F5">
                    <w:t>67.6</w:t>
                  </w:r>
                </w:p>
              </w:tc>
              <w:tc>
                <w:tcPr>
                  <w:tcW w:w="501" w:type="pct"/>
                  <w:vAlign w:val="bottom"/>
                </w:tcPr>
                <w:p w:rsidR="00AC2131" w:rsidRPr="007E34F5" w:rsidRDefault="00AC2131" w:rsidP="00AC2131">
                  <w:pPr>
                    <w:pStyle w:val="TableBodyText"/>
                    <w:spacing w:after="0"/>
                    <w:ind w:left="0" w:right="57"/>
                  </w:pPr>
                  <w:r w:rsidRPr="007E34F5">
                    <w:t>51.8</w:t>
                  </w:r>
                </w:p>
              </w:tc>
              <w:tc>
                <w:tcPr>
                  <w:tcW w:w="499" w:type="pct"/>
                  <w:vAlign w:val="bottom"/>
                </w:tcPr>
                <w:p w:rsidR="00AC2131" w:rsidRPr="007E34F5" w:rsidRDefault="00AC2131" w:rsidP="00AC2131">
                  <w:pPr>
                    <w:pStyle w:val="TableBodyText"/>
                    <w:spacing w:after="0"/>
                    <w:ind w:left="0" w:right="57"/>
                  </w:pPr>
                  <w:r w:rsidRPr="007E34F5">
                    <w:t>48.6</w:t>
                  </w:r>
                </w:p>
              </w:tc>
              <w:tc>
                <w:tcPr>
                  <w:tcW w:w="499" w:type="pct"/>
                  <w:shd w:val="clear" w:color="auto" w:fill="auto"/>
                  <w:vAlign w:val="bottom"/>
                </w:tcPr>
                <w:p w:rsidR="00AC2131" w:rsidRPr="007E34F5" w:rsidRDefault="00AC2131" w:rsidP="00AC2131">
                  <w:pPr>
                    <w:pStyle w:val="TableBodyText"/>
                    <w:spacing w:after="0"/>
                    <w:ind w:left="0" w:right="57"/>
                  </w:pPr>
                  <w:r w:rsidRPr="007E34F5">
                    <w:t>39.5</w:t>
                  </w:r>
                </w:p>
              </w:tc>
              <w:tc>
                <w:tcPr>
                  <w:tcW w:w="500" w:type="pct"/>
                  <w:shd w:val="clear" w:color="auto" w:fill="auto"/>
                  <w:vAlign w:val="bottom"/>
                </w:tcPr>
                <w:p w:rsidR="00AC2131" w:rsidRPr="007E34F5" w:rsidRDefault="00AC2131" w:rsidP="00AC2131">
                  <w:pPr>
                    <w:pStyle w:val="TableBodyText"/>
                    <w:spacing w:after="0"/>
                    <w:ind w:left="0" w:right="57"/>
                  </w:pPr>
                  <w:r w:rsidRPr="007E34F5">
                    <w:t>85.8</w:t>
                  </w:r>
                </w:p>
              </w:tc>
            </w:tr>
            <w:tr w:rsidR="00AC2131" w:rsidTr="00AC2131">
              <w:tc>
                <w:tcPr>
                  <w:tcW w:w="1998" w:type="pct"/>
                  <w:shd w:val="clear" w:color="auto" w:fill="auto"/>
                  <w:vAlign w:val="center"/>
                </w:tcPr>
                <w:p w:rsidR="00AC2131" w:rsidRPr="00037109" w:rsidRDefault="00AC2131">
                  <w:pPr>
                    <w:rPr>
                      <w:rFonts w:ascii="Arial" w:hAnsi="Arial" w:cs="Arial"/>
                      <w:sz w:val="18"/>
                      <w:szCs w:val="18"/>
                    </w:rPr>
                  </w:pPr>
                  <w:r w:rsidRPr="00037109">
                    <w:rPr>
                      <w:rFonts w:ascii="Arial" w:hAnsi="Arial" w:cs="Arial"/>
                      <w:sz w:val="18"/>
                      <w:szCs w:val="18"/>
                    </w:rPr>
                    <w:t>Unallocated services</w:t>
                  </w:r>
                  <w:r>
                    <w:rPr>
                      <w:rStyle w:val="NoteLabel"/>
                    </w:rPr>
                    <w:t>a</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501" w:type="pct"/>
                  <w:vAlign w:val="bottom"/>
                </w:tcPr>
                <w:p w:rsidR="00AC2131" w:rsidRPr="007E34F5" w:rsidRDefault="00AC2131" w:rsidP="00AC2131">
                  <w:pPr>
                    <w:pStyle w:val="TableBodyText"/>
                    <w:spacing w:after="0"/>
                    <w:ind w:left="0" w:right="57"/>
                  </w:pPr>
                  <w:r w:rsidRPr="007E34F5">
                    <w:t xml:space="preserve">– </w:t>
                  </w:r>
                </w:p>
              </w:tc>
              <w:tc>
                <w:tcPr>
                  <w:tcW w:w="499" w:type="pct"/>
                  <w:vAlign w:val="bottom"/>
                </w:tcPr>
                <w:p w:rsidR="00AC2131" w:rsidRPr="007E34F5" w:rsidRDefault="00AC2131" w:rsidP="00AC2131">
                  <w:pPr>
                    <w:pStyle w:val="TableBodyText"/>
                    <w:spacing w:after="0"/>
                    <w:ind w:left="0" w:right="57"/>
                  </w:pPr>
                  <w:r w:rsidRPr="007E34F5">
                    <w:t xml:space="preserve">– </w:t>
                  </w:r>
                </w:p>
              </w:tc>
              <w:tc>
                <w:tcPr>
                  <w:tcW w:w="499" w:type="pct"/>
                  <w:shd w:val="clear" w:color="auto" w:fill="auto"/>
                  <w:vAlign w:val="bottom"/>
                </w:tcPr>
                <w:p w:rsidR="00AC2131" w:rsidRPr="007E34F5" w:rsidRDefault="00AC2131" w:rsidP="00AC2131">
                  <w:pPr>
                    <w:pStyle w:val="TableBodyText"/>
                    <w:spacing w:after="0"/>
                    <w:ind w:left="0" w:right="57"/>
                  </w:pPr>
                  <w:r w:rsidRPr="007E34F5">
                    <w:t xml:space="preserve">– </w:t>
                  </w:r>
                </w:p>
              </w:tc>
              <w:tc>
                <w:tcPr>
                  <w:tcW w:w="500" w:type="pct"/>
                  <w:shd w:val="clear" w:color="auto" w:fill="auto"/>
                  <w:vAlign w:val="bottom"/>
                </w:tcPr>
                <w:p w:rsidR="00AC2131" w:rsidRPr="007E34F5" w:rsidRDefault="00AC2131" w:rsidP="00AC2131">
                  <w:pPr>
                    <w:pStyle w:val="TableBodyText"/>
                    <w:spacing w:after="0"/>
                    <w:ind w:left="0" w:right="57"/>
                  </w:pPr>
                  <w:r w:rsidRPr="007E34F5">
                    <w:t xml:space="preserve">– </w:t>
                  </w:r>
                </w:p>
              </w:tc>
            </w:tr>
            <w:tr w:rsidR="00AC2131" w:rsidRPr="007E34F5" w:rsidTr="00AC2131">
              <w:tc>
                <w:tcPr>
                  <w:tcW w:w="1998" w:type="pct"/>
                  <w:shd w:val="clear" w:color="auto" w:fill="auto"/>
                  <w:vAlign w:val="center"/>
                </w:tcPr>
                <w:p w:rsidR="00AC2131" w:rsidRPr="007E34F5" w:rsidRDefault="00AC2131" w:rsidP="00AC2131">
                  <w:pPr>
                    <w:rPr>
                      <w:rFonts w:ascii="Arial" w:hAnsi="Arial" w:cs="Arial"/>
                      <w:b/>
                      <w:bCs/>
                      <w:sz w:val="18"/>
                      <w:szCs w:val="18"/>
                    </w:rPr>
                  </w:pPr>
                  <w:r w:rsidRPr="007E34F5">
                    <w:rPr>
                      <w:rFonts w:ascii="Arial" w:hAnsi="Arial" w:cs="Arial"/>
                      <w:b/>
                      <w:bCs/>
                      <w:sz w:val="18"/>
                      <w:szCs w:val="18"/>
                    </w:rPr>
                    <w:t>Unallocated other</w:t>
                  </w:r>
                  <w:r>
                    <w:rPr>
                      <w:rStyle w:val="NoteLabel"/>
                    </w:rPr>
                    <w:t>a</w:t>
                  </w:r>
                </w:p>
              </w:tc>
              <w:tc>
                <w:tcPr>
                  <w:tcW w:w="501" w:type="pct"/>
                  <w:vAlign w:val="bottom"/>
                </w:tcPr>
                <w:p w:rsidR="00AC2131" w:rsidRPr="007E34F5" w:rsidRDefault="00AC2131" w:rsidP="00AC2131">
                  <w:pPr>
                    <w:pStyle w:val="TableBodyText"/>
                    <w:spacing w:after="0"/>
                    <w:ind w:left="0" w:right="57"/>
                    <w:rPr>
                      <w:b/>
                    </w:rPr>
                  </w:pPr>
                  <w:r w:rsidRPr="007E34F5">
                    <w:rPr>
                      <w:b/>
                    </w:rPr>
                    <w:t>654.6</w:t>
                  </w:r>
                </w:p>
              </w:tc>
              <w:tc>
                <w:tcPr>
                  <w:tcW w:w="501" w:type="pct"/>
                  <w:vAlign w:val="bottom"/>
                </w:tcPr>
                <w:p w:rsidR="00AC2131" w:rsidRPr="007E34F5" w:rsidRDefault="00AC2131" w:rsidP="00AC2131">
                  <w:pPr>
                    <w:pStyle w:val="TableBodyText"/>
                    <w:spacing w:after="0"/>
                    <w:ind w:left="0" w:right="57"/>
                    <w:rPr>
                      <w:b/>
                    </w:rPr>
                  </w:pPr>
                  <w:r w:rsidRPr="007E34F5">
                    <w:rPr>
                      <w:b/>
                    </w:rPr>
                    <w:t>428.4</w:t>
                  </w:r>
                </w:p>
              </w:tc>
              <w:tc>
                <w:tcPr>
                  <w:tcW w:w="501" w:type="pct"/>
                  <w:vAlign w:val="bottom"/>
                </w:tcPr>
                <w:p w:rsidR="00AC2131" w:rsidRPr="007E34F5" w:rsidRDefault="00AC2131" w:rsidP="00AC2131">
                  <w:pPr>
                    <w:pStyle w:val="TableBodyText"/>
                    <w:spacing w:after="0"/>
                    <w:ind w:left="0" w:right="57"/>
                    <w:rPr>
                      <w:b/>
                    </w:rPr>
                  </w:pPr>
                  <w:r w:rsidRPr="007E34F5">
                    <w:rPr>
                      <w:b/>
                    </w:rPr>
                    <w:t>625.3</w:t>
                  </w:r>
                </w:p>
              </w:tc>
              <w:tc>
                <w:tcPr>
                  <w:tcW w:w="499" w:type="pct"/>
                  <w:vAlign w:val="bottom"/>
                </w:tcPr>
                <w:p w:rsidR="00AC2131" w:rsidRPr="007E34F5" w:rsidRDefault="00AC2131" w:rsidP="00AC2131">
                  <w:pPr>
                    <w:pStyle w:val="TableBodyText"/>
                    <w:spacing w:after="0"/>
                    <w:ind w:left="0" w:right="57"/>
                    <w:rPr>
                      <w:b/>
                    </w:rPr>
                  </w:pPr>
                  <w:r w:rsidRPr="007E34F5">
                    <w:rPr>
                      <w:b/>
                    </w:rPr>
                    <w:t>632.5</w:t>
                  </w:r>
                </w:p>
              </w:tc>
              <w:tc>
                <w:tcPr>
                  <w:tcW w:w="499" w:type="pct"/>
                  <w:shd w:val="clear" w:color="auto" w:fill="auto"/>
                  <w:vAlign w:val="bottom"/>
                </w:tcPr>
                <w:p w:rsidR="00AC2131" w:rsidRPr="007E34F5" w:rsidRDefault="00AC2131" w:rsidP="00AC2131">
                  <w:pPr>
                    <w:pStyle w:val="TableBodyText"/>
                    <w:spacing w:after="0"/>
                    <w:ind w:left="0" w:right="57"/>
                    <w:rPr>
                      <w:b/>
                    </w:rPr>
                  </w:pPr>
                  <w:r w:rsidRPr="007E34F5">
                    <w:rPr>
                      <w:b/>
                    </w:rPr>
                    <w:t>489.1</w:t>
                  </w:r>
                </w:p>
              </w:tc>
              <w:tc>
                <w:tcPr>
                  <w:tcW w:w="500" w:type="pct"/>
                  <w:shd w:val="clear" w:color="auto" w:fill="auto"/>
                  <w:vAlign w:val="bottom"/>
                </w:tcPr>
                <w:p w:rsidR="00AC2131" w:rsidRPr="007E34F5" w:rsidRDefault="00AC2131" w:rsidP="00AC2131">
                  <w:pPr>
                    <w:pStyle w:val="TableBodyText"/>
                    <w:spacing w:after="0"/>
                    <w:ind w:left="0" w:right="57"/>
                    <w:rPr>
                      <w:b/>
                    </w:rPr>
                  </w:pPr>
                  <w:r w:rsidRPr="007E34F5">
                    <w:rPr>
                      <w:b/>
                    </w:rPr>
                    <w:t>773.5</w:t>
                  </w:r>
                </w:p>
              </w:tc>
            </w:tr>
            <w:tr w:rsidR="00AC2131" w:rsidRPr="007E34F5" w:rsidTr="00AC2131">
              <w:tc>
                <w:tcPr>
                  <w:tcW w:w="1998" w:type="pct"/>
                  <w:tcBorders>
                    <w:bottom w:val="single" w:sz="6" w:space="0" w:color="BFBFBF"/>
                  </w:tcBorders>
                  <w:shd w:val="clear" w:color="auto" w:fill="auto"/>
                  <w:vAlign w:val="center"/>
                </w:tcPr>
                <w:p w:rsidR="00AC2131" w:rsidRPr="007E34F5" w:rsidRDefault="00AC2131">
                  <w:pPr>
                    <w:rPr>
                      <w:rFonts w:ascii="Arial" w:hAnsi="Arial" w:cs="Arial"/>
                      <w:b/>
                      <w:bCs/>
                      <w:sz w:val="18"/>
                      <w:szCs w:val="18"/>
                    </w:rPr>
                  </w:pPr>
                  <w:r w:rsidRPr="007E34F5">
                    <w:rPr>
                      <w:rFonts w:ascii="Arial" w:hAnsi="Arial" w:cs="Arial"/>
                      <w:b/>
                      <w:bCs/>
                      <w:sz w:val="18"/>
                      <w:szCs w:val="18"/>
                    </w:rPr>
                    <w:t>Total</w:t>
                  </w:r>
                </w:p>
              </w:tc>
              <w:tc>
                <w:tcPr>
                  <w:tcW w:w="501"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4607.1</w:t>
                  </w:r>
                </w:p>
              </w:tc>
              <w:tc>
                <w:tcPr>
                  <w:tcW w:w="501"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5921.0</w:t>
                  </w:r>
                </w:p>
              </w:tc>
              <w:tc>
                <w:tcPr>
                  <w:tcW w:w="501"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6400.9</w:t>
                  </w:r>
                </w:p>
              </w:tc>
              <w:tc>
                <w:tcPr>
                  <w:tcW w:w="499" w:type="pct"/>
                  <w:tcBorders>
                    <w:bottom w:val="single" w:sz="6" w:space="0" w:color="BFBFBF"/>
                  </w:tcBorders>
                  <w:vAlign w:val="bottom"/>
                </w:tcPr>
                <w:p w:rsidR="00AC2131" w:rsidRPr="007E34F5" w:rsidRDefault="00AC2131" w:rsidP="00AC2131">
                  <w:pPr>
                    <w:pStyle w:val="TableBodyText"/>
                    <w:spacing w:after="0"/>
                    <w:ind w:left="0" w:right="57"/>
                    <w:rPr>
                      <w:b/>
                    </w:rPr>
                  </w:pPr>
                  <w:r w:rsidRPr="007E34F5">
                    <w:rPr>
                      <w:b/>
                    </w:rPr>
                    <w:t>4890.2</w:t>
                  </w:r>
                </w:p>
              </w:tc>
              <w:tc>
                <w:tcPr>
                  <w:tcW w:w="499" w:type="pct"/>
                  <w:tcBorders>
                    <w:bottom w:val="single" w:sz="6" w:space="0" w:color="BFBFBF"/>
                  </w:tcBorders>
                  <w:shd w:val="clear" w:color="auto" w:fill="auto"/>
                  <w:vAlign w:val="bottom"/>
                </w:tcPr>
                <w:p w:rsidR="00AC2131" w:rsidRPr="007E34F5" w:rsidRDefault="00AC2131" w:rsidP="00AC2131">
                  <w:pPr>
                    <w:pStyle w:val="TableBodyText"/>
                    <w:spacing w:after="0"/>
                    <w:ind w:left="0" w:right="57"/>
                    <w:rPr>
                      <w:b/>
                    </w:rPr>
                  </w:pPr>
                  <w:r w:rsidRPr="007E34F5">
                    <w:rPr>
                      <w:b/>
                    </w:rPr>
                    <w:t>4410.8</w:t>
                  </w:r>
                </w:p>
              </w:tc>
              <w:tc>
                <w:tcPr>
                  <w:tcW w:w="500" w:type="pct"/>
                  <w:tcBorders>
                    <w:bottom w:val="single" w:sz="6" w:space="0" w:color="BFBFBF"/>
                  </w:tcBorders>
                  <w:shd w:val="clear" w:color="auto" w:fill="auto"/>
                  <w:vAlign w:val="bottom"/>
                </w:tcPr>
                <w:p w:rsidR="00AC2131" w:rsidRPr="007E34F5" w:rsidRDefault="00AC2131" w:rsidP="00AC2131">
                  <w:pPr>
                    <w:pStyle w:val="TableBodyText"/>
                    <w:spacing w:after="0"/>
                    <w:ind w:left="0" w:right="57"/>
                    <w:rPr>
                      <w:b/>
                    </w:rPr>
                  </w:pPr>
                  <w:r w:rsidRPr="007E34F5">
                    <w:rPr>
                      <w:b/>
                    </w:rPr>
                    <w:t>4955.8</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Note"/>
              <w:rPr>
                <w:i/>
              </w:rPr>
            </w:pPr>
            <w:r>
              <w:rPr>
                <w:rFonts w:cs="Arial"/>
                <w:szCs w:val="18"/>
              </w:rPr>
              <w:t xml:space="preserve">– Nil. </w:t>
            </w:r>
            <w:r w:rsidRPr="00C74A79">
              <w:rPr>
                <w:rFonts w:cs="Arial"/>
                <w:szCs w:val="18"/>
              </w:rPr>
              <w:t>Figures may not add to totals due to rounding.</w:t>
            </w:r>
            <w:r>
              <w:rPr>
                <w:rFonts w:cs="Arial"/>
                <w:szCs w:val="18"/>
              </w:rPr>
              <w:t xml:space="preserve"> </w:t>
            </w:r>
            <w:r w:rsidRPr="008E77FE">
              <w:rPr>
                <w:rStyle w:val="NoteLabel"/>
              </w:rPr>
              <w:t>a</w:t>
            </w:r>
            <w:r>
              <w:t> </w:t>
            </w:r>
            <w:r w:rsidRPr="008405D4">
              <w:t>Unallocated includes budgetary measures where details of beneficiaries are unknown.</w:t>
            </w: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8"/>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w:t>
            </w:r>
            <w:r>
              <w:rPr>
                <w:b w:val="0"/>
                <w:noProof/>
              </w:rPr>
              <w:t>8</w:t>
            </w:r>
            <w:r>
              <w:tab/>
            </w:r>
            <w:r w:rsidRPr="00217AFD">
              <w:t xml:space="preserve">Nominal rate of combined assistance on outputs </w:t>
            </w:r>
            <w:r>
              <w:br/>
            </w:r>
            <w:r w:rsidRPr="00217AFD">
              <w:t>by industry grouping, 2008</w:t>
            </w:r>
            <w:r>
              <w:noBreakHyphen/>
            </w:r>
            <w:r w:rsidRPr="00217AFD">
              <w:t>09 to 2013</w:t>
            </w:r>
            <w:r>
              <w:noBreakHyphen/>
            </w:r>
            <w:r w:rsidRPr="00217AFD">
              <w:t>14</w:t>
            </w:r>
            <w:r w:rsidRPr="006B64DF">
              <w:rPr>
                <w:rStyle w:val="NoteLabel"/>
                <w:b/>
              </w:rPr>
              <w:t>a</w:t>
            </w:r>
          </w:p>
          <w:p w:rsidR="00AC2131" w:rsidRPr="00784A05" w:rsidRDefault="00AC2131" w:rsidP="00AC2131">
            <w:pPr>
              <w:pStyle w:val="Subtitle"/>
            </w:pPr>
            <w:r>
              <w:t>per cent</w:t>
            </w:r>
          </w:p>
        </w:tc>
      </w:tr>
      <w:tr w:rsidR="00AC2131" w:rsidTr="00AC2131">
        <w:trPr>
          <w:cantSplit/>
        </w:trPr>
        <w:tc>
          <w:tcPr>
            <w:tcW w:w="8771" w:type="dxa"/>
            <w:tcBorders>
              <w:top w:val="nil"/>
              <w:left w:val="nil"/>
              <w:bottom w:val="nil"/>
              <w:right w:val="nil"/>
            </w:tcBorders>
            <w:shd w:val="clear" w:color="auto" w:fill="auto"/>
          </w:tcPr>
          <w:tbl>
            <w:tblPr>
              <w:tblW w:w="8504" w:type="dxa"/>
              <w:tblCellMar>
                <w:top w:w="28" w:type="dxa"/>
                <w:left w:w="0" w:type="dxa"/>
                <w:right w:w="0" w:type="dxa"/>
              </w:tblCellMar>
              <w:tblLook w:val="0000" w:firstRow="0" w:lastRow="0" w:firstColumn="0" w:lastColumn="0" w:noHBand="0" w:noVBand="0"/>
            </w:tblPr>
            <w:tblGrid>
              <w:gridCol w:w="3404"/>
              <w:gridCol w:w="851"/>
              <w:gridCol w:w="850"/>
              <w:gridCol w:w="850"/>
              <w:gridCol w:w="850"/>
              <w:gridCol w:w="850"/>
              <w:gridCol w:w="849"/>
            </w:tblGrid>
            <w:tr w:rsidR="00AC2131" w:rsidTr="00AC2131">
              <w:tc>
                <w:tcPr>
                  <w:tcW w:w="2001"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Industry grouping</w:t>
                  </w:r>
                </w:p>
              </w:tc>
              <w:tc>
                <w:tcPr>
                  <w:tcW w:w="500"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500"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500"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500"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5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5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001" w:type="pct"/>
                  <w:tcBorders>
                    <w:top w:val="single" w:sz="6" w:space="0" w:color="BFBFBF"/>
                  </w:tcBorders>
                  <w:vAlign w:val="center"/>
                </w:tcPr>
                <w:p w:rsidR="00AC2131" w:rsidRPr="00937824" w:rsidRDefault="00AC2131" w:rsidP="00AC2131">
                  <w:pPr>
                    <w:rPr>
                      <w:rFonts w:ascii="Arial" w:hAnsi="Arial" w:cs="Arial"/>
                      <w:b/>
                      <w:bCs/>
                      <w:sz w:val="18"/>
                      <w:szCs w:val="18"/>
                    </w:rPr>
                  </w:pPr>
                  <w:r w:rsidRPr="00937824">
                    <w:rPr>
                      <w:rFonts w:ascii="Arial" w:hAnsi="Arial" w:cs="Arial"/>
                      <w:b/>
                      <w:bCs/>
                      <w:sz w:val="18"/>
                      <w:szCs w:val="18"/>
                    </w:rPr>
                    <w:t>Primary Production</w:t>
                  </w:r>
                  <w:r>
                    <w:rPr>
                      <w:rStyle w:val="NoteLabel"/>
                    </w:rPr>
                    <w:t>b</w:t>
                  </w:r>
                </w:p>
              </w:tc>
              <w:tc>
                <w:tcPr>
                  <w:tcW w:w="500"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0.3</w:t>
                  </w:r>
                </w:p>
              </w:tc>
              <w:tc>
                <w:tcPr>
                  <w:tcW w:w="500"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0.4</w:t>
                  </w:r>
                </w:p>
              </w:tc>
              <w:tc>
                <w:tcPr>
                  <w:tcW w:w="500"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0.3</w:t>
                  </w:r>
                </w:p>
              </w:tc>
              <w:tc>
                <w:tcPr>
                  <w:tcW w:w="500"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0.3</w:t>
                  </w:r>
                </w:p>
              </w:tc>
              <w:tc>
                <w:tcPr>
                  <w:tcW w:w="500"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0.4</w:t>
                  </w:r>
                </w:p>
              </w:tc>
              <w:tc>
                <w:tcPr>
                  <w:tcW w:w="500"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0.4</w:t>
                  </w:r>
                </w:p>
              </w:tc>
            </w:tr>
            <w:tr w:rsidR="00AC2131" w:rsidTr="00AC2131">
              <w:tc>
                <w:tcPr>
                  <w:tcW w:w="2001" w:type="pct"/>
                  <w:vAlign w:val="bottom"/>
                </w:tcPr>
                <w:p w:rsidR="00AC2131" w:rsidRPr="00937824" w:rsidRDefault="00AC2131">
                  <w:pPr>
                    <w:rPr>
                      <w:rFonts w:ascii="Arial" w:hAnsi="Arial" w:cs="Arial"/>
                      <w:sz w:val="18"/>
                      <w:szCs w:val="18"/>
                    </w:rPr>
                  </w:pPr>
                  <w:r w:rsidRPr="00937824">
                    <w:rPr>
                      <w:rFonts w:ascii="Arial" w:hAnsi="Arial" w:cs="Arial"/>
                      <w:sz w:val="18"/>
                      <w:szCs w:val="18"/>
                    </w:rPr>
                    <w:t>Horticulture and fruit growing</w:t>
                  </w:r>
                </w:p>
              </w:tc>
              <w:tc>
                <w:tcPr>
                  <w:tcW w:w="500" w:type="pct"/>
                  <w:vAlign w:val="center"/>
                </w:tcPr>
                <w:p w:rsidR="00AC2131" w:rsidRPr="00EA0ADF" w:rsidRDefault="00AC2131" w:rsidP="00AC2131">
                  <w:pPr>
                    <w:pStyle w:val="TableBodyText"/>
                    <w:spacing w:after="0"/>
                    <w:ind w:left="0" w:right="57"/>
                  </w:pPr>
                  <w:r w:rsidRPr="00EA0ADF">
                    <w:t>1.3</w:t>
                  </w:r>
                </w:p>
              </w:tc>
              <w:tc>
                <w:tcPr>
                  <w:tcW w:w="500" w:type="pct"/>
                  <w:vAlign w:val="center"/>
                </w:tcPr>
                <w:p w:rsidR="00AC2131" w:rsidRPr="00EA0ADF" w:rsidRDefault="00AC2131" w:rsidP="00AC2131">
                  <w:pPr>
                    <w:pStyle w:val="TableBodyText"/>
                    <w:spacing w:after="0"/>
                    <w:ind w:left="0" w:right="57"/>
                  </w:pPr>
                  <w:r w:rsidRPr="00EA0ADF">
                    <w:t>1.1</w:t>
                  </w:r>
                </w:p>
              </w:tc>
              <w:tc>
                <w:tcPr>
                  <w:tcW w:w="500" w:type="pct"/>
                  <w:vAlign w:val="center"/>
                </w:tcPr>
                <w:p w:rsidR="00AC2131" w:rsidRPr="00EA0ADF" w:rsidRDefault="00AC2131" w:rsidP="00AC2131">
                  <w:pPr>
                    <w:pStyle w:val="TableBodyText"/>
                    <w:spacing w:after="0"/>
                    <w:ind w:left="0" w:right="57"/>
                  </w:pPr>
                  <w:r w:rsidRPr="00EA0ADF">
                    <w:t>1.0</w:t>
                  </w:r>
                </w:p>
              </w:tc>
              <w:tc>
                <w:tcPr>
                  <w:tcW w:w="500" w:type="pct"/>
                  <w:vAlign w:val="center"/>
                </w:tcPr>
                <w:p w:rsidR="00AC2131" w:rsidRPr="00EA0ADF" w:rsidRDefault="00AC2131" w:rsidP="00AC2131">
                  <w:pPr>
                    <w:pStyle w:val="TableBodyText"/>
                    <w:spacing w:after="0"/>
                    <w:ind w:left="0" w:right="57"/>
                  </w:pPr>
                  <w:r w:rsidRPr="00EA0ADF">
                    <w:t>1.0</w:t>
                  </w:r>
                </w:p>
              </w:tc>
              <w:tc>
                <w:tcPr>
                  <w:tcW w:w="500" w:type="pct"/>
                  <w:vAlign w:val="center"/>
                </w:tcPr>
                <w:p w:rsidR="00AC2131" w:rsidRPr="00EA0ADF" w:rsidRDefault="00AC2131" w:rsidP="00AC2131">
                  <w:pPr>
                    <w:pStyle w:val="TableBodyText"/>
                    <w:spacing w:after="0"/>
                    <w:ind w:left="0" w:right="57"/>
                  </w:pPr>
                  <w:r w:rsidRPr="00EA0ADF">
                    <w:t>1.1</w:t>
                  </w:r>
                </w:p>
              </w:tc>
              <w:tc>
                <w:tcPr>
                  <w:tcW w:w="500" w:type="pct"/>
                  <w:vAlign w:val="center"/>
                </w:tcPr>
                <w:p w:rsidR="00AC2131" w:rsidRPr="00EA0ADF" w:rsidRDefault="00AC2131" w:rsidP="00AC2131">
                  <w:pPr>
                    <w:pStyle w:val="TableBodyText"/>
                    <w:spacing w:after="0"/>
                    <w:ind w:left="0" w:right="57"/>
                  </w:pPr>
                  <w:r w:rsidRPr="00EA0ADF">
                    <w:t>1.2</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Sheep, beef cattle and grain farming</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shd w:val="clear" w:color="auto" w:fill="auto"/>
                  <w:vAlign w:val="center"/>
                </w:tcPr>
                <w:p w:rsidR="00AC2131" w:rsidRPr="00EA0ADF" w:rsidRDefault="00AC2131" w:rsidP="00AC2131">
                  <w:pPr>
                    <w:pStyle w:val="TableBodyText"/>
                    <w:spacing w:after="0"/>
                    <w:ind w:left="0" w:right="57"/>
                  </w:pPr>
                  <w:r w:rsidRPr="00EA0ADF">
                    <w:t>0.0</w:t>
                  </w:r>
                </w:p>
              </w:tc>
              <w:tc>
                <w:tcPr>
                  <w:tcW w:w="500" w:type="pct"/>
                  <w:shd w:val="clear" w:color="auto" w:fill="auto"/>
                  <w:vAlign w:val="center"/>
                </w:tcPr>
                <w:p w:rsidR="00AC2131" w:rsidRPr="00EA0ADF" w:rsidRDefault="00AC2131" w:rsidP="00AC2131">
                  <w:pPr>
                    <w:pStyle w:val="TableBodyText"/>
                    <w:spacing w:after="0"/>
                    <w:ind w:left="0" w:right="57"/>
                  </w:pPr>
                  <w:r w:rsidRPr="00EA0ADF">
                    <w:t>0.0</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Other crop growing</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shd w:val="clear" w:color="auto" w:fill="auto"/>
                  <w:vAlign w:val="center"/>
                </w:tcPr>
                <w:p w:rsidR="00AC2131" w:rsidRPr="00EA0ADF" w:rsidRDefault="00AC2131" w:rsidP="00AC2131">
                  <w:pPr>
                    <w:pStyle w:val="TableBodyText"/>
                    <w:spacing w:after="0"/>
                    <w:ind w:left="0" w:right="57"/>
                  </w:pPr>
                  <w:r w:rsidRPr="00EA0ADF">
                    <w:t>0.0</w:t>
                  </w:r>
                </w:p>
              </w:tc>
              <w:tc>
                <w:tcPr>
                  <w:tcW w:w="500" w:type="pct"/>
                  <w:shd w:val="clear" w:color="auto" w:fill="auto"/>
                  <w:vAlign w:val="center"/>
                </w:tcPr>
                <w:p w:rsidR="00AC2131" w:rsidRPr="00EA0ADF" w:rsidRDefault="00AC2131" w:rsidP="00AC2131">
                  <w:pPr>
                    <w:pStyle w:val="TableBodyText"/>
                    <w:spacing w:after="0"/>
                    <w:ind w:left="0" w:right="57"/>
                  </w:pPr>
                  <w:r w:rsidRPr="00EA0ADF">
                    <w:t>0.0</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Dairy cattle farming</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shd w:val="clear" w:color="auto" w:fill="auto"/>
                  <w:vAlign w:val="center"/>
                </w:tcPr>
                <w:p w:rsidR="00AC2131" w:rsidRPr="00EA0ADF" w:rsidRDefault="00AC2131" w:rsidP="00AC2131">
                  <w:pPr>
                    <w:pStyle w:val="TableBodyText"/>
                    <w:spacing w:after="0"/>
                    <w:ind w:left="0" w:right="57"/>
                  </w:pPr>
                  <w:r w:rsidRPr="00EA0ADF">
                    <w:t>0.0</w:t>
                  </w:r>
                </w:p>
              </w:tc>
              <w:tc>
                <w:tcPr>
                  <w:tcW w:w="500" w:type="pct"/>
                  <w:shd w:val="clear" w:color="auto" w:fill="auto"/>
                  <w:vAlign w:val="center"/>
                </w:tcPr>
                <w:p w:rsidR="00AC2131" w:rsidRPr="00EA0ADF" w:rsidRDefault="00AC2131" w:rsidP="00AC2131">
                  <w:pPr>
                    <w:pStyle w:val="TableBodyText"/>
                    <w:spacing w:after="0"/>
                    <w:ind w:left="0" w:right="57"/>
                  </w:pPr>
                  <w:r w:rsidRPr="00EA0ADF">
                    <w:t>0.0</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Other livestock farming</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shd w:val="clear" w:color="auto" w:fill="auto"/>
                  <w:vAlign w:val="center"/>
                </w:tcPr>
                <w:p w:rsidR="00AC2131" w:rsidRPr="00EA0ADF" w:rsidRDefault="00AC2131" w:rsidP="00AC2131">
                  <w:pPr>
                    <w:pStyle w:val="TableBodyText"/>
                    <w:spacing w:after="0"/>
                    <w:ind w:left="0" w:right="57"/>
                  </w:pPr>
                  <w:r w:rsidRPr="00EA0ADF">
                    <w:t>0.0</w:t>
                  </w:r>
                </w:p>
              </w:tc>
              <w:tc>
                <w:tcPr>
                  <w:tcW w:w="500" w:type="pct"/>
                  <w:shd w:val="clear" w:color="auto" w:fill="auto"/>
                  <w:vAlign w:val="center"/>
                </w:tcPr>
                <w:p w:rsidR="00AC2131" w:rsidRPr="00EA0ADF" w:rsidRDefault="00AC2131" w:rsidP="00AC2131">
                  <w:pPr>
                    <w:pStyle w:val="TableBodyText"/>
                    <w:spacing w:after="0"/>
                    <w:ind w:left="0" w:right="57"/>
                  </w:pPr>
                  <w:r w:rsidRPr="00EA0ADF">
                    <w:t>0.0</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Aquaculture and fishing</w:t>
                  </w:r>
                </w:p>
              </w:tc>
              <w:tc>
                <w:tcPr>
                  <w:tcW w:w="500" w:type="pct"/>
                  <w:vAlign w:val="center"/>
                </w:tcPr>
                <w:p w:rsidR="00AC2131" w:rsidRPr="00EA0ADF" w:rsidRDefault="00AC2131" w:rsidP="00AC2131">
                  <w:pPr>
                    <w:pStyle w:val="TableBodyText"/>
                    <w:spacing w:after="0"/>
                    <w:ind w:left="0" w:right="57"/>
                  </w:pPr>
                  <w:r w:rsidRPr="00EA0ADF">
                    <w:t>0.1</w:t>
                  </w:r>
                </w:p>
              </w:tc>
              <w:tc>
                <w:tcPr>
                  <w:tcW w:w="500" w:type="pct"/>
                  <w:vAlign w:val="center"/>
                </w:tcPr>
                <w:p w:rsidR="00AC2131" w:rsidRPr="00EA0ADF" w:rsidRDefault="00AC2131" w:rsidP="00AC2131">
                  <w:pPr>
                    <w:pStyle w:val="TableBodyText"/>
                    <w:spacing w:after="0"/>
                    <w:ind w:left="0" w:right="57"/>
                  </w:pPr>
                  <w:r w:rsidRPr="00EA0ADF">
                    <w:t>0.2</w:t>
                  </w:r>
                </w:p>
              </w:tc>
              <w:tc>
                <w:tcPr>
                  <w:tcW w:w="500" w:type="pct"/>
                  <w:vAlign w:val="center"/>
                </w:tcPr>
                <w:p w:rsidR="00AC2131" w:rsidRPr="00EA0ADF" w:rsidRDefault="00AC2131" w:rsidP="00AC2131">
                  <w:pPr>
                    <w:pStyle w:val="TableBodyText"/>
                    <w:spacing w:after="0"/>
                    <w:ind w:left="0" w:right="57"/>
                  </w:pPr>
                  <w:r w:rsidRPr="00EA0ADF">
                    <w:t>0.2</w:t>
                  </w:r>
                </w:p>
              </w:tc>
              <w:tc>
                <w:tcPr>
                  <w:tcW w:w="500" w:type="pct"/>
                  <w:vAlign w:val="center"/>
                </w:tcPr>
                <w:p w:rsidR="00AC2131" w:rsidRPr="00EA0ADF" w:rsidRDefault="00AC2131" w:rsidP="00AC2131">
                  <w:pPr>
                    <w:pStyle w:val="TableBodyText"/>
                    <w:spacing w:after="0"/>
                    <w:ind w:left="0" w:right="57"/>
                  </w:pPr>
                  <w:r w:rsidRPr="00EA0ADF">
                    <w:t>0.2</w:t>
                  </w:r>
                </w:p>
              </w:tc>
              <w:tc>
                <w:tcPr>
                  <w:tcW w:w="500" w:type="pct"/>
                  <w:shd w:val="clear" w:color="auto" w:fill="auto"/>
                  <w:vAlign w:val="center"/>
                </w:tcPr>
                <w:p w:rsidR="00AC2131" w:rsidRPr="00EA0ADF" w:rsidRDefault="00AC2131" w:rsidP="00AC2131">
                  <w:pPr>
                    <w:pStyle w:val="TableBodyText"/>
                    <w:spacing w:after="0"/>
                    <w:ind w:left="0" w:right="57"/>
                  </w:pPr>
                  <w:r w:rsidRPr="00EA0ADF">
                    <w:t>0.2</w:t>
                  </w:r>
                </w:p>
              </w:tc>
              <w:tc>
                <w:tcPr>
                  <w:tcW w:w="500" w:type="pct"/>
                  <w:shd w:val="clear" w:color="auto" w:fill="auto"/>
                  <w:vAlign w:val="center"/>
                </w:tcPr>
                <w:p w:rsidR="00AC2131" w:rsidRPr="00EA0ADF" w:rsidRDefault="00AC2131" w:rsidP="00AC2131">
                  <w:pPr>
                    <w:pStyle w:val="TableBodyText"/>
                    <w:spacing w:after="0"/>
                    <w:ind w:left="0" w:right="57"/>
                  </w:pPr>
                  <w:r w:rsidRPr="00EA0ADF">
                    <w:t>0.2</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Forestry and logging</w:t>
                  </w:r>
                </w:p>
              </w:tc>
              <w:tc>
                <w:tcPr>
                  <w:tcW w:w="500" w:type="pct"/>
                  <w:vAlign w:val="center"/>
                </w:tcPr>
                <w:p w:rsidR="00AC2131" w:rsidRPr="00EA0ADF" w:rsidRDefault="00AC2131" w:rsidP="00AC2131">
                  <w:pPr>
                    <w:pStyle w:val="TableBodyText"/>
                    <w:spacing w:after="0"/>
                    <w:ind w:left="0" w:right="57"/>
                  </w:pPr>
                  <w:r w:rsidRPr="00EA0ADF">
                    <w:t>2.0</w:t>
                  </w:r>
                </w:p>
              </w:tc>
              <w:tc>
                <w:tcPr>
                  <w:tcW w:w="500" w:type="pct"/>
                  <w:vAlign w:val="center"/>
                </w:tcPr>
                <w:p w:rsidR="00AC2131" w:rsidRPr="00EA0ADF" w:rsidRDefault="00AC2131" w:rsidP="00AC2131">
                  <w:pPr>
                    <w:pStyle w:val="TableBodyText"/>
                    <w:spacing w:after="0"/>
                    <w:ind w:left="0" w:right="57"/>
                  </w:pPr>
                  <w:r w:rsidRPr="00EA0ADF">
                    <w:t>2.1</w:t>
                  </w:r>
                </w:p>
              </w:tc>
              <w:tc>
                <w:tcPr>
                  <w:tcW w:w="500" w:type="pct"/>
                  <w:vAlign w:val="center"/>
                </w:tcPr>
                <w:p w:rsidR="00AC2131" w:rsidRPr="00EA0ADF" w:rsidRDefault="00AC2131" w:rsidP="00AC2131">
                  <w:pPr>
                    <w:pStyle w:val="TableBodyText"/>
                    <w:spacing w:after="0"/>
                    <w:ind w:left="0" w:right="57"/>
                  </w:pPr>
                  <w:r w:rsidRPr="00EA0ADF">
                    <w:t>2.1</w:t>
                  </w:r>
                </w:p>
              </w:tc>
              <w:tc>
                <w:tcPr>
                  <w:tcW w:w="500" w:type="pct"/>
                  <w:vAlign w:val="center"/>
                </w:tcPr>
                <w:p w:rsidR="00AC2131" w:rsidRPr="00EA0ADF" w:rsidRDefault="00AC2131" w:rsidP="00AC2131">
                  <w:pPr>
                    <w:pStyle w:val="TableBodyText"/>
                    <w:spacing w:after="0"/>
                    <w:ind w:left="0" w:right="57"/>
                  </w:pPr>
                  <w:r w:rsidRPr="00EA0ADF">
                    <w:t>2.1</w:t>
                  </w:r>
                </w:p>
              </w:tc>
              <w:tc>
                <w:tcPr>
                  <w:tcW w:w="500" w:type="pct"/>
                  <w:shd w:val="clear" w:color="auto" w:fill="auto"/>
                  <w:vAlign w:val="center"/>
                </w:tcPr>
                <w:p w:rsidR="00AC2131" w:rsidRPr="00EA0ADF" w:rsidRDefault="00AC2131" w:rsidP="00AC2131">
                  <w:pPr>
                    <w:pStyle w:val="TableBodyText"/>
                    <w:spacing w:after="0"/>
                    <w:ind w:left="0" w:right="57"/>
                  </w:pPr>
                  <w:r w:rsidRPr="00EA0ADF">
                    <w:t>2.1</w:t>
                  </w:r>
                </w:p>
              </w:tc>
              <w:tc>
                <w:tcPr>
                  <w:tcW w:w="500" w:type="pct"/>
                  <w:shd w:val="clear" w:color="auto" w:fill="auto"/>
                  <w:vAlign w:val="center"/>
                </w:tcPr>
                <w:p w:rsidR="00AC2131" w:rsidRPr="00EA0ADF" w:rsidRDefault="00AC2131" w:rsidP="00AC2131">
                  <w:pPr>
                    <w:pStyle w:val="TableBodyText"/>
                    <w:spacing w:after="0"/>
                    <w:ind w:left="0" w:right="57"/>
                  </w:pPr>
                  <w:r w:rsidRPr="00EA0ADF">
                    <w:t>2.1</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Primary production support services</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vAlign w:val="center"/>
                </w:tcPr>
                <w:p w:rsidR="00AC2131" w:rsidRPr="00EA0ADF" w:rsidRDefault="00AC2131" w:rsidP="00AC2131">
                  <w:pPr>
                    <w:pStyle w:val="TableBodyText"/>
                    <w:spacing w:after="0"/>
                    <w:ind w:left="0" w:right="57"/>
                  </w:pPr>
                  <w:r w:rsidRPr="00EA0ADF">
                    <w:t>0.0</w:t>
                  </w:r>
                </w:p>
              </w:tc>
              <w:tc>
                <w:tcPr>
                  <w:tcW w:w="500" w:type="pct"/>
                  <w:shd w:val="clear" w:color="auto" w:fill="auto"/>
                  <w:vAlign w:val="center"/>
                </w:tcPr>
                <w:p w:rsidR="00AC2131" w:rsidRPr="00EA0ADF" w:rsidRDefault="00AC2131" w:rsidP="00AC2131">
                  <w:pPr>
                    <w:pStyle w:val="TableBodyText"/>
                    <w:spacing w:after="0"/>
                    <w:ind w:left="0" w:right="57"/>
                  </w:pPr>
                  <w:r w:rsidRPr="00EA0ADF">
                    <w:t>0.0</w:t>
                  </w:r>
                </w:p>
              </w:tc>
              <w:tc>
                <w:tcPr>
                  <w:tcW w:w="500" w:type="pct"/>
                  <w:shd w:val="clear" w:color="auto" w:fill="auto"/>
                  <w:vAlign w:val="center"/>
                </w:tcPr>
                <w:p w:rsidR="00AC2131" w:rsidRPr="00EA0ADF" w:rsidRDefault="00AC2131" w:rsidP="00AC2131">
                  <w:pPr>
                    <w:pStyle w:val="TableBodyText"/>
                    <w:spacing w:after="0"/>
                    <w:ind w:left="0" w:right="57"/>
                  </w:pPr>
                  <w:r w:rsidRPr="00EA0ADF">
                    <w:t>0.0</w:t>
                  </w:r>
                </w:p>
              </w:tc>
            </w:tr>
            <w:tr w:rsidR="00AC2131" w:rsidTr="00AC2131">
              <w:tc>
                <w:tcPr>
                  <w:tcW w:w="2001" w:type="pct"/>
                  <w:shd w:val="clear" w:color="auto" w:fill="auto"/>
                  <w:vAlign w:val="bottom"/>
                </w:tcPr>
                <w:p w:rsidR="00AC2131" w:rsidRPr="00937824" w:rsidRDefault="00AC2131">
                  <w:pPr>
                    <w:rPr>
                      <w:rFonts w:ascii="Arial" w:hAnsi="Arial" w:cs="Arial"/>
                      <w:b/>
                      <w:bCs/>
                      <w:sz w:val="18"/>
                      <w:szCs w:val="18"/>
                    </w:rPr>
                  </w:pPr>
                  <w:r w:rsidRPr="00937824">
                    <w:rPr>
                      <w:rFonts w:ascii="Arial" w:hAnsi="Arial" w:cs="Arial"/>
                      <w:b/>
                      <w:bCs/>
                      <w:sz w:val="18"/>
                      <w:szCs w:val="18"/>
                    </w:rPr>
                    <w:t>Mining</w:t>
                  </w:r>
                </w:p>
              </w:tc>
              <w:tc>
                <w:tcPr>
                  <w:tcW w:w="500" w:type="pct"/>
                  <w:vAlign w:val="center"/>
                </w:tcPr>
                <w:p w:rsidR="00AC2131" w:rsidRPr="00EA0ADF" w:rsidRDefault="00AC2131" w:rsidP="00AC2131">
                  <w:pPr>
                    <w:pStyle w:val="TableBodyText"/>
                    <w:spacing w:after="0"/>
                    <w:ind w:left="0" w:right="57"/>
                    <w:rPr>
                      <w:b/>
                    </w:rPr>
                  </w:pPr>
                  <w:r w:rsidRPr="00EA0ADF">
                    <w:rPr>
                      <w:b/>
                    </w:rPr>
                    <w:t>0.0</w:t>
                  </w:r>
                </w:p>
              </w:tc>
              <w:tc>
                <w:tcPr>
                  <w:tcW w:w="500" w:type="pct"/>
                  <w:vAlign w:val="center"/>
                </w:tcPr>
                <w:p w:rsidR="00AC2131" w:rsidRPr="00EA0ADF" w:rsidRDefault="00AC2131" w:rsidP="00AC2131">
                  <w:pPr>
                    <w:pStyle w:val="TableBodyText"/>
                    <w:spacing w:after="0"/>
                    <w:ind w:left="0" w:right="57"/>
                    <w:rPr>
                      <w:b/>
                    </w:rPr>
                  </w:pPr>
                  <w:r w:rsidRPr="00EA0ADF">
                    <w:rPr>
                      <w:b/>
                    </w:rPr>
                    <w:t>0.0</w:t>
                  </w:r>
                </w:p>
              </w:tc>
              <w:tc>
                <w:tcPr>
                  <w:tcW w:w="500" w:type="pct"/>
                  <w:vAlign w:val="center"/>
                </w:tcPr>
                <w:p w:rsidR="00AC2131" w:rsidRPr="00EA0ADF" w:rsidRDefault="00AC2131" w:rsidP="00AC2131">
                  <w:pPr>
                    <w:pStyle w:val="TableBodyText"/>
                    <w:spacing w:after="0"/>
                    <w:ind w:left="0" w:right="57"/>
                    <w:rPr>
                      <w:b/>
                    </w:rPr>
                  </w:pPr>
                  <w:r w:rsidRPr="00EA0ADF">
                    <w:rPr>
                      <w:b/>
                    </w:rPr>
                    <w:t>0.0</w:t>
                  </w:r>
                </w:p>
              </w:tc>
              <w:tc>
                <w:tcPr>
                  <w:tcW w:w="500" w:type="pct"/>
                  <w:vAlign w:val="center"/>
                </w:tcPr>
                <w:p w:rsidR="00AC2131" w:rsidRPr="00EA0ADF" w:rsidRDefault="00AC2131" w:rsidP="00AC2131">
                  <w:pPr>
                    <w:pStyle w:val="TableBodyText"/>
                    <w:spacing w:after="0"/>
                    <w:ind w:left="0" w:right="57"/>
                    <w:rPr>
                      <w:b/>
                    </w:rPr>
                  </w:pPr>
                  <w:r w:rsidRPr="00EA0ADF">
                    <w:rPr>
                      <w:b/>
                    </w:rPr>
                    <w:t>0.0</w:t>
                  </w:r>
                </w:p>
              </w:tc>
              <w:tc>
                <w:tcPr>
                  <w:tcW w:w="500" w:type="pct"/>
                  <w:shd w:val="clear" w:color="auto" w:fill="auto"/>
                  <w:vAlign w:val="center"/>
                </w:tcPr>
                <w:p w:rsidR="00AC2131" w:rsidRPr="00EA0ADF" w:rsidRDefault="00AC2131" w:rsidP="00AC2131">
                  <w:pPr>
                    <w:pStyle w:val="TableBodyText"/>
                    <w:spacing w:after="0"/>
                    <w:ind w:left="0" w:right="57"/>
                    <w:rPr>
                      <w:b/>
                    </w:rPr>
                  </w:pPr>
                  <w:r w:rsidRPr="00EA0ADF">
                    <w:rPr>
                      <w:b/>
                    </w:rPr>
                    <w:t>0.0</w:t>
                  </w:r>
                </w:p>
              </w:tc>
              <w:tc>
                <w:tcPr>
                  <w:tcW w:w="500" w:type="pct"/>
                  <w:shd w:val="clear" w:color="auto" w:fill="auto"/>
                  <w:vAlign w:val="center"/>
                </w:tcPr>
                <w:p w:rsidR="00AC2131" w:rsidRPr="00EA0ADF" w:rsidRDefault="00AC2131" w:rsidP="00AC2131">
                  <w:pPr>
                    <w:pStyle w:val="TableBodyText"/>
                    <w:spacing w:after="0"/>
                    <w:ind w:left="0" w:right="57"/>
                    <w:rPr>
                      <w:b/>
                    </w:rPr>
                  </w:pPr>
                  <w:r w:rsidRPr="00EA0ADF">
                    <w:rPr>
                      <w:b/>
                    </w:rPr>
                    <w:t>0.0</w:t>
                  </w:r>
                </w:p>
              </w:tc>
            </w:tr>
            <w:tr w:rsidR="00AC2131" w:rsidTr="00AC2131">
              <w:tc>
                <w:tcPr>
                  <w:tcW w:w="2001" w:type="pct"/>
                  <w:shd w:val="clear" w:color="auto" w:fill="auto"/>
                  <w:vAlign w:val="bottom"/>
                </w:tcPr>
                <w:p w:rsidR="00AC2131" w:rsidRPr="00937824" w:rsidRDefault="00AC2131">
                  <w:pPr>
                    <w:rPr>
                      <w:rFonts w:ascii="Arial" w:hAnsi="Arial" w:cs="Arial"/>
                      <w:b/>
                      <w:bCs/>
                      <w:sz w:val="18"/>
                      <w:szCs w:val="18"/>
                    </w:rPr>
                  </w:pPr>
                  <w:r w:rsidRPr="00937824">
                    <w:rPr>
                      <w:rFonts w:ascii="Arial" w:hAnsi="Arial" w:cs="Arial"/>
                      <w:b/>
                      <w:bCs/>
                      <w:sz w:val="18"/>
                      <w:szCs w:val="18"/>
                    </w:rPr>
                    <w:t>Manufacturing</w:t>
                  </w:r>
                  <w:r>
                    <w:rPr>
                      <w:rStyle w:val="NoteLabel"/>
                    </w:rPr>
                    <w:t>b</w:t>
                  </w:r>
                </w:p>
              </w:tc>
              <w:tc>
                <w:tcPr>
                  <w:tcW w:w="500" w:type="pct"/>
                  <w:vAlign w:val="center"/>
                </w:tcPr>
                <w:p w:rsidR="00AC2131" w:rsidRPr="00EA0ADF" w:rsidRDefault="00AC2131" w:rsidP="00AC2131">
                  <w:pPr>
                    <w:pStyle w:val="TableBodyText"/>
                    <w:spacing w:after="0"/>
                    <w:ind w:left="0" w:right="57"/>
                    <w:rPr>
                      <w:b/>
                    </w:rPr>
                  </w:pPr>
                  <w:r w:rsidRPr="00EA0ADF">
                    <w:rPr>
                      <w:b/>
                    </w:rPr>
                    <w:t>2.5</w:t>
                  </w:r>
                </w:p>
              </w:tc>
              <w:tc>
                <w:tcPr>
                  <w:tcW w:w="500" w:type="pct"/>
                  <w:vAlign w:val="center"/>
                </w:tcPr>
                <w:p w:rsidR="00AC2131" w:rsidRPr="00EA0ADF" w:rsidRDefault="00AC2131" w:rsidP="00AC2131">
                  <w:pPr>
                    <w:pStyle w:val="TableBodyText"/>
                    <w:spacing w:after="0"/>
                    <w:ind w:left="0" w:right="57"/>
                    <w:rPr>
                      <w:b/>
                    </w:rPr>
                  </w:pPr>
                  <w:r w:rsidRPr="00EA0ADF">
                    <w:rPr>
                      <w:b/>
                    </w:rPr>
                    <w:t>2.4</w:t>
                  </w:r>
                </w:p>
              </w:tc>
              <w:tc>
                <w:tcPr>
                  <w:tcW w:w="500" w:type="pct"/>
                  <w:vAlign w:val="center"/>
                </w:tcPr>
                <w:p w:rsidR="00AC2131" w:rsidRPr="00EA0ADF" w:rsidRDefault="00AC2131" w:rsidP="00AC2131">
                  <w:pPr>
                    <w:pStyle w:val="TableBodyText"/>
                    <w:spacing w:after="0"/>
                    <w:ind w:left="0" w:right="57"/>
                    <w:rPr>
                      <w:b/>
                    </w:rPr>
                  </w:pPr>
                  <w:r w:rsidRPr="00EA0ADF">
                    <w:rPr>
                      <w:b/>
                    </w:rPr>
                    <w:t>2.3</w:t>
                  </w:r>
                </w:p>
              </w:tc>
              <w:tc>
                <w:tcPr>
                  <w:tcW w:w="500" w:type="pct"/>
                  <w:vAlign w:val="center"/>
                </w:tcPr>
                <w:p w:rsidR="00AC2131" w:rsidRPr="00EA0ADF" w:rsidRDefault="00AC2131" w:rsidP="00AC2131">
                  <w:pPr>
                    <w:pStyle w:val="TableBodyText"/>
                    <w:spacing w:after="0"/>
                    <w:ind w:left="0" w:right="57"/>
                    <w:rPr>
                      <w:b/>
                    </w:rPr>
                  </w:pPr>
                  <w:r w:rsidRPr="00EA0ADF">
                    <w:rPr>
                      <w:b/>
                    </w:rPr>
                    <w:t>2.2</w:t>
                  </w:r>
                </w:p>
              </w:tc>
              <w:tc>
                <w:tcPr>
                  <w:tcW w:w="500" w:type="pct"/>
                  <w:shd w:val="clear" w:color="auto" w:fill="auto"/>
                  <w:vAlign w:val="center"/>
                </w:tcPr>
                <w:p w:rsidR="00AC2131" w:rsidRPr="00EA0ADF" w:rsidRDefault="00AC2131" w:rsidP="00AC2131">
                  <w:pPr>
                    <w:pStyle w:val="TableBodyText"/>
                    <w:spacing w:after="0"/>
                    <w:ind w:left="0" w:right="57"/>
                    <w:rPr>
                      <w:b/>
                    </w:rPr>
                  </w:pPr>
                  <w:r w:rsidRPr="00EA0ADF">
                    <w:rPr>
                      <w:b/>
                    </w:rPr>
                    <w:t>2.2</w:t>
                  </w:r>
                </w:p>
              </w:tc>
              <w:tc>
                <w:tcPr>
                  <w:tcW w:w="500" w:type="pct"/>
                  <w:shd w:val="clear" w:color="auto" w:fill="auto"/>
                  <w:vAlign w:val="center"/>
                </w:tcPr>
                <w:p w:rsidR="00AC2131" w:rsidRPr="00EA0ADF" w:rsidRDefault="00AC2131" w:rsidP="00AC2131">
                  <w:pPr>
                    <w:pStyle w:val="TableBodyText"/>
                    <w:spacing w:after="0"/>
                    <w:ind w:left="0" w:right="57"/>
                    <w:rPr>
                      <w:b/>
                    </w:rPr>
                  </w:pPr>
                  <w:r w:rsidRPr="00EA0ADF">
                    <w:rPr>
                      <w:b/>
                    </w:rPr>
                    <w:t>2.2</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Food, beverages and tobacco</w:t>
                  </w:r>
                </w:p>
              </w:tc>
              <w:tc>
                <w:tcPr>
                  <w:tcW w:w="500" w:type="pct"/>
                  <w:vAlign w:val="center"/>
                </w:tcPr>
                <w:p w:rsidR="00AC2131" w:rsidRPr="00EA0ADF" w:rsidRDefault="00AC2131" w:rsidP="00AC2131">
                  <w:pPr>
                    <w:pStyle w:val="TableBodyText"/>
                    <w:spacing w:after="0"/>
                    <w:ind w:left="0" w:right="57"/>
                  </w:pPr>
                  <w:r w:rsidRPr="00EA0ADF">
                    <w:t>2.1</w:t>
                  </w:r>
                </w:p>
              </w:tc>
              <w:tc>
                <w:tcPr>
                  <w:tcW w:w="500" w:type="pct"/>
                  <w:vAlign w:val="center"/>
                </w:tcPr>
                <w:p w:rsidR="00AC2131" w:rsidRPr="00EA0ADF" w:rsidRDefault="00AC2131" w:rsidP="00AC2131">
                  <w:pPr>
                    <w:pStyle w:val="TableBodyText"/>
                    <w:spacing w:after="0"/>
                    <w:ind w:left="0" w:right="57"/>
                  </w:pPr>
                  <w:r w:rsidRPr="00EA0ADF">
                    <w:t>2.1</w:t>
                  </w:r>
                </w:p>
              </w:tc>
              <w:tc>
                <w:tcPr>
                  <w:tcW w:w="500" w:type="pct"/>
                  <w:vAlign w:val="center"/>
                </w:tcPr>
                <w:p w:rsidR="00AC2131" w:rsidRPr="00EA0ADF" w:rsidRDefault="00AC2131" w:rsidP="00AC2131">
                  <w:pPr>
                    <w:pStyle w:val="TableBodyText"/>
                    <w:spacing w:after="0"/>
                    <w:ind w:left="0" w:right="57"/>
                  </w:pPr>
                  <w:r w:rsidRPr="00EA0ADF">
                    <w:t>2.1</w:t>
                  </w:r>
                </w:p>
              </w:tc>
              <w:tc>
                <w:tcPr>
                  <w:tcW w:w="500" w:type="pct"/>
                  <w:vAlign w:val="center"/>
                </w:tcPr>
                <w:p w:rsidR="00AC2131" w:rsidRPr="00EA0ADF" w:rsidRDefault="00AC2131" w:rsidP="00AC2131">
                  <w:pPr>
                    <w:pStyle w:val="TableBodyText"/>
                    <w:spacing w:after="0"/>
                    <w:ind w:left="0" w:right="57"/>
                  </w:pPr>
                  <w:r w:rsidRPr="00EA0ADF">
                    <w:t>2.1</w:t>
                  </w:r>
                </w:p>
              </w:tc>
              <w:tc>
                <w:tcPr>
                  <w:tcW w:w="500" w:type="pct"/>
                  <w:shd w:val="clear" w:color="auto" w:fill="auto"/>
                  <w:vAlign w:val="center"/>
                </w:tcPr>
                <w:p w:rsidR="00AC2131" w:rsidRPr="00EA0ADF" w:rsidRDefault="00AC2131" w:rsidP="00AC2131">
                  <w:pPr>
                    <w:pStyle w:val="TableBodyText"/>
                    <w:spacing w:after="0"/>
                    <w:ind w:left="0" w:right="57"/>
                  </w:pPr>
                  <w:r w:rsidRPr="00EA0ADF">
                    <w:t>2.1</w:t>
                  </w:r>
                </w:p>
              </w:tc>
              <w:tc>
                <w:tcPr>
                  <w:tcW w:w="500" w:type="pct"/>
                  <w:shd w:val="clear" w:color="auto" w:fill="auto"/>
                  <w:vAlign w:val="center"/>
                </w:tcPr>
                <w:p w:rsidR="00AC2131" w:rsidRPr="00EA0ADF" w:rsidRDefault="00AC2131" w:rsidP="00AC2131">
                  <w:pPr>
                    <w:pStyle w:val="TableBodyText"/>
                    <w:spacing w:after="0"/>
                    <w:ind w:left="0" w:right="57"/>
                  </w:pPr>
                  <w:r w:rsidRPr="00EA0ADF">
                    <w:t>2.1</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Textile</w:t>
                  </w:r>
                  <w:r>
                    <w:rPr>
                      <w:rFonts w:ascii="Arial" w:hAnsi="Arial" w:cs="Arial"/>
                      <w:sz w:val="18"/>
                      <w:szCs w:val="18"/>
                    </w:rPr>
                    <w:t>s</w:t>
                  </w:r>
                  <w:r w:rsidRPr="00937824">
                    <w:rPr>
                      <w:rFonts w:ascii="Arial" w:hAnsi="Arial" w:cs="Arial"/>
                      <w:sz w:val="18"/>
                      <w:szCs w:val="18"/>
                    </w:rPr>
                    <w:t>, leather, clothing and footwear</w:t>
                  </w:r>
                </w:p>
              </w:tc>
              <w:tc>
                <w:tcPr>
                  <w:tcW w:w="500" w:type="pct"/>
                  <w:vAlign w:val="center"/>
                </w:tcPr>
                <w:p w:rsidR="00AC2131" w:rsidRPr="00EA0ADF" w:rsidRDefault="00AC2131" w:rsidP="00AC2131">
                  <w:pPr>
                    <w:pStyle w:val="TableBodyText"/>
                    <w:spacing w:after="0"/>
                    <w:ind w:left="0" w:right="57"/>
                  </w:pPr>
                  <w:r w:rsidRPr="00EA0ADF">
                    <w:t>8.4</w:t>
                  </w:r>
                </w:p>
              </w:tc>
              <w:tc>
                <w:tcPr>
                  <w:tcW w:w="500" w:type="pct"/>
                  <w:vAlign w:val="center"/>
                </w:tcPr>
                <w:p w:rsidR="00AC2131" w:rsidRPr="00EA0ADF" w:rsidRDefault="00AC2131" w:rsidP="00AC2131">
                  <w:pPr>
                    <w:pStyle w:val="TableBodyText"/>
                    <w:spacing w:after="0"/>
                    <w:ind w:left="0" w:right="57"/>
                  </w:pPr>
                  <w:r w:rsidRPr="00EA0ADF">
                    <w:t>6.7</w:t>
                  </w:r>
                </w:p>
              </w:tc>
              <w:tc>
                <w:tcPr>
                  <w:tcW w:w="500" w:type="pct"/>
                  <w:vAlign w:val="center"/>
                </w:tcPr>
                <w:p w:rsidR="00AC2131" w:rsidRPr="00EA0ADF" w:rsidRDefault="00AC2131" w:rsidP="00AC2131">
                  <w:pPr>
                    <w:pStyle w:val="TableBodyText"/>
                    <w:spacing w:after="0"/>
                    <w:ind w:left="0" w:right="57"/>
                  </w:pPr>
                  <w:r w:rsidRPr="00EA0ADF">
                    <w:t>4.9</w:t>
                  </w:r>
                </w:p>
              </w:tc>
              <w:tc>
                <w:tcPr>
                  <w:tcW w:w="500" w:type="pct"/>
                  <w:vAlign w:val="center"/>
                </w:tcPr>
                <w:p w:rsidR="00AC2131" w:rsidRPr="00EA0ADF" w:rsidRDefault="00AC2131" w:rsidP="00AC2131">
                  <w:pPr>
                    <w:pStyle w:val="TableBodyText"/>
                    <w:spacing w:after="0"/>
                    <w:ind w:left="0" w:right="57"/>
                  </w:pPr>
                  <w:r w:rsidRPr="00EA0ADF">
                    <w:t>4.9</w:t>
                  </w:r>
                </w:p>
              </w:tc>
              <w:tc>
                <w:tcPr>
                  <w:tcW w:w="500" w:type="pct"/>
                  <w:shd w:val="clear" w:color="auto" w:fill="auto"/>
                  <w:vAlign w:val="center"/>
                </w:tcPr>
                <w:p w:rsidR="00AC2131" w:rsidRPr="00EA0ADF" w:rsidRDefault="00AC2131" w:rsidP="00AC2131">
                  <w:pPr>
                    <w:pStyle w:val="TableBodyText"/>
                    <w:spacing w:after="0"/>
                    <w:ind w:left="0" w:right="57"/>
                  </w:pPr>
                  <w:r w:rsidRPr="00EA0ADF">
                    <w:t>4.9</w:t>
                  </w:r>
                </w:p>
              </w:tc>
              <w:tc>
                <w:tcPr>
                  <w:tcW w:w="500" w:type="pct"/>
                  <w:shd w:val="clear" w:color="auto" w:fill="auto"/>
                  <w:vAlign w:val="center"/>
                </w:tcPr>
                <w:p w:rsidR="00AC2131" w:rsidRPr="00EA0ADF" w:rsidRDefault="00AC2131" w:rsidP="00AC2131">
                  <w:pPr>
                    <w:pStyle w:val="TableBodyText"/>
                    <w:spacing w:after="0"/>
                    <w:ind w:left="0" w:right="57"/>
                  </w:pPr>
                  <w:r w:rsidRPr="00EA0ADF">
                    <w:t>4.9</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Wood and paper products</w:t>
                  </w:r>
                </w:p>
              </w:tc>
              <w:tc>
                <w:tcPr>
                  <w:tcW w:w="500" w:type="pct"/>
                  <w:vAlign w:val="center"/>
                </w:tcPr>
                <w:p w:rsidR="00AC2131" w:rsidRPr="00EA0ADF" w:rsidRDefault="00AC2131" w:rsidP="00AC2131">
                  <w:pPr>
                    <w:pStyle w:val="TableBodyText"/>
                    <w:spacing w:after="0"/>
                    <w:ind w:left="0" w:right="57"/>
                  </w:pPr>
                  <w:r w:rsidRPr="00EA0ADF">
                    <w:t>3.8</w:t>
                  </w:r>
                </w:p>
              </w:tc>
              <w:tc>
                <w:tcPr>
                  <w:tcW w:w="500" w:type="pct"/>
                  <w:vAlign w:val="center"/>
                </w:tcPr>
                <w:p w:rsidR="00AC2131" w:rsidRPr="00EA0ADF" w:rsidRDefault="00AC2131" w:rsidP="00AC2131">
                  <w:pPr>
                    <w:pStyle w:val="TableBodyText"/>
                    <w:spacing w:after="0"/>
                    <w:ind w:left="0" w:right="57"/>
                  </w:pPr>
                  <w:r w:rsidRPr="00EA0ADF">
                    <w:t>3.7</w:t>
                  </w:r>
                </w:p>
              </w:tc>
              <w:tc>
                <w:tcPr>
                  <w:tcW w:w="500" w:type="pct"/>
                  <w:vAlign w:val="center"/>
                </w:tcPr>
                <w:p w:rsidR="00AC2131" w:rsidRPr="00EA0ADF" w:rsidRDefault="00AC2131" w:rsidP="00AC2131">
                  <w:pPr>
                    <w:pStyle w:val="TableBodyText"/>
                    <w:spacing w:after="0"/>
                    <w:ind w:left="0" w:right="57"/>
                  </w:pPr>
                  <w:r w:rsidRPr="00EA0ADF">
                    <w:t>3.7</w:t>
                  </w:r>
                </w:p>
              </w:tc>
              <w:tc>
                <w:tcPr>
                  <w:tcW w:w="500" w:type="pct"/>
                  <w:vAlign w:val="center"/>
                </w:tcPr>
                <w:p w:rsidR="00AC2131" w:rsidRPr="00EA0ADF" w:rsidRDefault="00AC2131" w:rsidP="00AC2131">
                  <w:pPr>
                    <w:pStyle w:val="TableBodyText"/>
                    <w:spacing w:after="0"/>
                    <w:ind w:left="0" w:right="57"/>
                  </w:pPr>
                  <w:r w:rsidRPr="00EA0ADF">
                    <w:t>3.7</w:t>
                  </w:r>
                </w:p>
              </w:tc>
              <w:tc>
                <w:tcPr>
                  <w:tcW w:w="500" w:type="pct"/>
                  <w:shd w:val="clear" w:color="auto" w:fill="auto"/>
                  <w:vAlign w:val="center"/>
                </w:tcPr>
                <w:p w:rsidR="00AC2131" w:rsidRPr="00EA0ADF" w:rsidRDefault="00AC2131" w:rsidP="00AC2131">
                  <w:pPr>
                    <w:pStyle w:val="TableBodyText"/>
                    <w:spacing w:after="0"/>
                    <w:ind w:left="0" w:right="57"/>
                  </w:pPr>
                  <w:r w:rsidRPr="00EA0ADF">
                    <w:t>3.7</w:t>
                  </w:r>
                </w:p>
              </w:tc>
              <w:tc>
                <w:tcPr>
                  <w:tcW w:w="500" w:type="pct"/>
                  <w:shd w:val="clear" w:color="auto" w:fill="auto"/>
                  <w:vAlign w:val="center"/>
                </w:tcPr>
                <w:p w:rsidR="00AC2131" w:rsidRPr="00EA0ADF" w:rsidRDefault="00AC2131" w:rsidP="00AC2131">
                  <w:pPr>
                    <w:pStyle w:val="TableBodyText"/>
                    <w:spacing w:after="0"/>
                    <w:ind w:left="0" w:right="57"/>
                  </w:pPr>
                  <w:r w:rsidRPr="00EA0ADF">
                    <w:t>3.7</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Printing and recorded media</w:t>
                  </w:r>
                </w:p>
              </w:tc>
              <w:tc>
                <w:tcPr>
                  <w:tcW w:w="500" w:type="pct"/>
                  <w:vAlign w:val="center"/>
                </w:tcPr>
                <w:p w:rsidR="00AC2131" w:rsidRPr="00EA0ADF" w:rsidRDefault="00AC2131" w:rsidP="00AC2131">
                  <w:pPr>
                    <w:pStyle w:val="TableBodyText"/>
                    <w:spacing w:after="0"/>
                    <w:ind w:left="0" w:right="57"/>
                  </w:pPr>
                  <w:r w:rsidRPr="00EA0ADF">
                    <w:t>2.9</w:t>
                  </w:r>
                </w:p>
              </w:tc>
              <w:tc>
                <w:tcPr>
                  <w:tcW w:w="500" w:type="pct"/>
                  <w:vAlign w:val="center"/>
                </w:tcPr>
                <w:p w:rsidR="00AC2131" w:rsidRPr="00EA0ADF" w:rsidRDefault="00AC2131" w:rsidP="00AC2131">
                  <w:pPr>
                    <w:pStyle w:val="TableBodyText"/>
                    <w:spacing w:after="0"/>
                    <w:ind w:left="0" w:right="57"/>
                  </w:pPr>
                  <w:r w:rsidRPr="00EA0ADF">
                    <w:t>2.9</w:t>
                  </w:r>
                </w:p>
              </w:tc>
              <w:tc>
                <w:tcPr>
                  <w:tcW w:w="500" w:type="pct"/>
                  <w:vAlign w:val="center"/>
                </w:tcPr>
                <w:p w:rsidR="00AC2131" w:rsidRPr="00EA0ADF" w:rsidRDefault="00AC2131" w:rsidP="00AC2131">
                  <w:pPr>
                    <w:pStyle w:val="TableBodyText"/>
                    <w:spacing w:after="0"/>
                    <w:ind w:left="0" w:right="57"/>
                  </w:pPr>
                  <w:r w:rsidRPr="00EA0ADF">
                    <w:t>2.9</w:t>
                  </w:r>
                </w:p>
              </w:tc>
              <w:tc>
                <w:tcPr>
                  <w:tcW w:w="500" w:type="pct"/>
                  <w:vAlign w:val="center"/>
                </w:tcPr>
                <w:p w:rsidR="00AC2131" w:rsidRPr="00EA0ADF" w:rsidRDefault="00AC2131" w:rsidP="00AC2131">
                  <w:pPr>
                    <w:pStyle w:val="TableBodyText"/>
                    <w:spacing w:after="0"/>
                    <w:ind w:left="0" w:right="57"/>
                  </w:pPr>
                  <w:r w:rsidRPr="00EA0ADF">
                    <w:t>2.9</w:t>
                  </w:r>
                </w:p>
              </w:tc>
              <w:tc>
                <w:tcPr>
                  <w:tcW w:w="500" w:type="pct"/>
                  <w:shd w:val="clear" w:color="auto" w:fill="auto"/>
                  <w:vAlign w:val="center"/>
                </w:tcPr>
                <w:p w:rsidR="00AC2131" w:rsidRPr="00EA0ADF" w:rsidRDefault="00AC2131" w:rsidP="00AC2131">
                  <w:pPr>
                    <w:pStyle w:val="TableBodyText"/>
                    <w:spacing w:after="0"/>
                    <w:ind w:left="0" w:right="57"/>
                  </w:pPr>
                  <w:r w:rsidRPr="00EA0ADF">
                    <w:t>2.9</w:t>
                  </w:r>
                </w:p>
              </w:tc>
              <w:tc>
                <w:tcPr>
                  <w:tcW w:w="500" w:type="pct"/>
                  <w:shd w:val="clear" w:color="auto" w:fill="auto"/>
                  <w:vAlign w:val="center"/>
                </w:tcPr>
                <w:p w:rsidR="00AC2131" w:rsidRPr="00EA0ADF" w:rsidRDefault="00AC2131" w:rsidP="00AC2131">
                  <w:pPr>
                    <w:pStyle w:val="TableBodyText"/>
                    <w:spacing w:after="0"/>
                    <w:ind w:left="0" w:right="57"/>
                  </w:pPr>
                  <w:r w:rsidRPr="00EA0ADF">
                    <w:t>2.9</w:t>
                  </w:r>
                </w:p>
              </w:tc>
            </w:tr>
            <w:tr w:rsidR="00AC2131" w:rsidTr="00AC2131">
              <w:tc>
                <w:tcPr>
                  <w:tcW w:w="2001" w:type="pct"/>
                  <w:shd w:val="clear" w:color="auto" w:fill="auto"/>
                  <w:vAlign w:val="bottom"/>
                </w:tcPr>
                <w:p w:rsidR="00AC2131" w:rsidRPr="00937824" w:rsidRDefault="00AC2131" w:rsidP="00AC2131">
                  <w:pPr>
                    <w:rPr>
                      <w:rFonts w:ascii="Arial" w:hAnsi="Arial" w:cs="Arial"/>
                      <w:sz w:val="18"/>
                      <w:szCs w:val="18"/>
                    </w:rPr>
                  </w:pPr>
                  <w:r w:rsidRPr="00937824">
                    <w:rPr>
                      <w:rFonts w:ascii="Arial" w:hAnsi="Arial" w:cs="Arial"/>
                      <w:sz w:val="18"/>
                      <w:szCs w:val="18"/>
                    </w:rPr>
                    <w:t>Petroleum, coal, chemical and rubber</w:t>
                  </w:r>
                </w:p>
              </w:tc>
              <w:tc>
                <w:tcPr>
                  <w:tcW w:w="500" w:type="pct"/>
                  <w:vAlign w:val="center"/>
                </w:tcPr>
                <w:p w:rsidR="00AC2131" w:rsidRPr="00EA0ADF" w:rsidRDefault="00AC2131" w:rsidP="00AC2131">
                  <w:pPr>
                    <w:pStyle w:val="TableBodyText"/>
                    <w:spacing w:after="0"/>
                    <w:ind w:left="0" w:right="57"/>
                  </w:pPr>
                  <w:r w:rsidRPr="00EA0ADF">
                    <w:t>1.6</w:t>
                  </w:r>
                </w:p>
              </w:tc>
              <w:tc>
                <w:tcPr>
                  <w:tcW w:w="500" w:type="pct"/>
                  <w:vAlign w:val="center"/>
                </w:tcPr>
                <w:p w:rsidR="00AC2131" w:rsidRPr="00EA0ADF" w:rsidRDefault="00AC2131" w:rsidP="00AC2131">
                  <w:pPr>
                    <w:pStyle w:val="TableBodyText"/>
                    <w:spacing w:after="0"/>
                    <w:ind w:left="0" w:right="57"/>
                  </w:pPr>
                  <w:r w:rsidRPr="00EA0ADF">
                    <w:t>1.6</w:t>
                  </w:r>
                </w:p>
              </w:tc>
              <w:tc>
                <w:tcPr>
                  <w:tcW w:w="500" w:type="pct"/>
                  <w:vAlign w:val="center"/>
                </w:tcPr>
                <w:p w:rsidR="00AC2131" w:rsidRPr="00EA0ADF" w:rsidRDefault="00AC2131" w:rsidP="00AC2131">
                  <w:pPr>
                    <w:pStyle w:val="TableBodyText"/>
                    <w:spacing w:after="0"/>
                    <w:ind w:left="0" w:right="57"/>
                  </w:pPr>
                  <w:r w:rsidRPr="00EA0ADF">
                    <w:t>1.7</w:t>
                  </w:r>
                </w:p>
              </w:tc>
              <w:tc>
                <w:tcPr>
                  <w:tcW w:w="500" w:type="pct"/>
                  <w:vAlign w:val="center"/>
                </w:tcPr>
                <w:p w:rsidR="00AC2131" w:rsidRPr="00EA0ADF" w:rsidRDefault="00AC2131" w:rsidP="00AC2131">
                  <w:pPr>
                    <w:pStyle w:val="TableBodyText"/>
                    <w:spacing w:after="0"/>
                    <w:ind w:left="0" w:right="57"/>
                  </w:pPr>
                  <w:r w:rsidRPr="00EA0ADF">
                    <w:t>1.6</w:t>
                  </w:r>
                </w:p>
              </w:tc>
              <w:tc>
                <w:tcPr>
                  <w:tcW w:w="500" w:type="pct"/>
                  <w:shd w:val="clear" w:color="auto" w:fill="auto"/>
                  <w:vAlign w:val="center"/>
                </w:tcPr>
                <w:p w:rsidR="00AC2131" w:rsidRPr="00EA0ADF" w:rsidRDefault="00AC2131" w:rsidP="00AC2131">
                  <w:pPr>
                    <w:pStyle w:val="TableBodyText"/>
                    <w:spacing w:after="0"/>
                    <w:ind w:left="0" w:right="57"/>
                  </w:pPr>
                  <w:r w:rsidRPr="00EA0ADF">
                    <w:t>1.6</w:t>
                  </w:r>
                </w:p>
              </w:tc>
              <w:tc>
                <w:tcPr>
                  <w:tcW w:w="500" w:type="pct"/>
                  <w:shd w:val="clear" w:color="auto" w:fill="auto"/>
                  <w:vAlign w:val="center"/>
                </w:tcPr>
                <w:p w:rsidR="00AC2131" w:rsidRPr="00EA0ADF" w:rsidRDefault="00AC2131" w:rsidP="00AC2131">
                  <w:pPr>
                    <w:pStyle w:val="TableBodyText"/>
                    <w:spacing w:after="0"/>
                    <w:ind w:left="0" w:right="57"/>
                  </w:pPr>
                  <w:r w:rsidRPr="00EA0ADF">
                    <w:t>1.7</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Non-Metallic mineral products</w:t>
                  </w:r>
                </w:p>
              </w:tc>
              <w:tc>
                <w:tcPr>
                  <w:tcW w:w="500" w:type="pct"/>
                  <w:vAlign w:val="center"/>
                </w:tcPr>
                <w:p w:rsidR="00AC2131" w:rsidRPr="00EA0ADF" w:rsidRDefault="00AC2131" w:rsidP="00AC2131">
                  <w:pPr>
                    <w:pStyle w:val="TableBodyText"/>
                    <w:spacing w:after="0"/>
                    <w:ind w:left="0" w:right="57"/>
                  </w:pPr>
                  <w:r w:rsidRPr="00EA0ADF">
                    <w:t>2.0</w:t>
                  </w:r>
                </w:p>
              </w:tc>
              <w:tc>
                <w:tcPr>
                  <w:tcW w:w="500" w:type="pct"/>
                  <w:vAlign w:val="center"/>
                </w:tcPr>
                <w:p w:rsidR="00AC2131" w:rsidRPr="00EA0ADF" w:rsidRDefault="00AC2131" w:rsidP="00AC2131">
                  <w:pPr>
                    <w:pStyle w:val="TableBodyText"/>
                    <w:spacing w:after="0"/>
                    <w:ind w:left="0" w:right="57"/>
                  </w:pPr>
                  <w:r w:rsidRPr="00EA0ADF">
                    <w:t>2.0</w:t>
                  </w:r>
                </w:p>
              </w:tc>
              <w:tc>
                <w:tcPr>
                  <w:tcW w:w="500" w:type="pct"/>
                  <w:vAlign w:val="center"/>
                </w:tcPr>
                <w:p w:rsidR="00AC2131" w:rsidRPr="00EA0ADF" w:rsidRDefault="00AC2131" w:rsidP="00AC2131">
                  <w:pPr>
                    <w:pStyle w:val="TableBodyText"/>
                    <w:spacing w:after="0"/>
                    <w:ind w:left="0" w:right="57"/>
                  </w:pPr>
                  <w:r w:rsidRPr="00EA0ADF">
                    <w:t>2.0</w:t>
                  </w:r>
                </w:p>
              </w:tc>
              <w:tc>
                <w:tcPr>
                  <w:tcW w:w="500" w:type="pct"/>
                  <w:vAlign w:val="center"/>
                </w:tcPr>
                <w:p w:rsidR="00AC2131" w:rsidRPr="00EA0ADF" w:rsidRDefault="00AC2131" w:rsidP="00AC2131">
                  <w:pPr>
                    <w:pStyle w:val="TableBodyText"/>
                    <w:spacing w:after="0"/>
                    <w:ind w:left="0" w:right="57"/>
                  </w:pPr>
                  <w:r w:rsidRPr="00EA0ADF">
                    <w:t>2.0</w:t>
                  </w:r>
                </w:p>
              </w:tc>
              <w:tc>
                <w:tcPr>
                  <w:tcW w:w="500" w:type="pct"/>
                  <w:shd w:val="clear" w:color="auto" w:fill="auto"/>
                  <w:vAlign w:val="center"/>
                </w:tcPr>
                <w:p w:rsidR="00AC2131" w:rsidRPr="00EA0ADF" w:rsidRDefault="00AC2131" w:rsidP="00AC2131">
                  <w:pPr>
                    <w:pStyle w:val="TableBodyText"/>
                    <w:spacing w:after="0"/>
                    <w:ind w:left="0" w:right="57"/>
                  </w:pPr>
                  <w:r w:rsidRPr="00EA0ADF">
                    <w:t>2.0</w:t>
                  </w:r>
                </w:p>
              </w:tc>
              <w:tc>
                <w:tcPr>
                  <w:tcW w:w="500" w:type="pct"/>
                  <w:shd w:val="clear" w:color="auto" w:fill="auto"/>
                  <w:vAlign w:val="center"/>
                </w:tcPr>
                <w:p w:rsidR="00AC2131" w:rsidRPr="00EA0ADF" w:rsidRDefault="00AC2131" w:rsidP="00AC2131">
                  <w:pPr>
                    <w:pStyle w:val="TableBodyText"/>
                    <w:spacing w:after="0"/>
                    <w:ind w:left="0" w:right="57"/>
                  </w:pPr>
                  <w:r w:rsidRPr="00EA0ADF">
                    <w:t>2.0</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Metal and fabricated metal products</w:t>
                  </w:r>
                </w:p>
              </w:tc>
              <w:tc>
                <w:tcPr>
                  <w:tcW w:w="500" w:type="pct"/>
                  <w:vAlign w:val="center"/>
                </w:tcPr>
                <w:p w:rsidR="00AC2131" w:rsidRPr="00EA0ADF" w:rsidRDefault="00AC2131" w:rsidP="00AC2131">
                  <w:pPr>
                    <w:pStyle w:val="TableBodyText"/>
                    <w:spacing w:after="0"/>
                    <w:ind w:left="0" w:right="57"/>
                  </w:pPr>
                  <w:r w:rsidRPr="00EA0ADF">
                    <w:t>1.9</w:t>
                  </w:r>
                </w:p>
              </w:tc>
              <w:tc>
                <w:tcPr>
                  <w:tcW w:w="500" w:type="pct"/>
                  <w:vAlign w:val="center"/>
                </w:tcPr>
                <w:p w:rsidR="00AC2131" w:rsidRPr="00EA0ADF" w:rsidRDefault="00AC2131" w:rsidP="00AC2131">
                  <w:pPr>
                    <w:pStyle w:val="TableBodyText"/>
                    <w:spacing w:after="0"/>
                    <w:ind w:left="0" w:right="57"/>
                  </w:pPr>
                  <w:r w:rsidRPr="00EA0ADF">
                    <w:t>1.9</w:t>
                  </w:r>
                </w:p>
              </w:tc>
              <w:tc>
                <w:tcPr>
                  <w:tcW w:w="500" w:type="pct"/>
                  <w:vAlign w:val="center"/>
                </w:tcPr>
                <w:p w:rsidR="00AC2131" w:rsidRPr="00EA0ADF" w:rsidRDefault="00AC2131" w:rsidP="00AC2131">
                  <w:pPr>
                    <w:pStyle w:val="TableBodyText"/>
                    <w:spacing w:after="0"/>
                    <w:ind w:left="0" w:right="57"/>
                  </w:pPr>
                  <w:r w:rsidRPr="00EA0ADF">
                    <w:t>1.9</w:t>
                  </w:r>
                </w:p>
              </w:tc>
              <w:tc>
                <w:tcPr>
                  <w:tcW w:w="500" w:type="pct"/>
                  <w:vAlign w:val="center"/>
                </w:tcPr>
                <w:p w:rsidR="00AC2131" w:rsidRPr="00EA0ADF" w:rsidRDefault="00AC2131" w:rsidP="00AC2131">
                  <w:pPr>
                    <w:pStyle w:val="TableBodyText"/>
                    <w:spacing w:after="0"/>
                    <w:ind w:left="0" w:right="57"/>
                  </w:pPr>
                  <w:r w:rsidRPr="00EA0ADF">
                    <w:t>1.9</w:t>
                  </w:r>
                </w:p>
              </w:tc>
              <w:tc>
                <w:tcPr>
                  <w:tcW w:w="500" w:type="pct"/>
                  <w:shd w:val="clear" w:color="auto" w:fill="auto"/>
                  <w:vAlign w:val="center"/>
                </w:tcPr>
                <w:p w:rsidR="00AC2131" w:rsidRPr="00EA0ADF" w:rsidRDefault="00AC2131" w:rsidP="00AC2131">
                  <w:pPr>
                    <w:pStyle w:val="TableBodyText"/>
                    <w:spacing w:after="0"/>
                    <w:ind w:left="0" w:right="57"/>
                  </w:pPr>
                  <w:r w:rsidRPr="00EA0ADF">
                    <w:t>1.9</w:t>
                  </w:r>
                </w:p>
              </w:tc>
              <w:tc>
                <w:tcPr>
                  <w:tcW w:w="500" w:type="pct"/>
                  <w:shd w:val="clear" w:color="auto" w:fill="auto"/>
                  <w:vAlign w:val="center"/>
                </w:tcPr>
                <w:p w:rsidR="00AC2131" w:rsidRPr="00EA0ADF" w:rsidRDefault="00AC2131" w:rsidP="00AC2131">
                  <w:pPr>
                    <w:pStyle w:val="TableBodyText"/>
                    <w:spacing w:after="0"/>
                    <w:ind w:left="0" w:right="57"/>
                  </w:pPr>
                  <w:r w:rsidRPr="00EA0ADF">
                    <w:t>1.9</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Motor vehicle</w:t>
                  </w:r>
                  <w:r>
                    <w:rPr>
                      <w:rFonts w:ascii="Arial" w:hAnsi="Arial" w:cs="Arial"/>
                      <w:sz w:val="18"/>
                      <w:szCs w:val="18"/>
                    </w:rPr>
                    <w:t>s</w:t>
                  </w:r>
                  <w:r w:rsidRPr="00937824">
                    <w:rPr>
                      <w:rFonts w:ascii="Arial" w:hAnsi="Arial" w:cs="Arial"/>
                      <w:sz w:val="18"/>
                      <w:szCs w:val="18"/>
                    </w:rPr>
                    <w:t xml:space="preserve"> and parts</w:t>
                  </w:r>
                </w:p>
              </w:tc>
              <w:tc>
                <w:tcPr>
                  <w:tcW w:w="500" w:type="pct"/>
                  <w:vAlign w:val="center"/>
                </w:tcPr>
                <w:p w:rsidR="00AC2131" w:rsidRPr="00EA0ADF" w:rsidRDefault="00AC2131" w:rsidP="00AC2131">
                  <w:pPr>
                    <w:pStyle w:val="TableBodyText"/>
                    <w:spacing w:after="0"/>
                    <w:ind w:left="0" w:right="57"/>
                  </w:pPr>
                  <w:r w:rsidRPr="00EA0ADF">
                    <w:t>8.0</w:t>
                  </w:r>
                </w:p>
              </w:tc>
              <w:tc>
                <w:tcPr>
                  <w:tcW w:w="500" w:type="pct"/>
                  <w:vAlign w:val="center"/>
                </w:tcPr>
                <w:p w:rsidR="00AC2131" w:rsidRPr="00EA0ADF" w:rsidRDefault="00AC2131" w:rsidP="00AC2131">
                  <w:pPr>
                    <w:pStyle w:val="TableBodyText"/>
                    <w:spacing w:after="0"/>
                    <w:ind w:left="0" w:right="57"/>
                  </w:pPr>
                  <w:r w:rsidRPr="00EA0ADF">
                    <w:t>7.1</w:t>
                  </w:r>
                </w:p>
              </w:tc>
              <w:tc>
                <w:tcPr>
                  <w:tcW w:w="500" w:type="pct"/>
                  <w:vAlign w:val="center"/>
                </w:tcPr>
                <w:p w:rsidR="00AC2131" w:rsidRPr="00EA0ADF" w:rsidRDefault="00AC2131" w:rsidP="00AC2131">
                  <w:pPr>
                    <w:pStyle w:val="TableBodyText"/>
                    <w:spacing w:after="0"/>
                    <w:ind w:left="0" w:right="57"/>
                  </w:pPr>
                  <w:r w:rsidRPr="00EA0ADF">
                    <w:t>5.1</w:t>
                  </w:r>
                </w:p>
              </w:tc>
              <w:tc>
                <w:tcPr>
                  <w:tcW w:w="500" w:type="pct"/>
                  <w:vAlign w:val="center"/>
                </w:tcPr>
                <w:p w:rsidR="00AC2131" w:rsidRPr="00EA0ADF" w:rsidRDefault="00AC2131" w:rsidP="00AC2131">
                  <w:pPr>
                    <w:pStyle w:val="TableBodyText"/>
                    <w:spacing w:after="0"/>
                    <w:ind w:left="0" w:right="57"/>
                  </w:pPr>
                  <w:r w:rsidRPr="00EA0ADF">
                    <w:t>3.8</w:t>
                  </w:r>
                </w:p>
              </w:tc>
              <w:tc>
                <w:tcPr>
                  <w:tcW w:w="500" w:type="pct"/>
                  <w:shd w:val="clear" w:color="auto" w:fill="auto"/>
                  <w:vAlign w:val="center"/>
                </w:tcPr>
                <w:p w:rsidR="00AC2131" w:rsidRPr="00EA0ADF" w:rsidRDefault="00AC2131" w:rsidP="00AC2131">
                  <w:pPr>
                    <w:pStyle w:val="TableBodyText"/>
                    <w:spacing w:after="0"/>
                    <w:ind w:left="0" w:right="57"/>
                  </w:pPr>
                  <w:r w:rsidRPr="00EA0ADF">
                    <w:t>3.8</w:t>
                  </w:r>
                </w:p>
              </w:tc>
              <w:tc>
                <w:tcPr>
                  <w:tcW w:w="500" w:type="pct"/>
                  <w:shd w:val="clear" w:color="auto" w:fill="auto"/>
                  <w:vAlign w:val="center"/>
                </w:tcPr>
                <w:p w:rsidR="00AC2131" w:rsidRPr="00EA0ADF" w:rsidRDefault="00AC2131" w:rsidP="00AC2131">
                  <w:pPr>
                    <w:pStyle w:val="TableBodyText"/>
                    <w:spacing w:after="0"/>
                    <w:ind w:left="0" w:right="57"/>
                  </w:pPr>
                  <w:r w:rsidRPr="00EA0ADF">
                    <w:t>3.8</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Other transport equipment</w:t>
                  </w:r>
                </w:p>
              </w:tc>
              <w:tc>
                <w:tcPr>
                  <w:tcW w:w="500" w:type="pct"/>
                  <w:vAlign w:val="center"/>
                </w:tcPr>
                <w:p w:rsidR="00AC2131" w:rsidRPr="00EA0ADF" w:rsidRDefault="00AC2131" w:rsidP="00AC2131">
                  <w:pPr>
                    <w:pStyle w:val="TableBodyText"/>
                    <w:spacing w:after="0"/>
                    <w:ind w:left="0" w:right="57"/>
                  </w:pPr>
                  <w:r w:rsidRPr="00EA0ADF">
                    <w:t>0.9</w:t>
                  </w:r>
                </w:p>
              </w:tc>
              <w:tc>
                <w:tcPr>
                  <w:tcW w:w="500" w:type="pct"/>
                  <w:vAlign w:val="center"/>
                </w:tcPr>
                <w:p w:rsidR="00AC2131" w:rsidRPr="00EA0ADF" w:rsidRDefault="00AC2131" w:rsidP="00AC2131">
                  <w:pPr>
                    <w:pStyle w:val="TableBodyText"/>
                    <w:spacing w:after="0"/>
                    <w:ind w:left="0" w:right="57"/>
                  </w:pPr>
                  <w:r w:rsidRPr="00EA0ADF">
                    <w:t>0.9</w:t>
                  </w:r>
                </w:p>
              </w:tc>
              <w:tc>
                <w:tcPr>
                  <w:tcW w:w="500" w:type="pct"/>
                  <w:vAlign w:val="center"/>
                </w:tcPr>
                <w:p w:rsidR="00AC2131" w:rsidRPr="00EA0ADF" w:rsidRDefault="00AC2131" w:rsidP="00AC2131">
                  <w:pPr>
                    <w:pStyle w:val="TableBodyText"/>
                    <w:spacing w:after="0"/>
                    <w:ind w:left="0" w:right="57"/>
                  </w:pPr>
                  <w:r w:rsidRPr="00EA0ADF">
                    <w:t>0.9</w:t>
                  </w:r>
                </w:p>
              </w:tc>
              <w:tc>
                <w:tcPr>
                  <w:tcW w:w="500" w:type="pct"/>
                  <w:vAlign w:val="center"/>
                </w:tcPr>
                <w:p w:rsidR="00AC2131" w:rsidRPr="00EA0ADF" w:rsidRDefault="00AC2131" w:rsidP="00AC2131">
                  <w:pPr>
                    <w:pStyle w:val="TableBodyText"/>
                    <w:spacing w:after="0"/>
                    <w:ind w:left="0" w:right="57"/>
                  </w:pPr>
                  <w:r w:rsidRPr="00EA0ADF">
                    <w:t>0.9</w:t>
                  </w:r>
                </w:p>
              </w:tc>
              <w:tc>
                <w:tcPr>
                  <w:tcW w:w="500" w:type="pct"/>
                  <w:shd w:val="clear" w:color="auto" w:fill="auto"/>
                  <w:vAlign w:val="center"/>
                </w:tcPr>
                <w:p w:rsidR="00AC2131" w:rsidRPr="00EA0ADF" w:rsidRDefault="00AC2131" w:rsidP="00AC2131">
                  <w:pPr>
                    <w:pStyle w:val="TableBodyText"/>
                    <w:spacing w:after="0"/>
                    <w:ind w:left="0" w:right="57"/>
                  </w:pPr>
                  <w:r w:rsidRPr="00EA0ADF">
                    <w:t>0.9</w:t>
                  </w:r>
                </w:p>
              </w:tc>
              <w:tc>
                <w:tcPr>
                  <w:tcW w:w="500" w:type="pct"/>
                  <w:shd w:val="clear" w:color="auto" w:fill="auto"/>
                  <w:vAlign w:val="center"/>
                </w:tcPr>
                <w:p w:rsidR="00AC2131" w:rsidRPr="00EA0ADF" w:rsidRDefault="00AC2131" w:rsidP="00AC2131">
                  <w:pPr>
                    <w:pStyle w:val="TableBodyText"/>
                    <w:spacing w:after="0"/>
                    <w:ind w:left="0" w:right="57"/>
                  </w:pPr>
                  <w:r w:rsidRPr="00EA0ADF">
                    <w:t>0.9</w:t>
                  </w:r>
                </w:p>
              </w:tc>
            </w:tr>
            <w:tr w:rsidR="00AC2131" w:rsidTr="00AC2131">
              <w:tc>
                <w:tcPr>
                  <w:tcW w:w="2001" w:type="pct"/>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Machinery and equipment manufacturing</w:t>
                  </w:r>
                </w:p>
              </w:tc>
              <w:tc>
                <w:tcPr>
                  <w:tcW w:w="500" w:type="pct"/>
                  <w:vAlign w:val="center"/>
                </w:tcPr>
                <w:p w:rsidR="00AC2131" w:rsidRPr="00EA0ADF" w:rsidRDefault="00AC2131" w:rsidP="00AC2131">
                  <w:pPr>
                    <w:pStyle w:val="TableBodyText"/>
                    <w:spacing w:after="0"/>
                    <w:ind w:left="0" w:right="57"/>
                  </w:pPr>
                  <w:r w:rsidRPr="00EA0ADF">
                    <w:t>2.0</w:t>
                  </w:r>
                </w:p>
              </w:tc>
              <w:tc>
                <w:tcPr>
                  <w:tcW w:w="500" w:type="pct"/>
                  <w:vAlign w:val="center"/>
                </w:tcPr>
                <w:p w:rsidR="00AC2131" w:rsidRPr="00EA0ADF" w:rsidRDefault="00AC2131" w:rsidP="00AC2131">
                  <w:pPr>
                    <w:pStyle w:val="TableBodyText"/>
                    <w:spacing w:after="0"/>
                    <w:ind w:left="0" w:right="57"/>
                  </w:pPr>
                  <w:r w:rsidRPr="00EA0ADF">
                    <w:t>2.0</w:t>
                  </w:r>
                </w:p>
              </w:tc>
              <w:tc>
                <w:tcPr>
                  <w:tcW w:w="500" w:type="pct"/>
                  <w:vAlign w:val="center"/>
                </w:tcPr>
                <w:p w:rsidR="00AC2131" w:rsidRPr="00EA0ADF" w:rsidRDefault="00AC2131" w:rsidP="00AC2131">
                  <w:pPr>
                    <w:pStyle w:val="TableBodyText"/>
                    <w:spacing w:after="0"/>
                    <w:ind w:left="0" w:right="57"/>
                  </w:pPr>
                  <w:r w:rsidRPr="00EA0ADF">
                    <w:t>1.9</w:t>
                  </w:r>
                </w:p>
              </w:tc>
              <w:tc>
                <w:tcPr>
                  <w:tcW w:w="500" w:type="pct"/>
                  <w:vAlign w:val="center"/>
                </w:tcPr>
                <w:p w:rsidR="00AC2131" w:rsidRPr="00EA0ADF" w:rsidRDefault="00AC2131" w:rsidP="00AC2131">
                  <w:pPr>
                    <w:pStyle w:val="TableBodyText"/>
                    <w:spacing w:after="0"/>
                    <w:ind w:left="0" w:right="57"/>
                  </w:pPr>
                  <w:r w:rsidRPr="00EA0ADF">
                    <w:t>1.9</w:t>
                  </w:r>
                </w:p>
              </w:tc>
              <w:tc>
                <w:tcPr>
                  <w:tcW w:w="500" w:type="pct"/>
                  <w:shd w:val="clear" w:color="auto" w:fill="auto"/>
                  <w:vAlign w:val="center"/>
                </w:tcPr>
                <w:p w:rsidR="00AC2131" w:rsidRPr="00EA0ADF" w:rsidRDefault="00AC2131" w:rsidP="00AC2131">
                  <w:pPr>
                    <w:pStyle w:val="TableBodyText"/>
                    <w:spacing w:after="0"/>
                    <w:ind w:left="0" w:right="57"/>
                  </w:pPr>
                  <w:r w:rsidRPr="00EA0ADF">
                    <w:t>1.9</w:t>
                  </w:r>
                </w:p>
              </w:tc>
              <w:tc>
                <w:tcPr>
                  <w:tcW w:w="500" w:type="pct"/>
                  <w:shd w:val="clear" w:color="auto" w:fill="auto"/>
                  <w:vAlign w:val="center"/>
                </w:tcPr>
                <w:p w:rsidR="00AC2131" w:rsidRPr="00EA0ADF" w:rsidRDefault="00AC2131" w:rsidP="00AC2131">
                  <w:pPr>
                    <w:pStyle w:val="TableBodyText"/>
                    <w:spacing w:after="0"/>
                    <w:ind w:left="0" w:right="57"/>
                  </w:pPr>
                  <w:r w:rsidRPr="00EA0ADF">
                    <w:t>1.9</w:t>
                  </w:r>
                </w:p>
              </w:tc>
            </w:tr>
            <w:tr w:rsidR="00AC2131" w:rsidTr="00AC2131">
              <w:tc>
                <w:tcPr>
                  <w:tcW w:w="2001" w:type="pct"/>
                  <w:tcBorders>
                    <w:bottom w:val="single" w:sz="6" w:space="0" w:color="BFBFBF"/>
                  </w:tcBorders>
                  <w:shd w:val="clear" w:color="auto" w:fill="auto"/>
                  <w:vAlign w:val="bottom"/>
                </w:tcPr>
                <w:p w:rsidR="00AC2131" w:rsidRPr="00937824" w:rsidRDefault="00AC2131">
                  <w:pPr>
                    <w:rPr>
                      <w:rFonts w:ascii="Arial" w:hAnsi="Arial" w:cs="Arial"/>
                      <w:sz w:val="18"/>
                      <w:szCs w:val="18"/>
                    </w:rPr>
                  </w:pPr>
                  <w:r w:rsidRPr="00937824">
                    <w:rPr>
                      <w:rFonts w:ascii="Arial" w:hAnsi="Arial" w:cs="Arial"/>
                      <w:sz w:val="18"/>
                      <w:szCs w:val="18"/>
                    </w:rPr>
                    <w:t>Furniture and other manufacturing</w:t>
                  </w:r>
                </w:p>
              </w:tc>
              <w:tc>
                <w:tcPr>
                  <w:tcW w:w="500" w:type="pct"/>
                  <w:tcBorders>
                    <w:bottom w:val="single" w:sz="6" w:space="0" w:color="BFBFBF"/>
                  </w:tcBorders>
                  <w:vAlign w:val="center"/>
                </w:tcPr>
                <w:p w:rsidR="00AC2131" w:rsidRPr="00EA0ADF" w:rsidRDefault="00AC2131" w:rsidP="00AC2131">
                  <w:pPr>
                    <w:pStyle w:val="TableBodyText"/>
                    <w:spacing w:after="0"/>
                    <w:ind w:left="0" w:right="57"/>
                  </w:pPr>
                  <w:r w:rsidRPr="00EA0ADF">
                    <w:t>3.2</w:t>
                  </w:r>
                </w:p>
              </w:tc>
              <w:tc>
                <w:tcPr>
                  <w:tcW w:w="500" w:type="pct"/>
                  <w:tcBorders>
                    <w:bottom w:val="single" w:sz="6" w:space="0" w:color="BFBFBF"/>
                  </w:tcBorders>
                  <w:vAlign w:val="center"/>
                </w:tcPr>
                <w:p w:rsidR="00AC2131" w:rsidRPr="00EA0ADF" w:rsidRDefault="00AC2131" w:rsidP="00AC2131">
                  <w:pPr>
                    <w:pStyle w:val="TableBodyText"/>
                    <w:spacing w:after="0"/>
                    <w:ind w:left="0" w:right="57"/>
                  </w:pPr>
                  <w:r w:rsidRPr="00EA0ADF">
                    <w:t>3.2</w:t>
                  </w:r>
                </w:p>
              </w:tc>
              <w:tc>
                <w:tcPr>
                  <w:tcW w:w="500" w:type="pct"/>
                  <w:tcBorders>
                    <w:bottom w:val="single" w:sz="6" w:space="0" w:color="BFBFBF"/>
                  </w:tcBorders>
                  <w:vAlign w:val="center"/>
                </w:tcPr>
                <w:p w:rsidR="00AC2131" w:rsidRPr="00EA0ADF" w:rsidRDefault="00AC2131" w:rsidP="00AC2131">
                  <w:pPr>
                    <w:pStyle w:val="TableBodyText"/>
                    <w:spacing w:after="0"/>
                    <w:ind w:left="0" w:right="57"/>
                  </w:pPr>
                  <w:r w:rsidRPr="00EA0ADF">
                    <w:t>3.2</w:t>
                  </w:r>
                </w:p>
              </w:tc>
              <w:tc>
                <w:tcPr>
                  <w:tcW w:w="500" w:type="pct"/>
                  <w:tcBorders>
                    <w:bottom w:val="single" w:sz="6" w:space="0" w:color="BFBFBF"/>
                  </w:tcBorders>
                  <w:vAlign w:val="center"/>
                </w:tcPr>
                <w:p w:rsidR="00AC2131" w:rsidRPr="00EA0ADF" w:rsidRDefault="00AC2131" w:rsidP="00AC2131">
                  <w:pPr>
                    <w:pStyle w:val="TableBodyText"/>
                    <w:spacing w:after="0"/>
                    <w:ind w:left="0" w:right="57"/>
                  </w:pPr>
                  <w:r w:rsidRPr="00EA0ADF">
                    <w:t>3.2</w:t>
                  </w:r>
                </w:p>
              </w:tc>
              <w:tc>
                <w:tcPr>
                  <w:tcW w:w="500" w:type="pct"/>
                  <w:tcBorders>
                    <w:bottom w:val="single" w:sz="6" w:space="0" w:color="BFBFBF"/>
                  </w:tcBorders>
                  <w:shd w:val="clear" w:color="auto" w:fill="auto"/>
                  <w:vAlign w:val="center"/>
                </w:tcPr>
                <w:p w:rsidR="00AC2131" w:rsidRPr="00EA0ADF" w:rsidRDefault="00AC2131" w:rsidP="00AC2131">
                  <w:pPr>
                    <w:pStyle w:val="TableBodyText"/>
                    <w:spacing w:after="0"/>
                    <w:ind w:left="0" w:right="57"/>
                  </w:pPr>
                  <w:r w:rsidRPr="00EA0ADF">
                    <w:t>3.2</w:t>
                  </w:r>
                </w:p>
              </w:tc>
              <w:tc>
                <w:tcPr>
                  <w:tcW w:w="500" w:type="pct"/>
                  <w:tcBorders>
                    <w:bottom w:val="single" w:sz="6" w:space="0" w:color="BFBFBF"/>
                  </w:tcBorders>
                  <w:shd w:val="clear" w:color="auto" w:fill="auto"/>
                  <w:vAlign w:val="center"/>
                </w:tcPr>
                <w:p w:rsidR="00AC2131" w:rsidRPr="00EA0ADF" w:rsidRDefault="00AC2131" w:rsidP="00AC2131">
                  <w:pPr>
                    <w:pStyle w:val="TableBodyText"/>
                    <w:spacing w:after="0"/>
                    <w:ind w:left="0" w:right="57"/>
                  </w:pPr>
                  <w:r w:rsidRPr="00EA0ADF">
                    <w:t>3.2</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Pr>
                <w:rFonts w:cs="Arial"/>
                <w:szCs w:val="18"/>
              </w:rPr>
              <w:t xml:space="preserve">– Nil. </w:t>
            </w:r>
            <w:r w:rsidRPr="00C74A79">
              <w:rPr>
                <w:rFonts w:cs="Arial"/>
                <w:szCs w:val="18"/>
              </w:rPr>
              <w:t>Figures may not add to totals due to rounding.</w:t>
            </w:r>
            <w:r>
              <w:rPr>
                <w:rFonts w:cs="Arial"/>
                <w:szCs w:val="18"/>
              </w:rPr>
              <w:t xml:space="preserve"> </w:t>
            </w:r>
            <w:r w:rsidRPr="008E77FE">
              <w:rPr>
                <w:rStyle w:val="NoteLabel"/>
              </w:rPr>
              <w:t>a</w:t>
            </w:r>
            <w:r>
              <w:t xml:space="preserve"> Combined assistance comprises tariff, budgetary and agricultural pricing and regulatory assistance. </w:t>
            </w:r>
            <w:r>
              <w:rPr>
                <w:rStyle w:val="NoteLabel"/>
              </w:rPr>
              <w:t>b</w:t>
            </w:r>
            <w:r>
              <w:t> Sectoral estimates include assistance to the sector that has not been allocated to specific industry groupings.</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3"/>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w:t>
            </w:r>
            <w:r>
              <w:rPr>
                <w:b w:val="0"/>
                <w:noProof/>
              </w:rPr>
              <w:t>9</w:t>
            </w:r>
            <w:r>
              <w:tab/>
            </w:r>
            <w:r w:rsidRPr="00BF5C30">
              <w:t xml:space="preserve">Nominal rate of combined assistance on materials </w:t>
            </w:r>
            <w:r>
              <w:br/>
            </w:r>
            <w:r w:rsidRPr="00BF5C30">
              <w:t>by industry grouping, 2008</w:t>
            </w:r>
            <w:r>
              <w:noBreakHyphen/>
            </w:r>
            <w:r w:rsidRPr="00BF5C30">
              <w:t>09 to 2013</w:t>
            </w:r>
            <w:r>
              <w:noBreakHyphen/>
            </w:r>
            <w:r w:rsidRPr="00BF5C30">
              <w:t>14</w:t>
            </w:r>
            <w:r w:rsidRPr="006B64DF">
              <w:rPr>
                <w:rStyle w:val="NoteLabel"/>
                <w:b/>
              </w:rPr>
              <w:t>a</w:t>
            </w:r>
          </w:p>
          <w:p w:rsidR="00AC2131" w:rsidRPr="00784A05" w:rsidRDefault="00AC2131" w:rsidP="00AC2131">
            <w:pPr>
              <w:pStyle w:val="Subtitle"/>
            </w:pPr>
            <w:r w:rsidRPr="00BF5C30">
              <w:t>per cent</w:t>
            </w:r>
          </w:p>
        </w:tc>
      </w:tr>
      <w:tr w:rsidR="00AC2131" w:rsidTr="00AC2131">
        <w:trPr>
          <w:cantSplit/>
        </w:trPr>
        <w:tc>
          <w:tcPr>
            <w:tcW w:w="8771" w:type="dxa"/>
            <w:tcBorders>
              <w:top w:val="nil"/>
              <w:left w:val="nil"/>
              <w:bottom w:val="nil"/>
              <w:right w:val="nil"/>
            </w:tcBorders>
            <w:shd w:val="clear" w:color="auto" w:fill="auto"/>
          </w:tcPr>
          <w:tbl>
            <w:tblPr>
              <w:tblW w:w="8499" w:type="dxa"/>
              <w:tblCellMar>
                <w:top w:w="28" w:type="dxa"/>
                <w:left w:w="0" w:type="dxa"/>
                <w:right w:w="0" w:type="dxa"/>
              </w:tblCellMar>
              <w:tblLook w:val="0000" w:firstRow="0" w:lastRow="0" w:firstColumn="0" w:lastColumn="0" w:noHBand="0" w:noVBand="0"/>
            </w:tblPr>
            <w:tblGrid>
              <w:gridCol w:w="3404"/>
              <w:gridCol w:w="852"/>
              <w:gridCol w:w="850"/>
              <w:gridCol w:w="850"/>
              <w:gridCol w:w="848"/>
              <w:gridCol w:w="848"/>
              <w:gridCol w:w="847"/>
            </w:tblGrid>
            <w:tr w:rsidR="00AC2131" w:rsidTr="00AC2131">
              <w:tc>
                <w:tcPr>
                  <w:tcW w:w="2003"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Industry grouping</w:t>
                  </w:r>
                </w:p>
              </w:tc>
              <w:tc>
                <w:tcPr>
                  <w:tcW w:w="501"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500"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500"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99"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003" w:type="pct"/>
                  <w:tcBorders>
                    <w:top w:val="single" w:sz="6" w:space="0" w:color="BFBFBF"/>
                  </w:tcBorders>
                  <w:vAlign w:val="center"/>
                </w:tcPr>
                <w:p w:rsidR="00AC2131" w:rsidRPr="00633D27" w:rsidRDefault="00AC2131">
                  <w:pPr>
                    <w:rPr>
                      <w:rFonts w:ascii="Arial" w:hAnsi="Arial" w:cs="Arial"/>
                      <w:b/>
                      <w:bCs/>
                      <w:sz w:val="18"/>
                      <w:szCs w:val="18"/>
                    </w:rPr>
                  </w:pPr>
                  <w:r w:rsidRPr="00633D27">
                    <w:rPr>
                      <w:rFonts w:ascii="Arial" w:hAnsi="Arial" w:cs="Arial"/>
                      <w:b/>
                      <w:bCs/>
                      <w:sz w:val="18"/>
                      <w:szCs w:val="18"/>
                    </w:rPr>
                    <w:t>Primary Production</w:t>
                  </w:r>
                  <w:r>
                    <w:rPr>
                      <w:rStyle w:val="NoteLabel"/>
                    </w:rPr>
                    <w:t>b</w:t>
                  </w:r>
                </w:p>
              </w:tc>
              <w:tc>
                <w:tcPr>
                  <w:tcW w:w="501"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0.3</w:t>
                  </w:r>
                </w:p>
              </w:tc>
              <w:tc>
                <w:tcPr>
                  <w:tcW w:w="500"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0.2</w:t>
                  </w:r>
                </w:p>
              </w:tc>
              <w:tc>
                <w:tcPr>
                  <w:tcW w:w="500"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0.2</w:t>
                  </w:r>
                </w:p>
              </w:tc>
              <w:tc>
                <w:tcPr>
                  <w:tcW w:w="499"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0.2</w:t>
                  </w:r>
                </w:p>
              </w:tc>
              <w:tc>
                <w:tcPr>
                  <w:tcW w:w="499"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0.2</w:t>
                  </w:r>
                </w:p>
              </w:tc>
              <w:tc>
                <w:tcPr>
                  <w:tcW w:w="499" w:type="pct"/>
                  <w:tcBorders>
                    <w:top w:val="single" w:sz="6" w:space="0" w:color="BFBFBF"/>
                  </w:tcBorders>
                  <w:vAlign w:val="center"/>
                </w:tcPr>
                <w:p w:rsidR="00AC2131" w:rsidRPr="00EA0ADF" w:rsidRDefault="00AC2131" w:rsidP="00AC2131">
                  <w:pPr>
                    <w:pStyle w:val="TableBodyText"/>
                    <w:spacing w:after="0"/>
                    <w:ind w:left="0" w:right="57"/>
                    <w:rPr>
                      <w:b/>
                    </w:rPr>
                  </w:pPr>
                  <w:r w:rsidRPr="00EA0ADF">
                    <w:rPr>
                      <w:b/>
                    </w:rPr>
                    <w:t>0.3</w:t>
                  </w:r>
                </w:p>
              </w:tc>
            </w:tr>
            <w:tr w:rsidR="00AC2131" w:rsidTr="00AC2131">
              <w:tc>
                <w:tcPr>
                  <w:tcW w:w="2003" w:type="pct"/>
                  <w:vAlign w:val="bottom"/>
                </w:tcPr>
                <w:p w:rsidR="00AC2131" w:rsidRPr="00633D27" w:rsidRDefault="00AC2131">
                  <w:pPr>
                    <w:rPr>
                      <w:rFonts w:ascii="Arial" w:hAnsi="Arial" w:cs="Arial"/>
                      <w:sz w:val="18"/>
                      <w:szCs w:val="18"/>
                    </w:rPr>
                  </w:pPr>
                  <w:r w:rsidRPr="00633D27">
                    <w:rPr>
                      <w:rFonts w:ascii="Arial" w:hAnsi="Arial" w:cs="Arial"/>
                      <w:sz w:val="18"/>
                      <w:szCs w:val="18"/>
                    </w:rPr>
                    <w:t>Horticulture and fruit growing</w:t>
                  </w:r>
                </w:p>
              </w:tc>
              <w:tc>
                <w:tcPr>
                  <w:tcW w:w="501" w:type="pct"/>
                  <w:vAlign w:val="center"/>
                </w:tcPr>
                <w:p w:rsidR="00AC2131" w:rsidRPr="00EA0ADF" w:rsidRDefault="00AC2131" w:rsidP="00AC2131">
                  <w:pPr>
                    <w:pStyle w:val="TableBodyText"/>
                    <w:spacing w:after="0"/>
                    <w:ind w:left="0" w:right="57"/>
                  </w:pPr>
                  <w:r w:rsidRPr="00EA0ADF">
                    <w:t>0.2</w:t>
                  </w:r>
                </w:p>
              </w:tc>
              <w:tc>
                <w:tcPr>
                  <w:tcW w:w="500" w:type="pct"/>
                  <w:vAlign w:val="center"/>
                </w:tcPr>
                <w:p w:rsidR="00AC2131" w:rsidRPr="00EA0ADF" w:rsidRDefault="00AC2131" w:rsidP="00AC2131">
                  <w:pPr>
                    <w:pStyle w:val="TableBodyText"/>
                    <w:spacing w:after="0"/>
                    <w:ind w:left="0" w:right="57"/>
                  </w:pPr>
                  <w:r w:rsidRPr="00EA0ADF">
                    <w:t>0.2</w:t>
                  </w:r>
                </w:p>
              </w:tc>
              <w:tc>
                <w:tcPr>
                  <w:tcW w:w="500" w:type="pct"/>
                  <w:vAlign w:val="center"/>
                </w:tcPr>
                <w:p w:rsidR="00AC2131" w:rsidRPr="00EA0ADF" w:rsidRDefault="00AC2131" w:rsidP="00AC2131">
                  <w:pPr>
                    <w:pStyle w:val="TableBodyText"/>
                    <w:spacing w:after="0"/>
                    <w:ind w:left="0" w:right="57"/>
                  </w:pPr>
                  <w:r w:rsidRPr="00EA0ADF">
                    <w:t>0.2</w:t>
                  </w:r>
                </w:p>
              </w:tc>
              <w:tc>
                <w:tcPr>
                  <w:tcW w:w="499" w:type="pct"/>
                  <w:vAlign w:val="center"/>
                </w:tcPr>
                <w:p w:rsidR="00AC2131" w:rsidRPr="00EA0ADF" w:rsidRDefault="00AC2131" w:rsidP="00AC2131">
                  <w:pPr>
                    <w:pStyle w:val="TableBodyText"/>
                    <w:spacing w:after="0"/>
                    <w:ind w:left="0" w:right="57"/>
                  </w:pPr>
                  <w:r w:rsidRPr="00EA0ADF">
                    <w:t>0.2</w:t>
                  </w:r>
                </w:p>
              </w:tc>
              <w:tc>
                <w:tcPr>
                  <w:tcW w:w="499" w:type="pct"/>
                  <w:vAlign w:val="center"/>
                </w:tcPr>
                <w:p w:rsidR="00AC2131" w:rsidRPr="00EA0ADF" w:rsidRDefault="00AC2131" w:rsidP="00AC2131">
                  <w:pPr>
                    <w:pStyle w:val="TableBodyText"/>
                    <w:spacing w:after="0"/>
                    <w:ind w:left="0" w:right="57"/>
                  </w:pPr>
                  <w:r w:rsidRPr="00EA0ADF">
                    <w:t>0.2</w:t>
                  </w:r>
                </w:p>
              </w:tc>
              <w:tc>
                <w:tcPr>
                  <w:tcW w:w="499" w:type="pct"/>
                  <w:vAlign w:val="center"/>
                </w:tcPr>
                <w:p w:rsidR="00AC2131" w:rsidRPr="00EA0ADF" w:rsidRDefault="00AC2131" w:rsidP="00AC2131">
                  <w:pPr>
                    <w:pStyle w:val="TableBodyText"/>
                    <w:spacing w:after="0"/>
                    <w:ind w:left="0" w:right="57"/>
                  </w:pPr>
                  <w:r w:rsidRPr="00EA0ADF">
                    <w:t>0.2</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Sheep, beef cattle and grain farming</w:t>
                  </w:r>
                </w:p>
              </w:tc>
              <w:tc>
                <w:tcPr>
                  <w:tcW w:w="501" w:type="pct"/>
                  <w:vAlign w:val="center"/>
                </w:tcPr>
                <w:p w:rsidR="00AC2131" w:rsidRPr="00EA0ADF" w:rsidRDefault="00AC2131" w:rsidP="00AC2131">
                  <w:pPr>
                    <w:pStyle w:val="TableBodyText"/>
                    <w:spacing w:after="0"/>
                    <w:ind w:left="0" w:right="57"/>
                  </w:pPr>
                  <w:r w:rsidRPr="00EA0ADF">
                    <w:t>0.2</w:t>
                  </w:r>
                </w:p>
              </w:tc>
              <w:tc>
                <w:tcPr>
                  <w:tcW w:w="500" w:type="pct"/>
                  <w:vAlign w:val="center"/>
                </w:tcPr>
                <w:p w:rsidR="00AC2131" w:rsidRPr="00EA0ADF" w:rsidRDefault="00AC2131" w:rsidP="00AC2131">
                  <w:pPr>
                    <w:pStyle w:val="TableBodyText"/>
                    <w:spacing w:after="0"/>
                    <w:ind w:left="0" w:right="57"/>
                  </w:pPr>
                  <w:r w:rsidRPr="00EA0ADF">
                    <w:t>0.1</w:t>
                  </w:r>
                </w:p>
              </w:tc>
              <w:tc>
                <w:tcPr>
                  <w:tcW w:w="500" w:type="pct"/>
                  <w:vAlign w:val="center"/>
                </w:tcPr>
                <w:p w:rsidR="00AC2131" w:rsidRPr="00EA0ADF" w:rsidRDefault="00AC2131" w:rsidP="00AC2131">
                  <w:pPr>
                    <w:pStyle w:val="TableBodyText"/>
                    <w:spacing w:after="0"/>
                    <w:ind w:left="0" w:right="57"/>
                  </w:pPr>
                  <w:r w:rsidRPr="00EA0ADF">
                    <w:t>0.1</w:t>
                  </w:r>
                </w:p>
              </w:tc>
              <w:tc>
                <w:tcPr>
                  <w:tcW w:w="499" w:type="pct"/>
                  <w:vAlign w:val="center"/>
                </w:tcPr>
                <w:p w:rsidR="00AC2131" w:rsidRPr="00EA0ADF" w:rsidRDefault="00AC2131" w:rsidP="00AC2131">
                  <w:pPr>
                    <w:pStyle w:val="TableBodyText"/>
                    <w:spacing w:after="0"/>
                    <w:ind w:left="0" w:right="57"/>
                  </w:pPr>
                  <w:r w:rsidRPr="00EA0ADF">
                    <w:t>0.1</w:t>
                  </w:r>
                </w:p>
              </w:tc>
              <w:tc>
                <w:tcPr>
                  <w:tcW w:w="499" w:type="pct"/>
                  <w:shd w:val="clear" w:color="auto" w:fill="auto"/>
                  <w:vAlign w:val="center"/>
                </w:tcPr>
                <w:p w:rsidR="00AC2131" w:rsidRPr="00EA0ADF" w:rsidRDefault="00AC2131" w:rsidP="00AC2131">
                  <w:pPr>
                    <w:pStyle w:val="TableBodyText"/>
                    <w:spacing w:after="0"/>
                    <w:ind w:left="0" w:right="57"/>
                  </w:pPr>
                  <w:r w:rsidRPr="00EA0ADF">
                    <w:t>0.1</w:t>
                  </w:r>
                </w:p>
              </w:tc>
              <w:tc>
                <w:tcPr>
                  <w:tcW w:w="499" w:type="pct"/>
                  <w:shd w:val="clear" w:color="auto" w:fill="auto"/>
                  <w:vAlign w:val="center"/>
                </w:tcPr>
                <w:p w:rsidR="00AC2131" w:rsidRPr="00EA0ADF" w:rsidRDefault="00AC2131" w:rsidP="00AC2131">
                  <w:pPr>
                    <w:pStyle w:val="TableBodyText"/>
                    <w:spacing w:after="0"/>
                    <w:ind w:left="0" w:right="57"/>
                  </w:pPr>
                  <w:r w:rsidRPr="00EA0ADF">
                    <w:t>0.1</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Other crop growing</w:t>
                  </w:r>
                </w:p>
              </w:tc>
              <w:tc>
                <w:tcPr>
                  <w:tcW w:w="501" w:type="pct"/>
                  <w:vAlign w:val="center"/>
                </w:tcPr>
                <w:p w:rsidR="00AC2131" w:rsidRPr="00EA0ADF" w:rsidRDefault="00AC2131" w:rsidP="00AC2131">
                  <w:pPr>
                    <w:pStyle w:val="TableBodyText"/>
                    <w:spacing w:after="0"/>
                    <w:ind w:left="0" w:right="57"/>
                  </w:pPr>
                  <w:r w:rsidRPr="00EA0ADF">
                    <w:t>0.2</w:t>
                  </w:r>
                </w:p>
              </w:tc>
              <w:tc>
                <w:tcPr>
                  <w:tcW w:w="500" w:type="pct"/>
                  <w:vAlign w:val="center"/>
                </w:tcPr>
                <w:p w:rsidR="00AC2131" w:rsidRPr="00EA0ADF" w:rsidRDefault="00AC2131" w:rsidP="00AC2131">
                  <w:pPr>
                    <w:pStyle w:val="TableBodyText"/>
                    <w:spacing w:after="0"/>
                    <w:ind w:left="0" w:right="57"/>
                  </w:pPr>
                  <w:r w:rsidRPr="00EA0ADF">
                    <w:t>0.2</w:t>
                  </w:r>
                </w:p>
              </w:tc>
              <w:tc>
                <w:tcPr>
                  <w:tcW w:w="500" w:type="pct"/>
                  <w:vAlign w:val="center"/>
                </w:tcPr>
                <w:p w:rsidR="00AC2131" w:rsidRPr="00EA0ADF" w:rsidRDefault="00AC2131" w:rsidP="00AC2131">
                  <w:pPr>
                    <w:pStyle w:val="TableBodyText"/>
                    <w:spacing w:after="0"/>
                    <w:ind w:left="0" w:right="57"/>
                  </w:pPr>
                  <w:r w:rsidRPr="00EA0ADF">
                    <w:t>0.2</w:t>
                  </w:r>
                </w:p>
              </w:tc>
              <w:tc>
                <w:tcPr>
                  <w:tcW w:w="499" w:type="pct"/>
                  <w:vAlign w:val="center"/>
                </w:tcPr>
                <w:p w:rsidR="00AC2131" w:rsidRPr="00EA0ADF" w:rsidRDefault="00AC2131" w:rsidP="00AC2131">
                  <w:pPr>
                    <w:pStyle w:val="TableBodyText"/>
                    <w:spacing w:after="0"/>
                    <w:ind w:left="0" w:right="57"/>
                  </w:pPr>
                  <w:r w:rsidRPr="00EA0ADF">
                    <w:t>0.2</w:t>
                  </w:r>
                </w:p>
              </w:tc>
              <w:tc>
                <w:tcPr>
                  <w:tcW w:w="499" w:type="pct"/>
                  <w:shd w:val="clear" w:color="auto" w:fill="auto"/>
                  <w:vAlign w:val="center"/>
                </w:tcPr>
                <w:p w:rsidR="00AC2131" w:rsidRPr="00EA0ADF" w:rsidRDefault="00AC2131" w:rsidP="00AC2131">
                  <w:pPr>
                    <w:pStyle w:val="TableBodyText"/>
                    <w:spacing w:after="0"/>
                    <w:ind w:left="0" w:right="57"/>
                  </w:pPr>
                  <w:r w:rsidRPr="00EA0ADF">
                    <w:t>0.2</w:t>
                  </w:r>
                </w:p>
              </w:tc>
              <w:tc>
                <w:tcPr>
                  <w:tcW w:w="499" w:type="pct"/>
                  <w:shd w:val="clear" w:color="auto" w:fill="auto"/>
                  <w:vAlign w:val="center"/>
                </w:tcPr>
                <w:p w:rsidR="00AC2131" w:rsidRPr="00EA0ADF" w:rsidRDefault="00AC2131" w:rsidP="00AC2131">
                  <w:pPr>
                    <w:pStyle w:val="TableBodyText"/>
                    <w:spacing w:after="0"/>
                    <w:ind w:left="0" w:right="57"/>
                  </w:pPr>
                  <w:r w:rsidRPr="00EA0ADF">
                    <w:t>0.2</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Dairy cattle farming</w:t>
                  </w:r>
                </w:p>
              </w:tc>
              <w:tc>
                <w:tcPr>
                  <w:tcW w:w="501" w:type="pct"/>
                  <w:vAlign w:val="center"/>
                </w:tcPr>
                <w:p w:rsidR="00AC2131" w:rsidRPr="00EA0ADF" w:rsidRDefault="00AC2131" w:rsidP="00AC2131">
                  <w:pPr>
                    <w:pStyle w:val="TableBodyText"/>
                    <w:spacing w:after="0"/>
                    <w:ind w:left="0" w:right="57"/>
                  </w:pPr>
                  <w:r w:rsidRPr="00EA0ADF">
                    <w:t>0.1</w:t>
                  </w:r>
                </w:p>
              </w:tc>
              <w:tc>
                <w:tcPr>
                  <w:tcW w:w="500" w:type="pct"/>
                  <w:vAlign w:val="center"/>
                </w:tcPr>
                <w:p w:rsidR="00AC2131" w:rsidRPr="00EA0ADF" w:rsidRDefault="00AC2131" w:rsidP="00AC2131">
                  <w:pPr>
                    <w:pStyle w:val="TableBodyText"/>
                    <w:spacing w:after="0"/>
                    <w:ind w:left="0" w:right="57"/>
                  </w:pPr>
                  <w:r w:rsidRPr="00EA0ADF">
                    <w:t>0.1</w:t>
                  </w:r>
                </w:p>
              </w:tc>
              <w:tc>
                <w:tcPr>
                  <w:tcW w:w="500" w:type="pct"/>
                  <w:vAlign w:val="center"/>
                </w:tcPr>
                <w:p w:rsidR="00AC2131" w:rsidRPr="00EA0ADF" w:rsidRDefault="00AC2131" w:rsidP="00AC2131">
                  <w:pPr>
                    <w:pStyle w:val="TableBodyText"/>
                    <w:spacing w:after="0"/>
                    <w:ind w:left="0" w:right="57"/>
                  </w:pPr>
                  <w:r w:rsidRPr="00EA0ADF">
                    <w:t>0.1</w:t>
                  </w:r>
                </w:p>
              </w:tc>
              <w:tc>
                <w:tcPr>
                  <w:tcW w:w="499" w:type="pct"/>
                  <w:vAlign w:val="center"/>
                </w:tcPr>
                <w:p w:rsidR="00AC2131" w:rsidRPr="00EA0ADF" w:rsidRDefault="00AC2131" w:rsidP="00AC2131">
                  <w:pPr>
                    <w:pStyle w:val="TableBodyText"/>
                    <w:spacing w:after="0"/>
                    <w:ind w:left="0" w:right="57"/>
                  </w:pPr>
                  <w:r w:rsidRPr="00EA0ADF">
                    <w:t>0.1</w:t>
                  </w:r>
                </w:p>
              </w:tc>
              <w:tc>
                <w:tcPr>
                  <w:tcW w:w="499" w:type="pct"/>
                  <w:shd w:val="clear" w:color="auto" w:fill="auto"/>
                  <w:vAlign w:val="center"/>
                </w:tcPr>
                <w:p w:rsidR="00AC2131" w:rsidRPr="00EA0ADF" w:rsidRDefault="00AC2131" w:rsidP="00AC2131">
                  <w:pPr>
                    <w:pStyle w:val="TableBodyText"/>
                    <w:spacing w:after="0"/>
                    <w:ind w:left="0" w:right="57"/>
                  </w:pPr>
                  <w:r w:rsidRPr="00EA0ADF">
                    <w:t>0.1</w:t>
                  </w:r>
                </w:p>
              </w:tc>
              <w:tc>
                <w:tcPr>
                  <w:tcW w:w="499" w:type="pct"/>
                  <w:shd w:val="clear" w:color="auto" w:fill="auto"/>
                  <w:vAlign w:val="center"/>
                </w:tcPr>
                <w:p w:rsidR="00AC2131" w:rsidRPr="00EA0ADF" w:rsidRDefault="00AC2131" w:rsidP="00AC2131">
                  <w:pPr>
                    <w:pStyle w:val="TableBodyText"/>
                    <w:spacing w:after="0"/>
                    <w:ind w:left="0" w:right="57"/>
                  </w:pPr>
                  <w:r w:rsidRPr="00EA0ADF">
                    <w:t>0.1</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Other livestock farming</w:t>
                  </w:r>
                </w:p>
              </w:tc>
              <w:tc>
                <w:tcPr>
                  <w:tcW w:w="501" w:type="pct"/>
                  <w:vAlign w:val="center"/>
                </w:tcPr>
                <w:p w:rsidR="00AC2131" w:rsidRPr="00EA0ADF" w:rsidRDefault="00AC2131" w:rsidP="00AC2131">
                  <w:pPr>
                    <w:pStyle w:val="TableBodyText"/>
                    <w:spacing w:after="0"/>
                    <w:ind w:left="0" w:right="57"/>
                  </w:pPr>
                  <w:r w:rsidRPr="00EA0ADF">
                    <w:t>0.2</w:t>
                  </w:r>
                </w:p>
              </w:tc>
              <w:tc>
                <w:tcPr>
                  <w:tcW w:w="500" w:type="pct"/>
                  <w:vAlign w:val="center"/>
                </w:tcPr>
                <w:p w:rsidR="00AC2131" w:rsidRPr="00EA0ADF" w:rsidRDefault="00AC2131" w:rsidP="00AC2131">
                  <w:pPr>
                    <w:pStyle w:val="TableBodyText"/>
                    <w:spacing w:after="0"/>
                    <w:ind w:left="0" w:right="57"/>
                  </w:pPr>
                  <w:r w:rsidRPr="00EA0ADF">
                    <w:t>0.2</w:t>
                  </w:r>
                </w:p>
              </w:tc>
              <w:tc>
                <w:tcPr>
                  <w:tcW w:w="500" w:type="pct"/>
                  <w:vAlign w:val="center"/>
                </w:tcPr>
                <w:p w:rsidR="00AC2131" w:rsidRPr="00EA0ADF" w:rsidRDefault="00AC2131" w:rsidP="00AC2131">
                  <w:pPr>
                    <w:pStyle w:val="TableBodyText"/>
                    <w:spacing w:after="0"/>
                    <w:ind w:left="0" w:right="57"/>
                  </w:pPr>
                  <w:r w:rsidRPr="00EA0ADF">
                    <w:t>0.2</w:t>
                  </w:r>
                </w:p>
              </w:tc>
              <w:tc>
                <w:tcPr>
                  <w:tcW w:w="499" w:type="pct"/>
                  <w:vAlign w:val="center"/>
                </w:tcPr>
                <w:p w:rsidR="00AC2131" w:rsidRPr="00EA0ADF" w:rsidRDefault="00AC2131" w:rsidP="00AC2131">
                  <w:pPr>
                    <w:pStyle w:val="TableBodyText"/>
                    <w:spacing w:after="0"/>
                    <w:ind w:left="0" w:right="57"/>
                  </w:pPr>
                  <w:r w:rsidRPr="00EA0ADF">
                    <w:t>0.2</w:t>
                  </w:r>
                </w:p>
              </w:tc>
              <w:tc>
                <w:tcPr>
                  <w:tcW w:w="499" w:type="pct"/>
                  <w:shd w:val="clear" w:color="auto" w:fill="auto"/>
                  <w:vAlign w:val="center"/>
                </w:tcPr>
                <w:p w:rsidR="00AC2131" w:rsidRPr="00EA0ADF" w:rsidRDefault="00AC2131" w:rsidP="00AC2131">
                  <w:pPr>
                    <w:pStyle w:val="TableBodyText"/>
                    <w:spacing w:after="0"/>
                    <w:ind w:left="0" w:right="57"/>
                  </w:pPr>
                  <w:r w:rsidRPr="00EA0ADF">
                    <w:t>0.2</w:t>
                  </w:r>
                </w:p>
              </w:tc>
              <w:tc>
                <w:tcPr>
                  <w:tcW w:w="499" w:type="pct"/>
                  <w:shd w:val="clear" w:color="auto" w:fill="auto"/>
                  <w:vAlign w:val="center"/>
                </w:tcPr>
                <w:p w:rsidR="00AC2131" w:rsidRPr="00EA0ADF" w:rsidRDefault="00AC2131" w:rsidP="00AC2131">
                  <w:pPr>
                    <w:pStyle w:val="TableBodyText"/>
                    <w:spacing w:after="0"/>
                    <w:ind w:left="0" w:right="57"/>
                  </w:pPr>
                  <w:r w:rsidRPr="00EA0ADF">
                    <w:t>0.2</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Aquaculture and fishing</w:t>
                  </w:r>
                </w:p>
              </w:tc>
              <w:tc>
                <w:tcPr>
                  <w:tcW w:w="501" w:type="pct"/>
                  <w:vAlign w:val="center"/>
                </w:tcPr>
                <w:p w:rsidR="00AC2131" w:rsidRPr="00EA0ADF" w:rsidRDefault="00AC2131" w:rsidP="00AC2131">
                  <w:pPr>
                    <w:pStyle w:val="TableBodyText"/>
                    <w:spacing w:after="0"/>
                    <w:ind w:left="0" w:right="57"/>
                  </w:pPr>
                  <w:r w:rsidRPr="00EA0ADF">
                    <w:t>1.4</w:t>
                  </w:r>
                </w:p>
              </w:tc>
              <w:tc>
                <w:tcPr>
                  <w:tcW w:w="500" w:type="pct"/>
                  <w:vAlign w:val="center"/>
                </w:tcPr>
                <w:p w:rsidR="00AC2131" w:rsidRPr="00EA0ADF" w:rsidRDefault="00AC2131" w:rsidP="00AC2131">
                  <w:pPr>
                    <w:pStyle w:val="TableBodyText"/>
                    <w:spacing w:after="0"/>
                    <w:ind w:left="0" w:right="57"/>
                  </w:pPr>
                  <w:r w:rsidRPr="00EA0ADF">
                    <w:t>1.3</w:t>
                  </w:r>
                </w:p>
              </w:tc>
              <w:tc>
                <w:tcPr>
                  <w:tcW w:w="500" w:type="pct"/>
                  <w:vAlign w:val="center"/>
                </w:tcPr>
                <w:p w:rsidR="00AC2131" w:rsidRPr="00EA0ADF" w:rsidRDefault="00AC2131" w:rsidP="00AC2131">
                  <w:pPr>
                    <w:pStyle w:val="TableBodyText"/>
                    <w:spacing w:after="0"/>
                    <w:ind w:left="0" w:right="57"/>
                  </w:pPr>
                  <w:r w:rsidRPr="00EA0ADF">
                    <w:t>1.2</w:t>
                  </w:r>
                </w:p>
              </w:tc>
              <w:tc>
                <w:tcPr>
                  <w:tcW w:w="499" w:type="pct"/>
                  <w:vAlign w:val="center"/>
                </w:tcPr>
                <w:p w:rsidR="00AC2131" w:rsidRPr="00EA0ADF" w:rsidRDefault="00AC2131" w:rsidP="00AC2131">
                  <w:pPr>
                    <w:pStyle w:val="TableBodyText"/>
                    <w:spacing w:after="0"/>
                    <w:ind w:left="0" w:right="57"/>
                  </w:pPr>
                  <w:r w:rsidRPr="00EA0ADF">
                    <w:t>1.2</w:t>
                  </w:r>
                </w:p>
              </w:tc>
              <w:tc>
                <w:tcPr>
                  <w:tcW w:w="499" w:type="pct"/>
                  <w:shd w:val="clear" w:color="auto" w:fill="auto"/>
                  <w:vAlign w:val="center"/>
                </w:tcPr>
                <w:p w:rsidR="00AC2131" w:rsidRPr="00EA0ADF" w:rsidRDefault="00AC2131" w:rsidP="00AC2131">
                  <w:pPr>
                    <w:pStyle w:val="TableBodyText"/>
                    <w:spacing w:after="0"/>
                    <w:ind w:left="0" w:right="57"/>
                  </w:pPr>
                  <w:r w:rsidRPr="00EA0ADF">
                    <w:t>1.2</w:t>
                  </w:r>
                </w:p>
              </w:tc>
              <w:tc>
                <w:tcPr>
                  <w:tcW w:w="499" w:type="pct"/>
                  <w:shd w:val="clear" w:color="auto" w:fill="auto"/>
                  <w:vAlign w:val="center"/>
                </w:tcPr>
                <w:p w:rsidR="00AC2131" w:rsidRPr="00EA0ADF" w:rsidRDefault="00AC2131" w:rsidP="00AC2131">
                  <w:pPr>
                    <w:pStyle w:val="TableBodyText"/>
                    <w:spacing w:after="0"/>
                    <w:ind w:left="0" w:right="57"/>
                  </w:pPr>
                  <w:r w:rsidRPr="00EA0ADF">
                    <w:t>1.2</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Forestry and logging</w:t>
                  </w:r>
                </w:p>
              </w:tc>
              <w:tc>
                <w:tcPr>
                  <w:tcW w:w="501" w:type="pct"/>
                  <w:vAlign w:val="center"/>
                </w:tcPr>
                <w:p w:rsidR="00AC2131" w:rsidRPr="00EA0ADF" w:rsidRDefault="00AC2131" w:rsidP="00AC2131">
                  <w:pPr>
                    <w:pStyle w:val="TableBodyText"/>
                    <w:spacing w:after="0"/>
                    <w:ind w:left="0" w:right="57"/>
                  </w:pPr>
                  <w:r w:rsidRPr="00EA0ADF">
                    <w:t>1.1</w:t>
                  </w:r>
                </w:p>
              </w:tc>
              <w:tc>
                <w:tcPr>
                  <w:tcW w:w="500" w:type="pct"/>
                  <w:vAlign w:val="center"/>
                </w:tcPr>
                <w:p w:rsidR="00AC2131" w:rsidRPr="00EA0ADF" w:rsidRDefault="00AC2131" w:rsidP="00AC2131">
                  <w:pPr>
                    <w:pStyle w:val="TableBodyText"/>
                    <w:spacing w:after="0"/>
                    <w:ind w:left="0" w:right="57"/>
                  </w:pPr>
                  <w:r w:rsidRPr="00EA0ADF">
                    <w:t>1.0</w:t>
                  </w:r>
                </w:p>
              </w:tc>
              <w:tc>
                <w:tcPr>
                  <w:tcW w:w="500" w:type="pct"/>
                  <w:vAlign w:val="center"/>
                </w:tcPr>
                <w:p w:rsidR="00AC2131" w:rsidRPr="00EA0ADF" w:rsidRDefault="00AC2131" w:rsidP="00AC2131">
                  <w:pPr>
                    <w:pStyle w:val="TableBodyText"/>
                    <w:spacing w:after="0"/>
                    <w:ind w:left="0" w:right="57"/>
                  </w:pPr>
                  <w:r w:rsidRPr="00EA0ADF">
                    <w:t>1.0</w:t>
                  </w:r>
                </w:p>
              </w:tc>
              <w:tc>
                <w:tcPr>
                  <w:tcW w:w="499" w:type="pct"/>
                  <w:vAlign w:val="center"/>
                </w:tcPr>
                <w:p w:rsidR="00AC2131" w:rsidRPr="00EA0ADF" w:rsidRDefault="00AC2131" w:rsidP="00AC2131">
                  <w:pPr>
                    <w:pStyle w:val="TableBodyText"/>
                    <w:spacing w:after="0"/>
                    <w:ind w:left="0" w:right="57"/>
                  </w:pPr>
                  <w:r w:rsidRPr="00EA0ADF">
                    <w:t>1.0</w:t>
                  </w:r>
                </w:p>
              </w:tc>
              <w:tc>
                <w:tcPr>
                  <w:tcW w:w="499" w:type="pct"/>
                  <w:shd w:val="clear" w:color="auto" w:fill="auto"/>
                  <w:vAlign w:val="center"/>
                </w:tcPr>
                <w:p w:rsidR="00AC2131" w:rsidRPr="00EA0ADF" w:rsidRDefault="00AC2131" w:rsidP="00AC2131">
                  <w:pPr>
                    <w:pStyle w:val="TableBodyText"/>
                    <w:spacing w:after="0"/>
                    <w:ind w:left="0" w:right="57"/>
                  </w:pPr>
                  <w:r w:rsidRPr="00EA0ADF">
                    <w:t>1.0</w:t>
                  </w:r>
                </w:p>
              </w:tc>
              <w:tc>
                <w:tcPr>
                  <w:tcW w:w="499" w:type="pct"/>
                  <w:shd w:val="clear" w:color="auto" w:fill="auto"/>
                  <w:vAlign w:val="center"/>
                </w:tcPr>
                <w:p w:rsidR="00AC2131" w:rsidRPr="00EA0ADF" w:rsidRDefault="00AC2131" w:rsidP="00AC2131">
                  <w:pPr>
                    <w:pStyle w:val="TableBodyText"/>
                    <w:spacing w:after="0"/>
                    <w:ind w:left="0" w:right="57"/>
                  </w:pPr>
                  <w:r w:rsidRPr="00EA0ADF">
                    <w:t>1.0</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Primary production support services</w:t>
                  </w:r>
                </w:p>
              </w:tc>
              <w:tc>
                <w:tcPr>
                  <w:tcW w:w="501" w:type="pct"/>
                  <w:vAlign w:val="center"/>
                </w:tcPr>
                <w:p w:rsidR="00AC2131" w:rsidRPr="00EA0ADF" w:rsidRDefault="00AC2131" w:rsidP="00AC2131">
                  <w:pPr>
                    <w:pStyle w:val="TableBodyText"/>
                    <w:spacing w:after="0"/>
                    <w:ind w:left="0" w:right="57"/>
                  </w:pPr>
                  <w:r w:rsidRPr="00EA0ADF">
                    <w:t>0.6</w:t>
                  </w:r>
                </w:p>
              </w:tc>
              <w:tc>
                <w:tcPr>
                  <w:tcW w:w="500" w:type="pct"/>
                  <w:vAlign w:val="center"/>
                </w:tcPr>
                <w:p w:rsidR="00AC2131" w:rsidRPr="00EA0ADF" w:rsidRDefault="00AC2131" w:rsidP="00AC2131">
                  <w:pPr>
                    <w:pStyle w:val="TableBodyText"/>
                    <w:spacing w:after="0"/>
                    <w:ind w:left="0" w:right="57"/>
                  </w:pPr>
                  <w:r w:rsidRPr="00EA0ADF">
                    <w:t>0.5</w:t>
                  </w:r>
                </w:p>
              </w:tc>
              <w:tc>
                <w:tcPr>
                  <w:tcW w:w="500" w:type="pct"/>
                  <w:vAlign w:val="center"/>
                </w:tcPr>
                <w:p w:rsidR="00AC2131" w:rsidRPr="00EA0ADF" w:rsidRDefault="00AC2131" w:rsidP="00AC2131">
                  <w:pPr>
                    <w:pStyle w:val="TableBodyText"/>
                    <w:spacing w:after="0"/>
                    <w:ind w:left="0" w:right="57"/>
                  </w:pPr>
                  <w:r w:rsidRPr="00EA0ADF">
                    <w:t>0.5</w:t>
                  </w:r>
                </w:p>
              </w:tc>
              <w:tc>
                <w:tcPr>
                  <w:tcW w:w="499" w:type="pct"/>
                  <w:vAlign w:val="center"/>
                </w:tcPr>
                <w:p w:rsidR="00AC2131" w:rsidRPr="00EA0ADF" w:rsidRDefault="00AC2131" w:rsidP="00AC2131">
                  <w:pPr>
                    <w:pStyle w:val="TableBodyText"/>
                    <w:spacing w:after="0"/>
                    <w:ind w:left="0" w:right="57"/>
                  </w:pPr>
                  <w:r w:rsidRPr="00EA0ADF">
                    <w:t>0.5</w:t>
                  </w:r>
                </w:p>
              </w:tc>
              <w:tc>
                <w:tcPr>
                  <w:tcW w:w="499" w:type="pct"/>
                  <w:shd w:val="clear" w:color="auto" w:fill="auto"/>
                  <w:vAlign w:val="center"/>
                </w:tcPr>
                <w:p w:rsidR="00AC2131" w:rsidRPr="00EA0ADF" w:rsidRDefault="00AC2131" w:rsidP="00AC2131">
                  <w:pPr>
                    <w:pStyle w:val="TableBodyText"/>
                    <w:spacing w:after="0"/>
                    <w:ind w:left="0" w:right="57"/>
                  </w:pPr>
                  <w:r w:rsidRPr="00EA0ADF">
                    <w:t>0.5</w:t>
                  </w:r>
                </w:p>
              </w:tc>
              <w:tc>
                <w:tcPr>
                  <w:tcW w:w="499" w:type="pct"/>
                  <w:shd w:val="clear" w:color="auto" w:fill="auto"/>
                  <w:vAlign w:val="center"/>
                </w:tcPr>
                <w:p w:rsidR="00AC2131" w:rsidRPr="00EA0ADF" w:rsidRDefault="00AC2131" w:rsidP="00AC2131">
                  <w:pPr>
                    <w:pStyle w:val="TableBodyText"/>
                    <w:spacing w:after="0"/>
                    <w:ind w:left="0" w:right="57"/>
                  </w:pPr>
                  <w:r w:rsidRPr="00EA0ADF">
                    <w:t>0.5</w:t>
                  </w:r>
                </w:p>
              </w:tc>
            </w:tr>
            <w:tr w:rsidR="00AC2131" w:rsidTr="00AC2131">
              <w:tc>
                <w:tcPr>
                  <w:tcW w:w="2003" w:type="pct"/>
                  <w:shd w:val="clear" w:color="auto" w:fill="auto"/>
                  <w:vAlign w:val="bottom"/>
                </w:tcPr>
                <w:p w:rsidR="00AC2131" w:rsidRPr="00633D27" w:rsidRDefault="00AC2131">
                  <w:pPr>
                    <w:rPr>
                      <w:rFonts w:ascii="Arial" w:hAnsi="Arial" w:cs="Arial"/>
                      <w:b/>
                      <w:bCs/>
                      <w:sz w:val="18"/>
                      <w:szCs w:val="18"/>
                    </w:rPr>
                  </w:pPr>
                  <w:r w:rsidRPr="00633D27">
                    <w:rPr>
                      <w:rFonts w:ascii="Arial" w:hAnsi="Arial" w:cs="Arial"/>
                      <w:b/>
                      <w:bCs/>
                      <w:sz w:val="18"/>
                      <w:szCs w:val="18"/>
                    </w:rPr>
                    <w:t>Mining</w:t>
                  </w:r>
                </w:p>
              </w:tc>
              <w:tc>
                <w:tcPr>
                  <w:tcW w:w="501" w:type="pct"/>
                  <w:vAlign w:val="center"/>
                </w:tcPr>
                <w:p w:rsidR="00AC2131" w:rsidRPr="00EA0ADF" w:rsidRDefault="00AC2131" w:rsidP="00AC2131">
                  <w:pPr>
                    <w:pStyle w:val="TableBodyText"/>
                    <w:spacing w:after="0"/>
                    <w:ind w:left="0" w:right="57"/>
                    <w:rPr>
                      <w:b/>
                    </w:rPr>
                  </w:pPr>
                  <w:r w:rsidRPr="00EA0ADF">
                    <w:rPr>
                      <w:b/>
                    </w:rPr>
                    <w:t>0.5</w:t>
                  </w:r>
                </w:p>
              </w:tc>
              <w:tc>
                <w:tcPr>
                  <w:tcW w:w="500" w:type="pct"/>
                  <w:vAlign w:val="center"/>
                </w:tcPr>
                <w:p w:rsidR="00AC2131" w:rsidRPr="00EA0ADF" w:rsidRDefault="00AC2131" w:rsidP="00AC2131">
                  <w:pPr>
                    <w:pStyle w:val="TableBodyText"/>
                    <w:spacing w:after="0"/>
                    <w:ind w:left="0" w:right="57"/>
                    <w:rPr>
                      <w:b/>
                    </w:rPr>
                  </w:pPr>
                  <w:r w:rsidRPr="00EA0ADF">
                    <w:rPr>
                      <w:b/>
                    </w:rPr>
                    <w:t>0.1</w:t>
                  </w:r>
                </w:p>
              </w:tc>
              <w:tc>
                <w:tcPr>
                  <w:tcW w:w="500" w:type="pct"/>
                  <w:vAlign w:val="center"/>
                </w:tcPr>
                <w:p w:rsidR="00AC2131" w:rsidRPr="00EA0ADF" w:rsidRDefault="00AC2131" w:rsidP="00AC2131">
                  <w:pPr>
                    <w:pStyle w:val="TableBodyText"/>
                    <w:spacing w:after="0"/>
                    <w:ind w:left="0" w:right="57"/>
                    <w:rPr>
                      <w:b/>
                    </w:rPr>
                  </w:pPr>
                  <w:r w:rsidRPr="00EA0ADF">
                    <w:rPr>
                      <w:b/>
                    </w:rPr>
                    <w:t>0.5</w:t>
                  </w:r>
                </w:p>
              </w:tc>
              <w:tc>
                <w:tcPr>
                  <w:tcW w:w="499" w:type="pct"/>
                  <w:vAlign w:val="center"/>
                </w:tcPr>
                <w:p w:rsidR="00AC2131" w:rsidRPr="00EA0ADF" w:rsidRDefault="00AC2131" w:rsidP="00AC2131">
                  <w:pPr>
                    <w:pStyle w:val="TableBodyText"/>
                    <w:spacing w:after="0"/>
                    <w:ind w:left="0" w:right="57"/>
                    <w:rPr>
                      <w:b/>
                    </w:rPr>
                  </w:pPr>
                  <w:r w:rsidRPr="00EA0ADF">
                    <w:rPr>
                      <w:b/>
                    </w:rPr>
                    <w:t>0.5</w:t>
                  </w:r>
                </w:p>
              </w:tc>
              <w:tc>
                <w:tcPr>
                  <w:tcW w:w="499" w:type="pct"/>
                  <w:shd w:val="clear" w:color="auto" w:fill="auto"/>
                  <w:vAlign w:val="center"/>
                </w:tcPr>
                <w:p w:rsidR="00AC2131" w:rsidRPr="00EA0ADF" w:rsidRDefault="00AC2131" w:rsidP="00AC2131">
                  <w:pPr>
                    <w:pStyle w:val="TableBodyText"/>
                    <w:spacing w:after="0"/>
                    <w:ind w:left="0" w:right="57"/>
                    <w:rPr>
                      <w:b/>
                    </w:rPr>
                  </w:pPr>
                  <w:r w:rsidRPr="00EA0ADF">
                    <w:rPr>
                      <w:b/>
                    </w:rPr>
                    <w:t>0.5</w:t>
                  </w:r>
                </w:p>
              </w:tc>
              <w:tc>
                <w:tcPr>
                  <w:tcW w:w="499" w:type="pct"/>
                  <w:shd w:val="clear" w:color="auto" w:fill="auto"/>
                  <w:vAlign w:val="center"/>
                </w:tcPr>
                <w:p w:rsidR="00AC2131" w:rsidRPr="00EA0ADF" w:rsidRDefault="00AC2131" w:rsidP="00AC2131">
                  <w:pPr>
                    <w:pStyle w:val="TableBodyText"/>
                    <w:spacing w:after="0"/>
                    <w:ind w:left="0" w:right="57"/>
                    <w:rPr>
                      <w:b/>
                    </w:rPr>
                  </w:pPr>
                  <w:r w:rsidRPr="00EA0ADF">
                    <w:rPr>
                      <w:b/>
                    </w:rPr>
                    <w:t>0.5</w:t>
                  </w:r>
                </w:p>
              </w:tc>
            </w:tr>
            <w:tr w:rsidR="00AC2131" w:rsidTr="00AC2131">
              <w:tc>
                <w:tcPr>
                  <w:tcW w:w="2003" w:type="pct"/>
                  <w:shd w:val="clear" w:color="auto" w:fill="auto"/>
                  <w:vAlign w:val="bottom"/>
                </w:tcPr>
                <w:p w:rsidR="00AC2131" w:rsidRPr="00633D27" w:rsidRDefault="00AC2131">
                  <w:pPr>
                    <w:rPr>
                      <w:rFonts w:ascii="Arial" w:hAnsi="Arial" w:cs="Arial"/>
                      <w:b/>
                      <w:bCs/>
                      <w:sz w:val="18"/>
                      <w:szCs w:val="18"/>
                    </w:rPr>
                  </w:pPr>
                  <w:r w:rsidRPr="00633D27">
                    <w:rPr>
                      <w:rFonts w:ascii="Arial" w:hAnsi="Arial" w:cs="Arial"/>
                      <w:b/>
                      <w:bCs/>
                      <w:sz w:val="18"/>
                      <w:szCs w:val="18"/>
                    </w:rPr>
                    <w:t>Manufacturing</w:t>
                  </w:r>
                  <w:r>
                    <w:rPr>
                      <w:rStyle w:val="NoteLabel"/>
                    </w:rPr>
                    <w:t>b</w:t>
                  </w:r>
                </w:p>
              </w:tc>
              <w:tc>
                <w:tcPr>
                  <w:tcW w:w="501" w:type="pct"/>
                  <w:vAlign w:val="center"/>
                </w:tcPr>
                <w:p w:rsidR="00AC2131" w:rsidRPr="00EA0ADF" w:rsidRDefault="00AC2131" w:rsidP="00AC2131">
                  <w:pPr>
                    <w:pStyle w:val="TableBodyText"/>
                    <w:spacing w:after="0"/>
                    <w:ind w:left="0" w:right="57"/>
                    <w:rPr>
                      <w:b/>
                    </w:rPr>
                  </w:pPr>
                  <w:r w:rsidRPr="00EA0ADF">
                    <w:rPr>
                      <w:b/>
                    </w:rPr>
                    <w:t>1.1</w:t>
                  </w:r>
                </w:p>
              </w:tc>
              <w:tc>
                <w:tcPr>
                  <w:tcW w:w="500" w:type="pct"/>
                  <w:vAlign w:val="center"/>
                </w:tcPr>
                <w:p w:rsidR="00AC2131" w:rsidRPr="00EA0ADF" w:rsidRDefault="00AC2131" w:rsidP="00AC2131">
                  <w:pPr>
                    <w:pStyle w:val="TableBodyText"/>
                    <w:spacing w:after="0"/>
                    <w:ind w:left="0" w:right="57"/>
                    <w:rPr>
                      <w:b/>
                    </w:rPr>
                  </w:pPr>
                  <w:r w:rsidRPr="00EA0ADF">
                    <w:rPr>
                      <w:b/>
                    </w:rPr>
                    <w:t>0.2</w:t>
                  </w:r>
                </w:p>
              </w:tc>
              <w:tc>
                <w:tcPr>
                  <w:tcW w:w="500" w:type="pct"/>
                  <w:vAlign w:val="center"/>
                </w:tcPr>
                <w:p w:rsidR="00AC2131" w:rsidRPr="00EA0ADF" w:rsidRDefault="00AC2131" w:rsidP="00AC2131">
                  <w:pPr>
                    <w:pStyle w:val="TableBodyText"/>
                    <w:spacing w:after="0"/>
                    <w:ind w:left="0" w:right="57"/>
                    <w:rPr>
                      <w:b/>
                    </w:rPr>
                  </w:pPr>
                  <w:r w:rsidRPr="00EA0ADF">
                    <w:rPr>
                      <w:b/>
                    </w:rPr>
                    <w:t>1.0</w:t>
                  </w:r>
                </w:p>
              </w:tc>
              <w:tc>
                <w:tcPr>
                  <w:tcW w:w="499" w:type="pct"/>
                  <w:vAlign w:val="center"/>
                </w:tcPr>
                <w:p w:rsidR="00AC2131" w:rsidRPr="00EA0ADF" w:rsidRDefault="00AC2131" w:rsidP="00AC2131">
                  <w:pPr>
                    <w:pStyle w:val="TableBodyText"/>
                    <w:spacing w:after="0"/>
                    <w:ind w:left="0" w:right="57"/>
                    <w:rPr>
                      <w:b/>
                    </w:rPr>
                  </w:pPr>
                  <w:r w:rsidRPr="00EA0ADF">
                    <w:rPr>
                      <w:b/>
                    </w:rPr>
                    <w:t>1.0</w:t>
                  </w:r>
                </w:p>
              </w:tc>
              <w:tc>
                <w:tcPr>
                  <w:tcW w:w="499" w:type="pct"/>
                  <w:shd w:val="clear" w:color="auto" w:fill="auto"/>
                  <w:vAlign w:val="center"/>
                </w:tcPr>
                <w:p w:rsidR="00AC2131" w:rsidRPr="00EA0ADF" w:rsidRDefault="00AC2131" w:rsidP="00AC2131">
                  <w:pPr>
                    <w:pStyle w:val="TableBodyText"/>
                    <w:spacing w:after="0"/>
                    <w:ind w:left="0" w:right="57"/>
                    <w:rPr>
                      <w:b/>
                    </w:rPr>
                  </w:pPr>
                  <w:r w:rsidRPr="00EA0ADF">
                    <w:rPr>
                      <w:b/>
                    </w:rPr>
                    <w:t>1.0</w:t>
                  </w:r>
                </w:p>
              </w:tc>
              <w:tc>
                <w:tcPr>
                  <w:tcW w:w="499" w:type="pct"/>
                  <w:shd w:val="clear" w:color="auto" w:fill="auto"/>
                  <w:vAlign w:val="center"/>
                </w:tcPr>
                <w:p w:rsidR="00AC2131" w:rsidRPr="00EA0ADF" w:rsidRDefault="00AC2131" w:rsidP="00AC2131">
                  <w:pPr>
                    <w:pStyle w:val="TableBodyText"/>
                    <w:spacing w:after="0"/>
                    <w:ind w:left="0" w:right="57"/>
                    <w:rPr>
                      <w:b/>
                    </w:rPr>
                  </w:pPr>
                  <w:r w:rsidRPr="00EA0ADF">
                    <w:rPr>
                      <w:b/>
                    </w:rPr>
                    <w:t>1.0</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Food, beverages and tobacco</w:t>
                  </w:r>
                </w:p>
              </w:tc>
              <w:tc>
                <w:tcPr>
                  <w:tcW w:w="501" w:type="pct"/>
                  <w:vAlign w:val="center"/>
                </w:tcPr>
                <w:p w:rsidR="00AC2131" w:rsidRPr="00EA0ADF" w:rsidRDefault="00AC2131" w:rsidP="00AC2131">
                  <w:pPr>
                    <w:pStyle w:val="TableBodyText"/>
                    <w:spacing w:after="0"/>
                    <w:ind w:left="0" w:right="57"/>
                  </w:pPr>
                  <w:r w:rsidRPr="00EA0ADF">
                    <w:t>1.1</w:t>
                  </w:r>
                </w:p>
              </w:tc>
              <w:tc>
                <w:tcPr>
                  <w:tcW w:w="500" w:type="pct"/>
                  <w:vAlign w:val="center"/>
                </w:tcPr>
                <w:p w:rsidR="00AC2131" w:rsidRPr="00EA0ADF" w:rsidRDefault="00AC2131" w:rsidP="00AC2131">
                  <w:pPr>
                    <w:pStyle w:val="TableBodyText"/>
                    <w:spacing w:after="0"/>
                    <w:ind w:left="0" w:right="57"/>
                  </w:pPr>
                  <w:r w:rsidRPr="00EA0ADF">
                    <w:t>1.1</w:t>
                  </w:r>
                </w:p>
              </w:tc>
              <w:tc>
                <w:tcPr>
                  <w:tcW w:w="500" w:type="pct"/>
                  <w:vAlign w:val="center"/>
                </w:tcPr>
                <w:p w:rsidR="00AC2131" w:rsidRPr="00EA0ADF" w:rsidRDefault="00AC2131" w:rsidP="00AC2131">
                  <w:pPr>
                    <w:pStyle w:val="TableBodyText"/>
                    <w:spacing w:after="0"/>
                    <w:ind w:left="0" w:right="57"/>
                  </w:pPr>
                  <w:r w:rsidRPr="00EA0ADF">
                    <w:t>1.1</w:t>
                  </w:r>
                </w:p>
              </w:tc>
              <w:tc>
                <w:tcPr>
                  <w:tcW w:w="499" w:type="pct"/>
                  <w:vAlign w:val="center"/>
                </w:tcPr>
                <w:p w:rsidR="00AC2131" w:rsidRPr="00EA0ADF" w:rsidRDefault="00AC2131" w:rsidP="00AC2131">
                  <w:pPr>
                    <w:pStyle w:val="TableBodyText"/>
                    <w:spacing w:after="0"/>
                    <w:ind w:left="0" w:right="57"/>
                  </w:pPr>
                  <w:r w:rsidRPr="00EA0ADF">
                    <w:t>1.1</w:t>
                  </w:r>
                </w:p>
              </w:tc>
              <w:tc>
                <w:tcPr>
                  <w:tcW w:w="499" w:type="pct"/>
                  <w:shd w:val="clear" w:color="auto" w:fill="auto"/>
                  <w:vAlign w:val="center"/>
                </w:tcPr>
                <w:p w:rsidR="00AC2131" w:rsidRPr="00EA0ADF" w:rsidRDefault="00AC2131" w:rsidP="00AC2131">
                  <w:pPr>
                    <w:pStyle w:val="TableBodyText"/>
                    <w:spacing w:after="0"/>
                    <w:ind w:left="0" w:right="57"/>
                  </w:pPr>
                  <w:r w:rsidRPr="00EA0ADF">
                    <w:t>1.1</w:t>
                  </w:r>
                </w:p>
              </w:tc>
              <w:tc>
                <w:tcPr>
                  <w:tcW w:w="499" w:type="pct"/>
                  <w:shd w:val="clear" w:color="auto" w:fill="auto"/>
                  <w:vAlign w:val="center"/>
                </w:tcPr>
                <w:p w:rsidR="00AC2131" w:rsidRPr="00EA0ADF" w:rsidRDefault="00AC2131" w:rsidP="00AC2131">
                  <w:pPr>
                    <w:pStyle w:val="TableBodyText"/>
                    <w:spacing w:after="0"/>
                    <w:ind w:left="0" w:right="57"/>
                  </w:pPr>
                  <w:r w:rsidRPr="00EA0ADF">
                    <w:t>1.1</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Textile, leather, clothing and footwear</w:t>
                  </w:r>
                </w:p>
              </w:tc>
              <w:tc>
                <w:tcPr>
                  <w:tcW w:w="501" w:type="pct"/>
                  <w:vAlign w:val="center"/>
                </w:tcPr>
                <w:p w:rsidR="00AC2131" w:rsidRPr="00EA0ADF" w:rsidRDefault="00AC2131" w:rsidP="00AC2131">
                  <w:pPr>
                    <w:pStyle w:val="TableBodyText"/>
                    <w:spacing w:after="0"/>
                    <w:ind w:left="0" w:right="57"/>
                  </w:pPr>
                  <w:r w:rsidRPr="00EA0ADF">
                    <w:t>3.6</w:t>
                  </w:r>
                </w:p>
              </w:tc>
              <w:tc>
                <w:tcPr>
                  <w:tcW w:w="500" w:type="pct"/>
                  <w:vAlign w:val="center"/>
                </w:tcPr>
                <w:p w:rsidR="00AC2131" w:rsidRPr="00EA0ADF" w:rsidRDefault="00AC2131" w:rsidP="00AC2131">
                  <w:pPr>
                    <w:pStyle w:val="TableBodyText"/>
                    <w:spacing w:after="0"/>
                    <w:ind w:left="0" w:right="57"/>
                  </w:pPr>
                  <w:r w:rsidRPr="00EA0ADF">
                    <w:t>2.9</w:t>
                  </w:r>
                </w:p>
              </w:tc>
              <w:tc>
                <w:tcPr>
                  <w:tcW w:w="500" w:type="pct"/>
                  <w:vAlign w:val="center"/>
                </w:tcPr>
                <w:p w:rsidR="00AC2131" w:rsidRPr="00EA0ADF" w:rsidRDefault="00AC2131" w:rsidP="00AC2131">
                  <w:pPr>
                    <w:pStyle w:val="TableBodyText"/>
                    <w:spacing w:after="0"/>
                    <w:ind w:left="0" w:right="57"/>
                  </w:pPr>
                  <w:r w:rsidRPr="00EA0ADF">
                    <w:t>2.3</w:t>
                  </w:r>
                </w:p>
              </w:tc>
              <w:tc>
                <w:tcPr>
                  <w:tcW w:w="499" w:type="pct"/>
                  <w:vAlign w:val="center"/>
                </w:tcPr>
                <w:p w:rsidR="00AC2131" w:rsidRPr="00EA0ADF" w:rsidRDefault="00AC2131" w:rsidP="00AC2131">
                  <w:pPr>
                    <w:pStyle w:val="TableBodyText"/>
                    <w:spacing w:after="0"/>
                    <w:ind w:left="0" w:right="57"/>
                  </w:pPr>
                  <w:r w:rsidRPr="00EA0ADF">
                    <w:t>2.3</w:t>
                  </w:r>
                </w:p>
              </w:tc>
              <w:tc>
                <w:tcPr>
                  <w:tcW w:w="499" w:type="pct"/>
                  <w:shd w:val="clear" w:color="auto" w:fill="auto"/>
                  <w:vAlign w:val="center"/>
                </w:tcPr>
                <w:p w:rsidR="00AC2131" w:rsidRPr="00EA0ADF" w:rsidRDefault="00AC2131" w:rsidP="00AC2131">
                  <w:pPr>
                    <w:pStyle w:val="TableBodyText"/>
                    <w:spacing w:after="0"/>
                    <w:ind w:left="0" w:right="57"/>
                  </w:pPr>
                  <w:r w:rsidRPr="00EA0ADF">
                    <w:t>2.3</w:t>
                  </w:r>
                </w:p>
              </w:tc>
              <w:tc>
                <w:tcPr>
                  <w:tcW w:w="499" w:type="pct"/>
                  <w:shd w:val="clear" w:color="auto" w:fill="auto"/>
                  <w:vAlign w:val="center"/>
                </w:tcPr>
                <w:p w:rsidR="00AC2131" w:rsidRPr="00EA0ADF" w:rsidRDefault="00AC2131" w:rsidP="00AC2131">
                  <w:pPr>
                    <w:pStyle w:val="TableBodyText"/>
                    <w:spacing w:after="0"/>
                    <w:ind w:left="0" w:right="57"/>
                  </w:pPr>
                  <w:r w:rsidRPr="00EA0ADF">
                    <w:t>2.3</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Wood and paper products</w:t>
                  </w:r>
                </w:p>
              </w:tc>
              <w:tc>
                <w:tcPr>
                  <w:tcW w:w="501" w:type="pct"/>
                  <w:vAlign w:val="center"/>
                </w:tcPr>
                <w:p w:rsidR="00AC2131" w:rsidRPr="00EA0ADF" w:rsidRDefault="00AC2131" w:rsidP="00AC2131">
                  <w:pPr>
                    <w:pStyle w:val="TableBodyText"/>
                    <w:spacing w:after="0"/>
                    <w:ind w:left="0" w:right="57"/>
                  </w:pPr>
                  <w:r w:rsidRPr="00EA0ADF">
                    <w:t>2.1</w:t>
                  </w:r>
                </w:p>
              </w:tc>
              <w:tc>
                <w:tcPr>
                  <w:tcW w:w="500" w:type="pct"/>
                  <w:vAlign w:val="center"/>
                </w:tcPr>
                <w:p w:rsidR="00AC2131" w:rsidRPr="00EA0ADF" w:rsidRDefault="00AC2131" w:rsidP="00AC2131">
                  <w:pPr>
                    <w:pStyle w:val="TableBodyText"/>
                    <w:spacing w:after="0"/>
                    <w:ind w:left="0" w:right="57"/>
                  </w:pPr>
                  <w:r w:rsidRPr="00EA0ADF">
                    <w:t>2.1</w:t>
                  </w:r>
                </w:p>
              </w:tc>
              <w:tc>
                <w:tcPr>
                  <w:tcW w:w="500" w:type="pct"/>
                  <w:vAlign w:val="center"/>
                </w:tcPr>
                <w:p w:rsidR="00AC2131" w:rsidRPr="00EA0ADF" w:rsidRDefault="00AC2131" w:rsidP="00AC2131">
                  <w:pPr>
                    <w:pStyle w:val="TableBodyText"/>
                    <w:spacing w:after="0"/>
                    <w:ind w:left="0" w:right="57"/>
                  </w:pPr>
                  <w:r w:rsidRPr="00EA0ADF">
                    <w:t>2.1</w:t>
                  </w:r>
                </w:p>
              </w:tc>
              <w:tc>
                <w:tcPr>
                  <w:tcW w:w="499" w:type="pct"/>
                  <w:vAlign w:val="center"/>
                </w:tcPr>
                <w:p w:rsidR="00AC2131" w:rsidRPr="00EA0ADF" w:rsidRDefault="00AC2131" w:rsidP="00AC2131">
                  <w:pPr>
                    <w:pStyle w:val="TableBodyText"/>
                    <w:spacing w:after="0"/>
                    <w:ind w:left="0" w:right="57"/>
                  </w:pPr>
                  <w:r w:rsidRPr="00EA0ADF">
                    <w:t>2.1</w:t>
                  </w:r>
                </w:p>
              </w:tc>
              <w:tc>
                <w:tcPr>
                  <w:tcW w:w="499" w:type="pct"/>
                  <w:shd w:val="clear" w:color="auto" w:fill="auto"/>
                  <w:vAlign w:val="center"/>
                </w:tcPr>
                <w:p w:rsidR="00AC2131" w:rsidRPr="00EA0ADF" w:rsidRDefault="00AC2131" w:rsidP="00AC2131">
                  <w:pPr>
                    <w:pStyle w:val="TableBodyText"/>
                    <w:spacing w:after="0"/>
                    <w:ind w:left="0" w:right="57"/>
                  </w:pPr>
                  <w:r w:rsidRPr="00EA0ADF">
                    <w:t>2.1</w:t>
                  </w:r>
                </w:p>
              </w:tc>
              <w:tc>
                <w:tcPr>
                  <w:tcW w:w="499" w:type="pct"/>
                  <w:shd w:val="clear" w:color="auto" w:fill="auto"/>
                  <w:vAlign w:val="center"/>
                </w:tcPr>
                <w:p w:rsidR="00AC2131" w:rsidRPr="00EA0ADF" w:rsidRDefault="00AC2131" w:rsidP="00AC2131">
                  <w:pPr>
                    <w:pStyle w:val="TableBodyText"/>
                    <w:spacing w:after="0"/>
                    <w:ind w:left="0" w:right="57"/>
                  </w:pPr>
                  <w:r w:rsidRPr="00EA0ADF">
                    <w:t>2.1</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Printing and recorded media</w:t>
                  </w:r>
                </w:p>
              </w:tc>
              <w:tc>
                <w:tcPr>
                  <w:tcW w:w="501" w:type="pct"/>
                  <w:vAlign w:val="center"/>
                </w:tcPr>
                <w:p w:rsidR="00AC2131" w:rsidRPr="00EA0ADF" w:rsidRDefault="00AC2131" w:rsidP="00AC2131">
                  <w:pPr>
                    <w:pStyle w:val="TableBodyText"/>
                    <w:spacing w:after="0"/>
                    <w:ind w:left="0" w:right="57"/>
                  </w:pPr>
                  <w:r w:rsidRPr="00EA0ADF">
                    <w:t>1.8</w:t>
                  </w:r>
                </w:p>
              </w:tc>
              <w:tc>
                <w:tcPr>
                  <w:tcW w:w="500" w:type="pct"/>
                  <w:vAlign w:val="center"/>
                </w:tcPr>
                <w:p w:rsidR="00AC2131" w:rsidRPr="00EA0ADF" w:rsidRDefault="00AC2131" w:rsidP="00AC2131">
                  <w:pPr>
                    <w:pStyle w:val="TableBodyText"/>
                    <w:spacing w:after="0"/>
                    <w:ind w:left="0" w:right="57"/>
                  </w:pPr>
                  <w:r w:rsidRPr="00EA0ADF">
                    <w:t>1.8</w:t>
                  </w:r>
                </w:p>
              </w:tc>
              <w:tc>
                <w:tcPr>
                  <w:tcW w:w="500" w:type="pct"/>
                  <w:vAlign w:val="center"/>
                </w:tcPr>
                <w:p w:rsidR="00AC2131" w:rsidRPr="00EA0ADF" w:rsidRDefault="00AC2131" w:rsidP="00AC2131">
                  <w:pPr>
                    <w:pStyle w:val="TableBodyText"/>
                    <w:spacing w:after="0"/>
                    <w:ind w:left="0" w:right="57"/>
                  </w:pPr>
                  <w:r w:rsidRPr="00EA0ADF">
                    <w:t>1.8</w:t>
                  </w:r>
                </w:p>
              </w:tc>
              <w:tc>
                <w:tcPr>
                  <w:tcW w:w="499" w:type="pct"/>
                  <w:vAlign w:val="center"/>
                </w:tcPr>
                <w:p w:rsidR="00AC2131" w:rsidRPr="00EA0ADF" w:rsidRDefault="00AC2131" w:rsidP="00AC2131">
                  <w:pPr>
                    <w:pStyle w:val="TableBodyText"/>
                    <w:spacing w:after="0"/>
                    <w:ind w:left="0" w:right="57"/>
                  </w:pPr>
                  <w:r w:rsidRPr="00EA0ADF">
                    <w:t>1.8</w:t>
                  </w:r>
                </w:p>
              </w:tc>
              <w:tc>
                <w:tcPr>
                  <w:tcW w:w="499" w:type="pct"/>
                  <w:shd w:val="clear" w:color="auto" w:fill="auto"/>
                  <w:vAlign w:val="center"/>
                </w:tcPr>
                <w:p w:rsidR="00AC2131" w:rsidRPr="00EA0ADF" w:rsidRDefault="00AC2131" w:rsidP="00AC2131">
                  <w:pPr>
                    <w:pStyle w:val="TableBodyText"/>
                    <w:spacing w:after="0"/>
                    <w:ind w:left="0" w:right="57"/>
                  </w:pPr>
                  <w:r w:rsidRPr="00EA0ADF">
                    <w:t>1.8</w:t>
                  </w:r>
                </w:p>
              </w:tc>
              <w:tc>
                <w:tcPr>
                  <w:tcW w:w="499" w:type="pct"/>
                  <w:shd w:val="clear" w:color="auto" w:fill="auto"/>
                  <w:vAlign w:val="center"/>
                </w:tcPr>
                <w:p w:rsidR="00AC2131" w:rsidRPr="00EA0ADF" w:rsidRDefault="00AC2131" w:rsidP="00AC2131">
                  <w:pPr>
                    <w:pStyle w:val="TableBodyText"/>
                    <w:spacing w:after="0"/>
                    <w:ind w:left="0" w:right="57"/>
                  </w:pPr>
                  <w:r w:rsidRPr="00EA0ADF">
                    <w:t>1.7</w:t>
                  </w:r>
                </w:p>
              </w:tc>
            </w:tr>
            <w:tr w:rsidR="00AC2131" w:rsidTr="00AC2131">
              <w:tc>
                <w:tcPr>
                  <w:tcW w:w="2003" w:type="pct"/>
                  <w:shd w:val="clear" w:color="auto" w:fill="auto"/>
                  <w:vAlign w:val="bottom"/>
                </w:tcPr>
                <w:p w:rsidR="00AC2131" w:rsidRPr="00633D27" w:rsidRDefault="00AC2131" w:rsidP="00AC2131">
                  <w:pPr>
                    <w:rPr>
                      <w:rFonts w:ascii="Arial" w:hAnsi="Arial" w:cs="Arial"/>
                      <w:sz w:val="18"/>
                      <w:szCs w:val="18"/>
                    </w:rPr>
                  </w:pPr>
                  <w:r w:rsidRPr="00633D27">
                    <w:rPr>
                      <w:rFonts w:ascii="Arial" w:hAnsi="Arial" w:cs="Arial"/>
                      <w:sz w:val="18"/>
                      <w:szCs w:val="18"/>
                    </w:rPr>
                    <w:t>Petroleum, coal, chemical and rubber</w:t>
                  </w:r>
                </w:p>
              </w:tc>
              <w:tc>
                <w:tcPr>
                  <w:tcW w:w="501" w:type="pct"/>
                  <w:vAlign w:val="center"/>
                </w:tcPr>
                <w:p w:rsidR="00AC2131" w:rsidRPr="00EA0ADF" w:rsidRDefault="00AC2131" w:rsidP="00AC2131">
                  <w:pPr>
                    <w:pStyle w:val="TableBodyText"/>
                    <w:spacing w:after="0"/>
                    <w:ind w:left="0" w:right="57"/>
                  </w:pPr>
                  <w:r w:rsidRPr="00EA0ADF">
                    <w:t>0.7</w:t>
                  </w:r>
                </w:p>
              </w:tc>
              <w:tc>
                <w:tcPr>
                  <w:tcW w:w="500" w:type="pct"/>
                  <w:vAlign w:val="center"/>
                </w:tcPr>
                <w:p w:rsidR="00AC2131" w:rsidRPr="00EA0ADF" w:rsidRDefault="00AC2131" w:rsidP="00AC2131">
                  <w:pPr>
                    <w:pStyle w:val="TableBodyText"/>
                    <w:spacing w:after="0"/>
                    <w:ind w:left="0" w:right="57"/>
                  </w:pPr>
                  <w:r w:rsidRPr="00EA0ADF">
                    <w:t>0.8</w:t>
                  </w:r>
                </w:p>
              </w:tc>
              <w:tc>
                <w:tcPr>
                  <w:tcW w:w="500" w:type="pct"/>
                  <w:vAlign w:val="center"/>
                </w:tcPr>
                <w:p w:rsidR="00AC2131" w:rsidRPr="00EA0ADF" w:rsidRDefault="00AC2131" w:rsidP="00AC2131">
                  <w:pPr>
                    <w:pStyle w:val="TableBodyText"/>
                    <w:spacing w:after="0"/>
                    <w:ind w:left="0" w:right="57"/>
                  </w:pPr>
                  <w:r w:rsidRPr="00EA0ADF">
                    <w:t>0.7</w:t>
                  </w:r>
                </w:p>
              </w:tc>
              <w:tc>
                <w:tcPr>
                  <w:tcW w:w="499" w:type="pct"/>
                  <w:vAlign w:val="center"/>
                </w:tcPr>
                <w:p w:rsidR="00AC2131" w:rsidRPr="00EA0ADF" w:rsidRDefault="00AC2131" w:rsidP="00AC2131">
                  <w:pPr>
                    <w:pStyle w:val="TableBodyText"/>
                    <w:spacing w:after="0"/>
                    <w:ind w:left="0" w:right="57"/>
                  </w:pPr>
                  <w:r w:rsidRPr="00EA0ADF">
                    <w:t>0.7</w:t>
                  </w:r>
                </w:p>
              </w:tc>
              <w:tc>
                <w:tcPr>
                  <w:tcW w:w="499" w:type="pct"/>
                  <w:shd w:val="clear" w:color="auto" w:fill="auto"/>
                  <w:vAlign w:val="center"/>
                </w:tcPr>
                <w:p w:rsidR="00AC2131" w:rsidRPr="00EA0ADF" w:rsidRDefault="00AC2131" w:rsidP="00AC2131">
                  <w:pPr>
                    <w:pStyle w:val="TableBodyText"/>
                    <w:spacing w:after="0"/>
                    <w:ind w:left="0" w:right="57"/>
                  </w:pPr>
                  <w:r w:rsidRPr="00EA0ADF">
                    <w:t>0.7</w:t>
                  </w:r>
                </w:p>
              </w:tc>
              <w:tc>
                <w:tcPr>
                  <w:tcW w:w="499" w:type="pct"/>
                  <w:shd w:val="clear" w:color="auto" w:fill="auto"/>
                  <w:vAlign w:val="center"/>
                </w:tcPr>
                <w:p w:rsidR="00AC2131" w:rsidRPr="00EA0ADF" w:rsidRDefault="00AC2131" w:rsidP="00AC2131">
                  <w:pPr>
                    <w:pStyle w:val="TableBodyText"/>
                    <w:spacing w:after="0"/>
                    <w:ind w:left="0" w:right="57"/>
                  </w:pPr>
                  <w:r w:rsidRPr="00EA0ADF">
                    <w:t>0.7</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Non-Metallic mineral products</w:t>
                  </w:r>
                </w:p>
              </w:tc>
              <w:tc>
                <w:tcPr>
                  <w:tcW w:w="501" w:type="pct"/>
                  <w:vAlign w:val="center"/>
                </w:tcPr>
                <w:p w:rsidR="00AC2131" w:rsidRPr="00EA0ADF" w:rsidRDefault="00AC2131" w:rsidP="00AC2131">
                  <w:pPr>
                    <w:pStyle w:val="TableBodyText"/>
                    <w:spacing w:after="0"/>
                    <w:ind w:left="0" w:right="57"/>
                  </w:pPr>
                  <w:r w:rsidRPr="00EA0ADF">
                    <w:t>0.9</w:t>
                  </w:r>
                </w:p>
              </w:tc>
              <w:tc>
                <w:tcPr>
                  <w:tcW w:w="500" w:type="pct"/>
                  <w:vAlign w:val="center"/>
                </w:tcPr>
                <w:p w:rsidR="00AC2131" w:rsidRPr="00EA0ADF" w:rsidRDefault="00AC2131" w:rsidP="00AC2131">
                  <w:pPr>
                    <w:pStyle w:val="TableBodyText"/>
                    <w:spacing w:after="0"/>
                    <w:ind w:left="0" w:right="57"/>
                  </w:pPr>
                  <w:r w:rsidRPr="00EA0ADF">
                    <w:t>0.9</w:t>
                  </w:r>
                </w:p>
              </w:tc>
              <w:tc>
                <w:tcPr>
                  <w:tcW w:w="500" w:type="pct"/>
                  <w:vAlign w:val="center"/>
                </w:tcPr>
                <w:p w:rsidR="00AC2131" w:rsidRPr="00EA0ADF" w:rsidRDefault="00AC2131" w:rsidP="00AC2131">
                  <w:pPr>
                    <w:pStyle w:val="TableBodyText"/>
                    <w:spacing w:after="0"/>
                    <w:ind w:left="0" w:right="57"/>
                  </w:pPr>
                  <w:r w:rsidRPr="00EA0ADF">
                    <w:t>0.9</w:t>
                  </w:r>
                </w:p>
              </w:tc>
              <w:tc>
                <w:tcPr>
                  <w:tcW w:w="499" w:type="pct"/>
                  <w:vAlign w:val="center"/>
                </w:tcPr>
                <w:p w:rsidR="00AC2131" w:rsidRPr="00EA0ADF" w:rsidRDefault="00AC2131" w:rsidP="00AC2131">
                  <w:pPr>
                    <w:pStyle w:val="TableBodyText"/>
                    <w:spacing w:after="0"/>
                    <w:ind w:left="0" w:right="57"/>
                  </w:pPr>
                  <w:r w:rsidRPr="00EA0ADF">
                    <w:t>0.9</w:t>
                  </w:r>
                </w:p>
              </w:tc>
              <w:tc>
                <w:tcPr>
                  <w:tcW w:w="499" w:type="pct"/>
                  <w:shd w:val="clear" w:color="auto" w:fill="auto"/>
                  <w:vAlign w:val="center"/>
                </w:tcPr>
                <w:p w:rsidR="00AC2131" w:rsidRPr="00EA0ADF" w:rsidRDefault="00AC2131" w:rsidP="00AC2131">
                  <w:pPr>
                    <w:pStyle w:val="TableBodyText"/>
                    <w:spacing w:after="0"/>
                    <w:ind w:left="0" w:right="57"/>
                  </w:pPr>
                  <w:r w:rsidRPr="00EA0ADF">
                    <w:t>0.9</w:t>
                  </w:r>
                </w:p>
              </w:tc>
              <w:tc>
                <w:tcPr>
                  <w:tcW w:w="499" w:type="pct"/>
                  <w:shd w:val="clear" w:color="auto" w:fill="auto"/>
                  <w:vAlign w:val="center"/>
                </w:tcPr>
                <w:p w:rsidR="00AC2131" w:rsidRPr="00EA0ADF" w:rsidRDefault="00AC2131" w:rsidP="00AC2131">
                  <w:pPr>
                    <w:pStyle w:val="TableBodyText"/>
                    <w:spacing w:after="0"/>
                    <w:ind w:left="0" w:right="57"/>
                  </w:pPr>
                  <w:r w:rsidRPr="00EA0ADF">
                    <w:t>0.9</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Metal and fabricated metal products</w:t>
                  </w:r>
                </w:p>
              </w:tc>
              <w:tc>
                <w:tcPr>
                  <w:tcW w:w="501" w:type="pct"/>
                  <w:vAlign w:val="center"/>
                </w:tcPr>
                <w:p w:rsidR="00AC2131" w:rsidRPr="00EA0ADF" w:rsidRDefault="00AC2131" w:rsidP="00AC2131">
                  <w:pPr>
                    <w:pStyle w:val="TableBodyText"/>
                    <w:spacing w:after="0"/>
                    <w:ind w:left="0" w:right="57"/>
                  </w:pPr>
                  <w:r w:rsidRPr="00EA0ADF">
                    <w:t>0.7</w:t>
                  </w:r>
                </w:p>
              </w:tc>
              <w:tc>
                <w:tcPr>
                  <w:tcW w:w="500" w:type="pct"/>
                  <w:vAlign w:val="center"/>
                </w:tcPr>
                <w:p w:rsidR="00AC2131" w:rsidRPr="00EA0ADF" w:rsidRDefault="00AC2131" w:rsidP="00AC2131">
                  <w:pPr>
                    <w:pStyle w:val="TableBodyText"/>
                    <w:spacing w:after="0"/>
                    <w:ind w:left="0" w:right="57"/>
                  </w:pPr>
                  <w:r w:rsidRPr="00EA0ADF">
                    <w:t>0.7</w:t>
                  </w:r>
                </w:p>
              </w:tc>
              <w:tc>
                <w:tcPr>
                  <w:tcW w:w="500" w:type="pct"/>
                  <w:vAlign w:val="center"/>
                </w:tcPr>
                <w:p w:rsidR="00AC2131" w:rsidRPr="00EA0ADF" w:rsidRDefault="00AC2131" w:rsidP="00AC2131">
                  <w:pPr>
                    <w:pStyle w:val="TableBodyText"/>
                    <w:spacing w:after="0"/>
                    <w:ind w:left="0" w:right="57"/>
                  </w:pPr>
                  <w:r w:rsidRPr="00EA0ADF">
                    <w:t>0.7</w:t>
                  </w:r>
                </w:p>
              </w:tc>
              <w:tc>
                <w:tcPr>
                  <w:tcW w:w="499" w:type="pct"/>
                  <w:vAlign w:val="center"/>
                </w:tcPr>
                <w:p w:rsidR="00AC2131" w:rsidRPr="00EA0ADF" w:rsidRDefault="00AC2131" w:rsidP="00AC2131">
                  <w:pPr>
                    <w:pStyle w:val="TableBodyText"/>
                    <w:spacing w:after="0"/>
                    <w:ind w:left="0" w:right="57"/>
                  </w:pPr>
                  <w:r w:rsidRPr="00EA0ADF">
                    <w:t>0.7</w:t>
                  </w:r>
                </w:p>
              </w:tc>
              <w:tc>
                <w:tcPr>
                  <w:tcW w:w="499" w:type="pct"/>
                  <w:shd w:val="clear" w:color="auto" w:fill="auto"/>
                  <w:vAlign w:val="center"/>
                </w:tcPr>
                <w:p w:rsidR="00AC2131" w:rsidRPr="00EA0ADF" w:rsidRDefault="00AC2131" w:rsidP="00AC2131">
                  <w:pPr>
                    <w:pStyle w:val="TableBodyText"/>
                    <w:spacing w:after="0"/>
                    <w:ind w:left="0" w:right="57"/>
                  </w:pPr>
                  <w:r w:rsidRPr="00EA0ADF">
                    <w:t>0.7</w:t>
                  </w:r>
                </w:p>
              </w:tc>
              <w:tc>
                <w:tcPr>
                  <w:tcW w:w="499" w:type="pct"/>
                  <w:shd w:val="clear" w:color="auto" w:fill="auto"/>
                  <w:vAlign w:val="center"/>
                </w:tcPr>
                <w:p w:rsidR="00AC2131" w:rsidRPr="00EA0ADF" w:rsidRDefault="00AC2131" w:rsidP="00AC2131">
                  <w:pPr>
                    <w:pStyle w:val="TableBodyText"/>
                    <w:spacing w:after="0"/>
                    <w:ind w:left="0" w:right="57"/>
                  </w:pPr>
                  <w:r w:rsidRPr="00EA0ADF">
                    <w:t>0.7</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Motor vehicle and parts</w:t>
                  </w:r>
                </w:p>
              </w:tc>
              <w:tc>
                <w:tcPr>
                  <w:tcW w:w="501" w:type="pct"/>
                  <w:vAlign w:val="center"/>
                </w:tcPr>
                <w:p w:rsidR="00AC2131" w:rsidRPr="00EA0ADF" w:rsidRDefault="00AC2131" w:rsidP="00AC2131">
                  <w:pPr>
                    <w:pStyle w:val="TableBodyText"/>
                    <w:spacing w:after="0"/>
                    <w:ind w:left="0" w:right="57"/>
                  </w:pPr>
                  <w:r w:rsidRPr="00EA0ADF">
                    <w:t>3.3</w:t>
                  </w:r>
                </w:p>
              </w:tc>
              <w:tc>
                <w:tcPr>
                  <w:tcW w:w="500" w:type="pct"/>
                  <w:vAlign w:val="center"/>
                </w:tcPr>
                <w:p w:rsidR="00AC2131" w:rsidRPr="00EA0ADF" w:rsidRDefault="00AC2131" w:rsidP="00AC2131">
                  <w:pPr>
                    <w:pStyle w:val="TableBodyText"/>
                    <w:spacing w:after="0"/>
                    <w:ind w:left="0" w:right="57"/>
                  </w:pPr>
                  <w:r w:rsidRPr="00EA0ADF">
                    <w:t>2.9</w:t>
                  </w:r>
                </w:p>
              </w:tc>
              <w:tc>
                <w:tcPr>
                  <w:tcW w:w="500" w:type="pct"/>
                  <w:vAlign w:val="center"/>
                </w:tcPr>
                <w:p w:rsidR="00AC2131" w:rsidRPr="00EA0ADF" w:rsidRDefault="00AC2131" w:rsidP="00AC2131">
                  <w:pPr>
                    <w:pStyle w:val="TableBodyText"/>
                    <w:spacing w:after="0"/>
                    <w:ind w:left="0" w:right="57"/>
                  </w:pPr>
                  <w:r w:rsidRPr="00EA0ADF">
                    <w:t>2.6</w:t>
                  </w:r>
                </w:p>
              </w:tc>
              <w:tc>
                <w:tcPr>
                  <w:tcW w:w="499" w:type="pct"/>
                  <w:vAlign w:val="center"/>
                </w:tcPr>
                <w:p w:rsidR="00AC2131" w:rsidRPr="00EA0ADF" w:rsidRDefault="00AC2131" w:rsidP="00AC2131">
                  <w:pPr>
                    <w:pStyle w:val="TableBodyText"/>
                    <w:spacing w:after="0"/>
                    <w:ind w:left="0" w:right="57"/>
                  </w:pPr>
                  <w:r w:rsidRPr="00EA0ADF">
                    <w:t>2.6</w:t>
                  </w:r>
                </w:p>
              </w:tc>
              <w:tc>
                <w:tcPr>
                  <w:tcW w:w="499" w:type="pct"/>
                  <w:shd w:val="clear" w:color="auto" w:fill="auto"/>
                  <w:vAlign w:val="center"/>
                </w:tcPr>
                <w:p w:rsidR="00AC2131" w:rsidRPr="00EA0ADF" w:rsidRDefault="00AC2131" w:rsidP="00AC2131">
                  <w:pPr>
                    <w:pStyle w:val="TableBodyText"/>
                    <w:spacing w:after="0"/>
                    <w:ind w:left="0" w:right="57"/>
                  </w:pPr>
                  <w:r w:rsidRPr="00EA0ADF">
                    <w:t>2.6</w:t>
                  </w:r>
                </w:p>
              </w:tc>
              <w:tc>
                <w:tcPr>
                  <w:tcW w:w="499" w:type="pct"/>
                  <w:shd w:val="clear" w:color="auto" w:fill="auto"/>
                  <w:vAlign w:val="center"/>
                </w:tcPr>
                <w:p w:rsidR="00AC2131" w:rsidRPr="00EA0ADF" w:rsidRDefault="00AC2131" w:rsidP="00AC2131">
                  <w:pPr>
                    <w:pStyle w:val="TableBodyText"/>
                    <w:spacing w:after="0"/>
                    <w:ind w:left="0" w:right="57"/>
                  </w:pPr>
                  <w:r w:rsidRPr="00EA0ADF">
                    <w:t>2.5</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Other transport equipment</w:t>
                  </w:r>
                </w:p>
              </w:tc>
              <w:tc>
                <w:tcPr>
                  <w:tcW w:w="501" w:type="pct"/>
                  <w:vAlign w:val="center"/>
                </w:tcPr>
                <w:p w:rsidR="00AC2131" w:rsidRPr="00EA0ADF" w:rsidRDefault="00AC2131" w:rsidP="00AC2131">
                  <w:pPr>
                    <w:pStyle w:val="TableBodyText"/>
                    <w:spacing w:after="0"/>
                    <w:ind w:left="0" w:right="57"/>
                  </w:pPr>
                  <w:r w:rsidRPr="00EA0ADF">
                    <w:t>2.0</w:t>
                  </w:r>
                </w:p>
              </w:tc>
              <w:tc>
                <w:tcPr>
                  <w:tcW w:w="500" w:type="pct"/>
                  <w:vAlign w:val="center"/>
                </w:tcPr>
                <w:p w:rsidR="00AC2131" w:rsidRPr="00EA0ADF" w:rsidRDefault="00AC2131" w:rsidP="00AC2131">
                  <w:pPr>
                    <w:pStyle w:val="TableBodyText"/>
                    <w:spacing w:after="0"/>
                    <w:ind w:left="0" w:right="57"/>
                  </w:pPr>
                  <w:r w:rsidRPr="00EA0ADF">
                    <w:t>1.9</w:t>
                  </w:r>
                </w:p>
              </w:tc>
              <w:tc>
                <w:tcPr>
                  <w:tcW w:w="500" w:type="pct"/>
                  <w:vAlign w:val="center"/>
                </w:tcPr>
                <w:p w:rsidR="00AC2131" w:rsidRPr="00EA0ADF" w:rsidRDefault="00AC2131" w:rsidP="00AC2131">
                  <w:pPr>
                    <w:pStyle w:val="TableBodyText"/>
                    <w:spacing w:after="0"/>
                    <w:ind w:left="0" w:right="57"/>
                  </w:pPr>
                  <w:r w:rsidRPr="00EA0ADF">
                    <w:t>1.8</w:t>
                  </w:r>
                </w:p>
              </w:tc>
              <w:tc>
                <w:tcPr>
                  <w:tcW w:w="499" w:type="pct"/>
                  <w:vAlign w:val="center"/>
                </w:tcPr>
                <w:p w:rsidR="00AC2131" w:rsidRPr="00EA0ADF" w:rsidRDefault="00AC2131" w:rsidP="00AC2131">
                  <w:pPr>
                    <w:pStyle w:val="TableBodyText"/>
                    <w:spacing w:after="0"/>
                    <w:ind w:left="0" w:right="57"/>
                  </w:pPr>
                  <w:r w:rsidRPr="00EA0ADF">
                    <w:t>1.8</w:t>
                  </w:r>
                </w:p>
              </w:tc>
              <w:tc>
                <w:tcPr>
                  <w:tcW w:w="499" w:type="pct"/>
                  <w:shd w:val="clear" w:color="auto" w:fill="auto"/>
                  <w:vAlign w:val="center"/>
                </w:tcPr>
                <w:p w:rsidR="00AC2131" w:rsidRPr="00EA0ADF" w:rsidRDefault="00AC2131" w:rsidP="00AC2131">
                  <w:pPr>
                    <w:pStyle w:val="TableBodyText"/>
                    <w:spacing w:after="0"/>
                    <w:ind w:left="0" w:right="57"/>
                  </w:pPr>
                  <w:r w:rsidRPr="00EA0ADF">
                    <w:t>1.8</w:t>
                  </w:r>
                </w:p>
              </w:tc>
              <w:tc>
                <w:tcPr>
                  <w:tcW w:w="499" w:type="pct"/>
                  <w:shd w:val="clear" w:color="auto" w:fill="auto"/>
                  <w:vAlign w:val="center"/>
                </w:tcPr>
                <w:p w:rsidR="00AC2131" w:rsidRPr="00EA0ADF" w:rsidRDefault="00AC2131" w:rsidP="00AC2131">
                  <w:pPr>
                    <w:pStyle w:val="TableBodyText"/>
                    <w:spacing w:after="0"/>
                    <w:ind w:left="0" w:right="57"/>
                  </w:pPr>
                  <w:r w:rsidRPr="00EA0ADF">
                    <w:t>1.8</w:t>
                  </w:r>
                </w:p>
              </w:tc>
            </w:tr>
            <w:tr w:rsidR="00AC2131" w:rsidTr="00AC2131">
              <w:tc>
                <w:tcPr>
                  <w:tcW w:w="2003" w:type="pct"/>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Machinery and equipment manufacturing</w:t>
                  </w:r>
                </w:p>
              </w:tc>
              <w:tc>
                <w:tcPr>
                  <w:tcW w:w="501" w:type="pct"/>
                  <w:vAlign w:val="center"/>
                </w:tcPr>
                <w:p w:rsidR="00AC2131" w:rsidRPr="00EA0ADF" w:rsidRDefault="00AC2131" w:rsidP="00AC2131">
                  <w:pPr>
                    <w:pStyle w:val="TableBodyText"/>
                    <w:spacing w:after="0"/>
                    <w:ind w:left="0" w:right="57"/>
                  </w:pPr>
                  <w:r w:rsidRPr="00EA0ADF">
                    <w:t>1.4</w:t>
                  </w:r>
                </w:p>
              </w:tc>
              <w:tc>
                <w:tcPr>
                  <w:tcW w:w="500" w:type="pct"/>
                  <w:vAlign w:val="center"/>
                </w:tcPr>
                <w:p w:rsidR="00AC2131" w:rsidRPr="00EA0ADF" w:rsidRDefault="00AC2131" w:rsidP="00AC2131">
                  <w:pPr>
                    <w:pStyle w:val="TableBodyText"/>
                    <w:spacing w:after="0"/>
                    <w:ind w:left="0" w:right="57"/>
                  </w:pPr>
                  <w:r w:rsidRPr="00EA0ADF">
                    <w:t>1.4</w:t>
                  </w:r>
                </w:p>
              </w:tc>
              <w:tc>
                <w:tcPr>
                  <w:tcW w:w="500" w:type="pct"/>
                  <w:vAlign w:val="center"/>
                </w:tcPr>
                <w:p w:rsidR="00AC2131" w:rsidRPr="00EA0ADF" w:rsidRDefault="00AC2131" w:rsidP="00AC2131">
                  <w:pPr>
                    <w:pStyle w:val="TableBodyText"/>
                    <w:spacing w:after="0"/>
                    <w:ind w:left="0" w:right="57"/>
                  </w:pPr>
                  <w:r w:rsidRPr="00EA0ADF">
                    <w:t>1.3</w:t>
                  </w:r>
                </w:p>
              </w:tc>
              <w:tc>
                <w:tcPr>
                  <w:tcW w:w="499" w:type="pct"/>
                  <w:vAlign w:val="center"/>
                </w:tcPr>
                <w:p w:rsidR="00AC2131" w:rsidRPr="00EA0ADF" w:rsidRDefault="00AC2131" w:rsidP="00AC2131">
                  <w:pPr>
                    <w:pStyle w:val="TableBodyText"/>
                    <w:spacing w:after="0"/>
                    <w:ind w:left="0" w:right="57"/>
                  </w:pPr>
                  <w:r w:rsidRPr="00EA0ADF">
                    <w:t>1.3</w:t>
                  </w:r>
                </w:p>
              </w:tc>
              <w:tc>
                <w:tcPr>
                  <w:tcW w:w="499" w:type="pct"/>
                  <w:shd w:val="clear" w:color="auto" w:fill="auto"/>
                  <w:vAlign w:val="center"/>
                </w:tcPr>
                <w:p w:rsidR="00AC2131" w:rsidRPr="00EA0ADF" w:rsidRDefault="00AC2131" w:rsidP="00AC2131">
                  <w:pPr>
                    <w:pStyle w:val="TableBodyText"/>
                    <w:spacing w:after="0"/>
                    <w:ind w:left="0" w:right="57"/>
                  </w:pPr>
                  <w:r w:rsidRPr="00EA0ADF">
                    <w:t>1.3</w:t>
                  </w:r>
                </w:p>
              </w:tc>
              <w:tc>
                <w:tcPr>
                  <w:tcW w:w="499" w:type="pct"/>
                  <w:shd w:val="clear" w:color="auto" w:fill="auto"/>
                  <w:vAlign w:val="center"/>
                </w:tcPr>
                <w:p w:rsidR="00AC2131" w:rsidRPr="00EA0ADF" w:rsidRDefault="00AC2131" w:rsidP="00AC2131">
                  <w:pPr>
                    <w:pStyle w:val="TableBodyText"/>
                    <w:spacing w:after="0"/>
                    <w:ind w:left="0" w:right="57"/>
                  </w:pPr>
                  <w:r w:rsidRPr="00EA0ADF">
                    <w:t>1.3</w:t>
                  </w:r>
                </w:p>
              </w:tc>
            </w:tr>
            <w:tr w:rsidR="00AC2131" w:rsidTr="00AC2131">
              <w:tc>
                <w:tcPr>
                  <w:tcW w:w="2003" w:type="pct"/>
                  <w:tcBorders>
                    <w:bottom w:val="single" w:sz="6" w:space="0" w:color="BFBFBF"/>
                  </w:tcBorders>
                  <w:shd w:val="clear" w:color="auto" w:fill="auto"/>
                  <w:vAlign w:val="bottom"/>
                </w:tcPr>
                <w:p w:rsidR="00AC2131" w:rsidRPr="00633D27" w:rsidRDefault="00AC2131">
                  <w:pPr>
                    <w:rPr>
                      <w:rFonts w:ascii="Arial" w:hAnsi="Arial" w:cs="Arial"/>
                      <w:sz w:val="18"/>
                      <w:szCs w:val="18"/>
                    </w:rPr>
                  </w:pPr>
                  <w:r w:rsidRPr="00633D27">
                    <w:rPr>
                      <w:rFonts w:ascii="Arial" w:hAnsi="Arial" w:cs="Arial"/>
                      <w:sz w:val="18"/>
                      <w:szCs w:val="18"/>
                    </w:rPr>
                    <w:t>Furniture and other manufacturing</w:t>
                  </w:r>
                </w:p>
              </w:tc>
              <w:tc>
                <w:tcPr>
                  <w:tcW w:w="501" w:type="pct"/>
                  <w:tcBorders>
                    <w:bottom w:val="single" w:sz="6" w:space="0" w:color="BFBFBF"/>
                  </w:tcBorders>
                  <w:vAlign w:val="center"/>
                </w:tcPr>
                <w:p w:rsidR="00AC2131" w:rsidRPr="00EA0ADF" w:rsidRDefault="00AC2131" w:rsidP="00AC2131">
                  <w:pPr>
                    <w:pStyle w:val="TableBodyText"/>
                    <w:spacing w:after="0"/>
                    <w:ind w:left="0" w:right="57"/>
                  </w:pPr>
                  <w:r w:rsidRPr="00EA0ADF">
                    <w:t>1.9</w:t>
                  </w:r>
                </w:p>
              </w:tc>
              <w:tc>
                <w:tcPr>
                  <w:tcW w:w="500" w:type="pct"/>
                  <w:tcBorders>
                    <w:bottom w:val="single" w:sz="6" w:space="0" w:color="BFBFBF"/>
                  </w:tcBorders>
                  <w:vAlign w:val="center"/>
                </w:tcPr>
                <w:p w:rsidR="00AC2131" w:rsidRPr="00EA0ADF" w:rsidRDefault="00AC2131" w:rsidP="00AC2131">
                  <w:pPr>
                    <w:pStyle w:val="TableBodyText"/>
                    <w:spacing w:after="0"/>
                    <w:ind w:left="0" w:right="57"/>
                  </w:pPr>
                  <w:r w:rsidRPr="00EA0ADF">
                    <w:t>1.8</w:t>
                  </w:r>
                </w:p>
              </w:tc>
              <w:tc>
                <w:tcPr>
                  <w:tcW w:w="500" w:type="pct"/>
                  <w:tcBorders>
                    <w:bottom w:val="single" w:sz="6" w:space="0" w:color="BFBFBF"/>
                  </w:tcBorders>
                  <w:vAlign w:val="center"/>
                </w:tcPr>
                <w:p w:rsidR="00AC2131" w:rsidRPr="00EA0ADF" w:rsidRDefault="00AC2131" w:rsidP="00AC2131">
                  <w:pPr>
                    <w:pStyle w:val="TableBodyText"/>
                    <w:spacing w:after="0"/>
                    <w:ind w:left="0" w:right="57"/>
                  </w:pPr>
                  <w:r w:rsidRPr="00EA0ADF">
                    <w:t>1.7</w:t>
                  </w:r>
                </w:p>
              </w:tc>
              <w:tc>
                <w:tcPr>
                  <w:tcW w:w="499" w:type="pct"/>
                  <w:tcBorders>
                    <w:bottom w:val="single" w:sz="6" w:space="0" w:color="BFBFBF"/>
                  </w:tcBorders>
                  <w:vAlign w:val="center"/>
                </w:tcPr>
                <w:p w:rsidR="00AC2131" w:rsidRPr="00EA0ADF" w:rsidRDefault="00AC2131" w:rsidP="00AC2131">
                  <w:pPr>
                    <w:pStyle w:val="TableBodyText"/>
                    <w:spacing w:after="0"/>
                    <w:ind w:left="0" w:right="57"/>
                  </w:pPr>
                  <w:r w:rsidRPr="00EA0ADF">
                    <w:t>1.7</w:t>
                  </w:r>
                </w:p>
              </w:tc>
              <w:tc>
                <w:tcPr>
                  <w:tcW w:w="499" w:type="pct"/>
                  <w:tcBorders>
                    <w:bottom w:val="single" w:sz="6" w:space="0" w:color="BFBFBF"/>
                  </w:tcBorders>
                  <w:shd w:val="clear" w:color="auto" w:fill="auto"/>
                  <w:vAlign w:val="center"/>
                </w:tcPr>
                <w:p w:rsidR="00AC2131" w:rsidRPr="00EA0ADF" w:rsidRDefault="00AC2131" w:rsidP="00AC2131">
                  <w:pPr>
                    <w:pStyle w:val="TableBodyText"/>
                    <w:spacing w:after="0"/>
                    <w:ind w:left="0" w:right="57"/>
                  </w:pPr>
                  <w:r w:rsidRPr="00EA0ADF">
                    <w:t>1.7</w:t>
                  </w:r>
                </w:p>
              </w:tc>
              <w:tc>
                <w:tcPr>
                  <w:tcW w:w="499" w:type="pct"/>
                  <w:tcBorders>
                    <w:bottom w:val="single" w:sz="6" w:space="0" w:color="BFBFBF"/>
                  </w:tcBorders>
                  <w:shd w:val="clear" w:color="auto" w:fill="auto"/>
                  <w:vAlign w:val="center"/>
                </w:tcPr>
                <w:p w:rsidR="00AC2131" w:rsidRPr="00EA0ADF" w:rsidRDefault="00AC2131" w:rsidP="00AC2131">
                  <w:pPr>
                    <w:pStyle w:val="TableBodyText"/>
                    <w:spacing w:after="0"/>
                    <w:ind w:left="0" w:right="57"/>
                  </w:pPr>
                  <w:r w:rsidRPr="00EA0ADF">
                    <w:t>1.7</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Pr>
                <w:rFonts w:cs="Arial"/>
                <w:szCs w:val="18"/>
              </w:rPr>
              <w:t xml:space="preserve">– Nil. </w:t>
            </w:r>
            <w:r w:rsidRPr="00C74A79">
              <w:rPr>
                <w:rFonts w:cs="Arial"/>
                <w:szCs w:val="18"/>
              </w:rPr>
              <w:t>Figures may not add to totals due to rounding.</w:t>
            </w:r>
            <w:r>
              <w:rPr>
                <w:rFonts w:cs="Arial"/>
                <w:szCs w:val="18"/>
              </w:rPr>
              <w:t xml:space="preserve"> </w:t>
            </w:r>
            <w:r w:rsidRPr="008E77FE">
              <w:rPr>
                <w:rStyle w:val="NoteLabel"/>
              </w:rPr>
              <w:t>a</w:t>
            </w:r>
            <w:r>
              <w:t xml:space="preserve"> Combined assistance comprises tariff, budgetary and agricultural pricing and regulatory assistance. </w:t>
            </w:r>
            <w:r>
              <w:rPr>
                <w:rStyle w:val="NoteLabel"/>
              </w:rPr>
              <w:t>b</w:t>
            </w:r>
            <w:r>
              <w:t> Sectoral estimates include assistance to the sector that has not been allocated to specific industry groupings.</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w:t>
            </w:r>
            <w:r>
              <w:rPr>
                <w:b w:val="0"/>
                <w:noProof/>
              </w:rPr>
              <w:t>10</w:t>
            </w:r>
            <w:r>
              <w:tab/>
              <w:t xml:space="preserve">Australian Government budgetary assistance </w:t>
            </w:r>
            <w:r>
              <w:br/>
              <w:t>to primary industry, 2008</w:t>
            </w:r>
            <w:r>
              <w:noBreakHyphen/>
              <w:t>09 to 2013</w:t>
            </w:r>
            <w:r>
              <w:noBreakHyphen/>
              <w:t>14</w:t>
            </w:r>
            <w:r w:rsidRPr="006B64DF">
              <w:rPr>
                <w:rStyle w:val="NoteLabel"/>
                <w:b/>
              </w:rPr>
              <w:t>a</w:t>
            </w:r>
          </w:p>
          <w:p w:rsidR="00AC2131" w:rsidRPr="00784A05" w:rsidRDefault="00AC2131" w:rsidP="00AC2131">
            <w:pPr>
              <w:pStyle w:val="Subtitle"/>
            </w:pPr>
            <w:r w:rsidRPr="001011D4">
              <w:t>$ million (nominal)</w:t>
            </w:r>
          </w:p>
        </w:tc>
      </w:tr>
      <w:tr w:rsidR="00AC2131" w:rsidTr="00AC2131">
        <w:trPr>
          <w:cantSplit/>
        </w:trPr>
        <w:tc>
          <w:tcPr>
            <w:tcW w:w="8767" w:type="dxa"/>
            <w:tcBorders>
              <w:top w:val="nil"/>
              <w:left w:val="nil"/>
              <w:bottom w:val="nil"/>
              <w:right w:val="nil"/>
            </w:tcBorders>
            <w:shd w:val="clear" w:color="auto" w:fill="auto"/>
          </w:tcPr>
          <w:tbl>
            <w:tblPr>
              <w:tblW w:w="11697" w:type="dxa"/>
              <w:tblLayout w:type="fixed"/>
              <w:tblCellMar>
                <w:top w:w="28" w:type="dxa"/>
                <w:left w:w="0" w:type="dxa"/>
                <w:right w:w="0" w:type="dxa"/>
              </w:tblCellMar>
              <w:tblLook w:val="0000" w:firstRow="0" w:lastRow="0" w:firstColumn="0" w:lastColumn="0" w:noHBand="0" w:noVBand="0"/>
            </w:tblPr>
            <w:tblGrid>
              <w:gridCol w:w="3742"/>
              <w:gridCol w:w="797"/>
              <w:gridCol w:w="798"/>
              <w:gridCol w:w="798"/>
              <w:gridCol w:w="798"/>
              <w:gridCol w:w="798"/>
              <w:gridCol w:w="793"/>
              <w:gridCol w:w="798"/>
              <w:gridCol w:w="798"/>
              <w:gridCol w:w="798"/>
              <w:gridCol w:w="779"/>
            </w:tblGrid>
            <w:tr w:rsidR="00AC2131" w:rsidTr="00AC2131">
              <w:trPr>
                <w:gridAfter w:val="4"/>
                <w:wAfter w:w="1356" w:type="pct"/>
              </w:trPr>
              <w:tc>
                <w:tcPr>
                  <w:tcW w:w="16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341"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341"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341"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341"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341"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33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RPr="005C642D" w:rsidTr="00AC2131">
              <w:trPr>
                <w:gridAfter w:val="4"/>
                <w:wAfter w:w="1356" w:type="pct"/>
              </w:trPr>
              <w:tc>
                <w:tcPr>
                  <w:tcW w:w="1600" w:type="pct"/>
                  <w:tcBorders>
                    <w:top w:val="single" w:sz="6" w:space="0" w:color="BFBFBF"/>
                  </w:tcBorders>
                </w:tcPr>
                <w:p w:rsidR="00AC2131" w:rsidRPr="005C642D" w:rsidRDefault="00AC2131" w:rsidP="00AC2131">
                  <w:pPr>
                    <w:pStyle w:val="TableUnitsRow"/>
                    <w:jc w:val="left"/>
                    <w:rPr>
                      <w:rFonts w:asciiTheme="minorHAnsi" w:hAnsiTheme="minorHAnsi" w:cstheme="minorHAnsi"/>
                      <w:szCs w:val="18"/>
                    </w:rPr>
                  </w:pPr>
                  <w:r w:rsidRPr="005C642D">
                    <w:rPr>
                      <w:rFonts w:asciiTheme="minorHAnsi" w:hAnsiTheme="minorHAnsi" w:cstheme="minorHAnsi"/>
                      <w:b/>
                      <w:szCs w:val="18"/>
                    </w:rPr>
                    <w:t>Horticulture and fruit growing</w:t>
                  </w:r>
                </w:p>
              </w:tc>
              <w:tc>
                <w:tcPr>
                  <w:tcW w:w="341" w:type="pct"/>
                  <w:tcBorders>
                    <w:top w:val="single" w:sz="6" w:space="0" w:color="BFBFBF"/>
                  </w:tcBorders>
                </w:tcPr>
                <w:p w:rsidR="00AC2131" w:rsidRPr="005C642D" w:rsidRDefault="00AC2131" w:rsidP="00AC2131">
                  <w:pPr>
                    <w:pStyle w:val="TableUnitsRow"/>
                    <w:ind w:right="57"/>
                    <w:rPr>
                      <w:rFonts w:asciiTheme="minorHAnsi" w:hAnsiTheme="minorHAnsi" w:cstheme="minorHAnsi"/>
                      <w:szCs w:val="18"/>
                    </w:rPr>
                  </w:pPr>
                </w:p>
              </w:tc>
              <w:tc>
                <w:tcPr>
                  <w:tcW w:w="341" w:type="pct"/>
                  <w:tcBorders>
                    <w:top w:val="single" w:sz="6" w:space="0" w:color="BFBFBF"/>
                  </w:tcBorders>
                </w:tcPr>
                <w:p w:rsidR="00AC2131" w:rsidRPr="005C642D" w:rsidRDefault="00AC2131" w:rsidP="00AC2131">
                  <w:pPr>
                    <w:pStyle w:val="TableUnitsRow"/>
                    <w:ind w:right="57"/>
                    <w:rPr>
                      <w:rFonts w:asciiTheme="minorHAnsi" w:hAnsiTheme="minorHAnsi" w:cstheme="minorHAnsi"/>
                      <w:szCs w:val="18"/>
                    </w:rPr>
                  </w:pPr>
                </w:p>
              </w:tc>
              <w:tc>
                <w:tcPr>
                  <w:tcW w:w="341" w:type="pct"/>
                  <w:tcBorders>
                    <w:top w:val="single" w:sz="6" w:space="0" w:color="BFBFBF"/>
                  </w:tcBorders>
                </w:tcPr>
                <w:p w:rsidR="00AC2131" w:rsidRPr="005C642D" w:rsidRDefault="00AC2131" w:rsidP="00AC2131">
                  <w:pPr>
                    <w:pStyle w:val="TableUnitsRow"/>
                    <w:ind w:right="57"/>
                    <w:rPr>
                      <w:rFonts w:asciiTheme="minorHAnsi" w:hAnsiTheme="minorHAnsi" w:cstheme="minorHAnsi"/>
                      <w:szCs w:val="18"/>
                    </w:rPr>
                  </w:pPr>
                </w:p>
              </w:tc>
              <w:tc>
                <w:tcPr>
                  <w:tcW w:w="341" w:type="pct"/>
                  <w:tcBorders>
                    <w:top w:val="single" w:sz="6" w:space="0" w:color="BFBFBF"/>
                  </w:tcBorders>
                </w:tcPr>
                <w:p w:rsidR="00AC2131" w:rsidRPr="005C642D" w:rsidRDefault="00AC2131" w:rsidP="00AC2131">
                  <w:pPr>
                    <w:pStyle w:val="TableUnitsRow"/>
                    <w:ind w:right="57"/>
                    <w:rPr>
                      <w:rFonts w:asciiTheme="minorHAnsi" w:hAnsiTheme="minorHAnsi" w:cstheme="minorHAnsi"/>
                      <w:szCs w:val="18"/>
                    </w:rPr>
                  </w:pPr>
                </w:p>
              </w:tc>
              <w:tc>
                <w:tcPr>
                  <w:tcW w:w="341" w:type="pct"/>
                  <w:tcBorders>
                    <w:top w:val="single" w:sz="6" w:space="0" w:color="BFBFBF"/>
                  </w:tcBorders>
                </w:tcPr>
                <w:p w:rsidR="00AC2131" w:rsidRPr="005C642D" w:rsidRDefault="00AC2131" w:rsidP="00AC2131">
                  <w:pPr>
                    <w:pStyle w:val="TableUnitsRow"/>
                    <w:ind w:right="57"/>
                    <w:rPr>
                      <w:rFonts w:asciiTheme="minorHAnsi" w:hAnsiTheme="minorHAnsi" w:cstheme="minorHAnsi"/>
                      <w:szCs w:val="18"/>
                    </w:rPr>
                  </w:pPr>
                </w:p>
              </w:tc>
              <w:tc>
                <w:tcPr>
                  <w:tcW w:w="339" w:type="pct"/>
                  <w:tcBorders>
                    <w:top w:val="single" w:sz="6" w:space="0" w:color="BFBFBF"/>
                  </w:tcBorders>
                </w:tcPr>
                <w:p w:rsidR="00AC2131" w:rsidRPr="005C642D" w:rsidRDefault="00AC2131" w:rsidP="00AC2131">
                  <w:pPr>
                    <w:pStyle w:val="TableUnitsRow"/>
                    <w:ind w:right="57"/>
                    <w:rPr>
                      <w:rFonts w:asciiTheme="minorHAnsi" w:hAnsiTheme="minorHAnsi" w:cstheme="minorHAnsi"/>
                      <w:szCs w:val="18"/>
                    </w:rPr>
                  </w:pPr>
                </w:p>
              </w:tc>
            </w:tr>
            <w:tr w:rsidR="00AC2131" w:rsidTr="00AC2131">
              <w:trPr>
                <w:gridAfter w:val="4"/>
                <w:wAfter w:w="1356" w:type="pct"/>
              </w:trPr>
              <w:tc>
                <w:tcPr>
                  <w:tcW w:w="1600" w:type="pct"/>
                  <w:vAlign w:val="center"/>
                </w:tcPr>
                <w:p w:rsidR="00AC2131" w:rsidRPr="00123D97" w:rsidRDefault="00AC2131" w:rsidP="00AC2131">
                  <w:pPr>
                    <w:pStyle w:val="TableBodyText"/>
                    <w:spacing w:before="40" w:after="0"/>
                    <w:ind w:left="113"/>
                    <w:jc w:val="left"/>
                    <w:rPr>
                      <w:i/>
                    </w:rPr>
                  </w:pPr>
                  <w:r w:rsidRPr="00123D97">
                    <w:rPr>
                      <w:i/>
                    </w:rPr>
                    <w:t>Industry-specific measures</w:t>
                  </w:r>
                </w:p>
              </w:tc>
              <w:tc>
                <w:tcPr>
                  <w:tcW w:w="341" w:type="pct"/>
                  <w:vAlign w:val="center"/>
                </w:tcPr>
                <w:p w:rsidR="00AC2131" w:rsidRPr="005C642D" w:rsidRDefault="00AC2131" w:rsidP="00AC2131">
                  <w:pPr>
                    <w:pStyle w:val="TableBodyText"/>
                    <w:spacing w:before="40" w:after="0"/>
                    <w:ind w:right="57"/>
                    <w:rPr>
                      <w:szCs w:val="18"/>
                    </w:rPr>
                  </w:pPr>
                </w:p>
              </w:tc>
              <w:tc>
                <w:tcPr>
                  <w:tcW w:w="341" w:type="pct"/>
                  <w:vAlign w:val="center"/>
                </w:tcPr>
                <w:p w:rsidR="00AC2131" w:rsidRPr="005C642D" w:rsidRDefault="00AC2131" w:rsidP="00AC2131">
                  <w:pPr>
                    <w:pStyle w:val="TableBodyText"/>
                    <w:spacing w:before="40" w:after="0"/>
                    <w:ind w:right="57"/>
                    <w:rPr>
                      <w:szCs w:val="18"/>
                    </w:rPr>
                  </w:pPr>
                </w:p>
              </w:tc>
              <w:tc>
                <w:tcPr>
                  <w:tcW w:w="341" w:type="pct"/>
                  <w:vAlign w:val="center"/>
                </w:tcPr>
                <w:p w:rsidR="00AC2131" w:rsidRPr="005C642D" w:rsidRDefault="00AC2131" w:rsidP="00AC2131">
                  <w:pPr>
                    <w:pStyle w:val="TableBodyText"/>
                    <w:spacing w:before="40" w:after="0"/>
                    <w:ind w:right="57"/>
                    <w:rPr>
                      <w:szCs w:val="18"/>
                    </w:rPr>
                  </w:pPr>
                </w:p>
              </w:tc>
              <w:tc>
                <w:tcPr>
                  <w:tcW w:w="341" w:type="pct"/>
                  <w:vAlign w:val="center"/>
                </w:tcPr>
                <w:p w:rsidR="00AC2131" w:rsidRPr="005C642D" w:rsidRDefault="00AC2131" w:rsidP="00AC2131">
                  <w:pPr>
                    <w:pStyle w:val="TableBodyText"/>
                    <w:spacing w:before="40" w:after="0"/>
                    <w:ind w:right="57"/>
                    <w:rPr>
                      <w:szCs w:val="18"/>
                    </w:rPr>
                  </w:pPr>
                </w:p>
              </w:tc>
              <w:tc>
                <w:tcPr>
                  <w:tcW w:w="341" w:type="pct"/>
                  <w:vAlign w:val="center"/>
                </w:tcPr>
                <w:p w:rsidR="00AC2131" w:rsidRPr="005C642D" w:rsidRDefault="00AC2131" w:rsidP="00AC2131">
                  <w:pPr>
                    <w:pStyle w:val="TableBodyText"/>
                    <w:spacing w:before="40" w:after="0"/>
                    <w:ind w:right="57"/>
                    <w:rPr>
                      <w:szCs w:val="18"/>
                    </w:rPr>
                  </w:pPr>
                </w:p>
              </w:tc>
              <w:tc>
                <w:tcPr>
                  <w:tcW w:w="339" w:type="pct"/>
                  <w:vAlign w:val="center"/>
                </w:tcPr>
                <w:p w:rsidR="00AC2131" w:rsidRPr="005C642D" w:rsidRDefault="00AC2131" w:rsidP="00AC2131">
                  <w:pPr>
                    <w:pStyle w:val="TableBodyText"/>
                    <w:spacing w:before="40" w:after="0"/>
                    <w:ind w:right="57"/>
                    <w:rPr>
                      <w:szCs w:val="18"/>
                    </w:rPr>
                  </w:pPr>
                </w:p>
              </w:tc>
            </w:tr>
            <w:tr w:rsidR="00AC2131" w:rsidTr="00AC2131">
              <w:trPr>
                <w:gridAfter w:val="4"/>
                <w:wAfter w:w="1356" w:type="pct"/>
              </w:trPr>
              <w:tc>
                <w:tcPr>
                  <w:tcW w:w="1600" w:type="pct"/>
                  <w:shd w:val="clear" w:color="auto" w:fill="auto"/>
                  <w:vAlign w:val="bottom"/>
                </w:tcPr>
                <w:p w:rsidR="00AC2131" w:rsidRPr="00123D97" w:rsidRDefault="00AC2131" w:rsidP="00AC2131">
                  <w:pPr>
                    <w:ind w:left="227"/>
                    <w:rPr>
                      <w:rFonts w:ascii="Arial" w:hAnsi="Arial" w:cs="Arial"/>
                      <w:color w:val="000000"/>
                      <w:sz w:val="18"/>
                      <w:szCs w:val="18"/>
                    </w:rPr>
                  </w:pPr>
                  <w:r w:rsidRPr="00123D97">
                    <w:rPr>
                      <w:rFonts w:ascii="Arial" w:hAnsi="Arial" w:cs="Arial"/>
                      <w:color w:val="000000"/>
                      <w:sz w:val="18"/>
                      <w:szCs w:val="18"/>
                    </w:rPr>
                    <w:t xml:space="preserve">Assistance to the </w:t>
                  </w:r>
                  <w:r>
                    <w:rPr>
                      <w:rFonts w:ascii="Arial" w:hAnsi="Arial" w:cs="Arial"/>
                      <w:color w:val="000000"/>
                      <w:sz w:val="18"/>
                      <w:szCs w:val="18"/>
                    </w:rPr>
                    <w:t>v</w:t>
                  </w:r>
                  <w:r w:rsidRPr="00123D97">
                    <w:rPr>
                      <w:rFonts w:ascii="Arial" w:hAnsi="Arial" w:cs="Arial"/>
                      <w:color w:val="000000"/>
                      <w:sz w:val="18"/>
                      <w:szCs w:val="18"/>
                    </w:rPr>
                    <w:t xml:space="preserve">egetable </w:t>
                  </w:r>
                  <w:r>
                    <w:rPr>
                      <w:rFonts w:ascii="Arial" w:hAnsi="Arial" w:cs="Arial"/>
                      <w:color w:val="000000"/>
                      <w:sz w:val="18"/>
                      <w:szCs w:val="18"/>
                    </w:rPr>
                    <w:t>i</w:t>
                  </w:r>
                  <w:r w:rsidRPr="00123D97">
                    <w:rPr>
                      <w:rFonts w:ascii="Arial" w:hAnsi="Arial" w:cs="Arial"/>
                      <w:color w:val="000000"/>
                      <w:sz w:val="18"/>
                      <w:szCs w:val="18"/>
                    </w:rPr>
                    <w:t>ndustry</w:t>
                  </w:r>
                </w:p>
              </w:tc>
              <w:tc>
                <w:tcPr>
                  <w:tcW w:w="341" w:type="pct"/>
                  <w:vAlign w:val="bottom"/>
                </w:tcPr>
                <w:p w:rsidR="00AC2131" w:rsidRDefault="00AC2131" w:rsidP="00AC2131">
                  <w:pPr>
                    <w:pStyle w:val="TableBodyText"/>
                    <w:spacing w:after="0"/>
                    <w:ind w:left="0" w:right="57"/>
                  </w:pPr>
                  <w:r>
                    <w:t>&lt;0.1</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123D97" w:rsidRDefault="00AC2131" w:rsidP="00AC2131">
                  <w:pPr>
                    <w:ind w:left="227"/>
                    <w:rPr>
                      <w:rFonts w:ascii="Arial" w:hAnsi="Arial" w:cs="Arial"/>
                      <w:color w:val="000000"/>
                      <w:sz w:val="18"/>
                      <w:szCs w:val="18"/>
                    </w:rPr>
                  </w:pPr>
                  <w:r w:rsidRPr="00123D97">
                    <w:rPr>
                      <w:rFonts w:ascii="Arial" w:hAnsi="Arial" w:cs="Arial"/>
                      <w:color w:val="000000"/>
                      <w:sz w:val="18"/>
                      <w:szCs w:val="18"/>
                    </w:rPr>
                    <w:t>Australian Wine Industry Support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0.5</w:t>
                  </w:r>
                </w:p>
              </w:tc>
              <w:tc>
                <w:tcPr>
                  <w:tcW w:w="339" w:type="pct"/>
                  <w:shd w:val="clear" w:color="auto" w:fill="auto"/>
                  <w:vAlign w:val="bottom"/>
                </w:tcPr>
                <w:p w:rsidR="00AC2131" w:rsidRDefault="00AC2131" w:rsidP="00AC2131">
                  <w:pPr>
                    <w:pStyle w:val="TableBodyText"/>
                    <w:spacing w:after="0"/>
                    <w:ind w:left="0" w:right="57"/>
                  </w:pPr>
                  <w:r>
                    <w:t>0.5</w:t>
                  </w:r>
                </w:p>
              </w:tc>
            </w:tr>
            <w:tr w:rsidR="00AC2131" w:rsidTr="00AC2131">
              <w:trPr>
                <w:gridAfter w:val="4"/>
                <w:wAfter w:w="1356" w:type="pct"/>
              </w:trPr>
              <w:tc>
                <w:tcPr>
                  <w:tcW w:w="1600" w:type="pct"/>
                  <w:shd w:val="clear" w:color="auto" w:fill="auto"/>
                  <w:vAlign w:val="bottom"/>
                </w:tcPr>
                <w:p w:rsidR="00AC2131" w:rsidRPr="00123D97" w:rsidRDefault="00AC2131" w:rsidP="00AC2131">
                  <w:pPr>
                    <w:ind w:left="227"/>
                    <w:rPr>
                      <w:rFonts w:ascii="Arial" w:hAnsi="Arial" w:cs="Arial"/>
                      <w:color w:val="000000"/>
                      <w:sz w:val="18"/>
                      <w:szCs w:val="18"/>
                    </w:rPr>
                  </w:pPr>
                  <w:r w:rsidRPr="00123D97">
                    <w:rPr>
                      <w:rFonts w:ascii="Arial" w:hAnsi="Arial" w:cs="Arial"/>
                      <w:color w:val="000000"/>
                      <w:sz w:val="18"/>
                      <w:szCs w:val="18"/>
                    </w:rPr>
                    <w:t>Premium Fresh Tasmania</w:t>
                  </w:r>
                  <w:r>
                    <w:rPr>
                      <w:rFonts w:ascii="Arial" w:hAnsi="Arial" w:cs="Arial"/>
                      <w:color w:val="000000"/>
                      <w:sz w:val="18"/>
                      <w:szCs w:val="18"/>
                    </w:rPr>
                    <w:t xml:space="preserve"> </w:t>
                  </w:r>
                  <w:r w:rsidRPr="00123D97">
                    <w:rPr>
                      <w:rFonts w:ascii="Arial" w:hAnsi="Arial" w:cs="Arial"/>
                      <w:color w:val="000000"/>
                      <w:sz w:val="18"/>
                      <w:szCs w:val="18"/>
                    </w:rPr>
                    <w:t>assistance</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0.5</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123D97" w:rsidRDefault="00AC2131" w:rsidP="00AC2131">
                  <w:pPr>
                    <w:ind w:left="227"/>
                    <w:rPr>
                      <w:rFonts w:ascii="Arial" w:hAnsi="Arial" w:cs="Arial"/>
                      <w:color w:val="000000"/>
                      <w:sz w:val="18"/>
                      <w:szCs w:val="18"/>
                    </w:rPr>
                  </w:pPr>
                  <w:r w:rsidRPr="00123D97">
                    <w:rPr>
                      <w:rFonts w:ascii="Arial" w:hAnsi="Arial" w:cs="Arial"/>
                      <w:color w:val="000000"/>
                      <w:sz w:val="18"/>
                      <w:szCs w:val="18"/>
                    </w:rPr>
                    <w:t>Tax Deduction for horticultural plantations</w:t>
                  </w:r>
                </w:p>
              </w:tc>
              <w:tc>
                <w:tcPr>
                  <w:tcW w:w="341" w:type="pct"/>
                  <w:vAlign w:val="bottom"/>
                </w:tcPr>
                <w:p w:rsidR="00AC2131" w:rsidRDefault="00AC2131" w:rsidP="00AC2131">
                  <w:pPr>
                    <w:pStyle w:val="TableBodyText"/>
                    <w:spacing w:after="0"/>
                    <w:ind w:left="0" w:right="57"/>
                  </w:pPr>
                  <w:r>
                    <w:t>5.0</w:t>
                  </w:r>
                </w:p>
              </w:tc>
              <w:tc>
                <w:tcPr>
                  <w:tcW w:w="341" w:type="pct"/>
                  <w:vAlign w:val="bottom"/>
                </w:tcPr>
                <w:p w:rsidR="00AC2131" w:rsidRDefault="00AC2131" w:rsidP="00AC2131">
                  <w:pPr>
                    <w:pStyle w:val="TableBodyText"/>
                    <w:spacing w:after="0"/>
                    <w:ind w:left="0" w:right="57"/>
                  </w:pPr>
                  <w:r>
                    <w:t>5.0</w:t>
                  </w:r>
                </w:p>
              </w:tc>
              <w:tc>
                <w:tcPr>
                  <w:tcW w:w="341" w:type="pct"/>
                  <w:vAlign w:val="bottom"/>
                </w:tcPr>
                <w:p w:rsidR="00AC2131" w:rsidRDefault="00AC2131" w:rsidP="00AC2131">
                  <w:pPr>
                    <w:pStyle w:val="TableBodyText"/>
                    <w:spacing w:after="0"/>
                    <w:ind w:left="0" w:right="57"/>
                  </w:pPr>
                  <w:r>
                    <w:t>6.0</w:t>
                  </w:r>
                </w:p>
              </w:tc>
              <w:tc>
                <w:tcPr>
                  <w:tcW w:w="341" w:type="pct"/>
                  <w:vAlign w:val="bottom"/>
                </w:tcPr>
                <w:p w:rsidR="00AC2131" w:rsidRDefault="00AC2131" w:rsidP="00AC2131">
                  <w:pPr>
                    <w:pStyle w:val="TableBodyText"/>
                    <w:spacing w:after="0"/>
                    <w:ind w:left="0" w:right="57"/>
                  </w:pPr>
                  <w:r>
                    <w:t>6.0</w:t>
                  </w:r>
                </w:p>
              </w:tc>
              <w:tc>
                <w:tcPr>
                  <w:tcW w:w="341" w:type="pct"/>
                  <w:shd w:val="clear" w:color="auto" w:fill="auto"/>
                  <w:vAlign w:val="bottom"/>
                </w:tcPr>
                <w:p w:rsidR="00AC2131" w:rsidRDefault="00AC2131" w:rsidP="00AC2131">
                  <w:pPr>
                    <w:pStyle w:val="TableBodyText"/>
                    <w:spacing w:after="0"/>
                    <w:ind w:left="0" w:right="57"/>
                  </w:pPr>
                  <w:r>
                    <w:t>6.0</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123D97" w:rsidRDefault="00AC2131" w:rsidP="00AC2131">
                  <w:pPr>
                    <w:ind w:left="227"/>
                    <w:rPr>
                      <w:rFonts w:ascii="Arial" w:hAnsi="Arial" w:cs="Arial"/>
                      <w:color w:val="000000"/>
                      <w:sz w:val="18"/>
                      <w:szCs w:val="18"/>
                    </w:rPr>
                  </w:pPr>
                  <w:r w:rsidRPr="00123D97">
                    <w:rPr>
                      <w:rFonts w:ascii="Arial" w:hAnsi="Arial" w:cs="Arial"/>
                      <w:color w:val="000000"/>
                      <w:sz w:val="18"/>
                      <w:szCs w:val="18"/>
                    </w:rPr>
                    <w:t>Tax deductions for grape vines</w:t>
                  </w:r>
                </w:p>
              </w:tc>
              <w:tc>
                <w:tcPr>
                  <w:tcW w:w="341" w:type="pct"/>
                  <w:vAlign w:val="bottom"/>
                </w:tcPr>
                <w:p w:rsidR="00AC2131" w:rsidRDefault="00AC2131" w:rsidP="00AC2131">
                  <w:pPr>
                    <w:pStyle w:val="TableBodyText"/>
                    <w:spacing w:after="0"/>
                    <w:ind w:left="0" w:right="57"/>
                  </w:pPr>
                  <w:r>
                    <w:t>-4.0</w:t>
                  </w:r>
                </w:p>
              </w:tc>
              <w:tc>
                <w:tcPr>
                  <w:tcW w:w="341" w:type="pct"/>
                  <w:vAlign w:val="bottom"/>
                </w:tcPr>
                <w:p w:rsidR="00AC2131" w:rsidRDefault="00AC2131" w:rsidP="00AC2131">
                  <w:pPr>
                    <w:pStyle w:val="TableBodyText"/>
                    <w:spacing w:after="0"/>
                    <w:ind w:left="0" w:right="57"/>
                  </w:pPr>
                  <w:r>
                    <w:t>-7.0</w:t>
                  </w:r>
                </w:p>
              </w:tc>
              <w:tc>
                <w:tcPr>
                  <w:tcW w:w="341" w:type="pct"/>
                  <w:vAlign w:val="bottom"/>
                </w:tcPr>
                <w:p w:rsidR="00AC2131" w:rsidRDefault="00AC2131" w:rsidP="00AC2131">
                  <w:pPr>
                    <w:pStyle w:val="TableBodyText"/>
                    <w:spacing w:after="0"/>
                    <w:ind w:left="0" w:right="57"/>
                  </w:pPr>
                  <w:r>
                    <w:t>-7.0</w:t>
                  </w:r>
                </w:p>
              </w:tc>
              <w:tc>
                <w:tcPr>
                  <w:tcW w:w="341" w:type="pct"/>
                  <w:vAlign w:val="bottom"/>
                </w:tcPr>
                <w:p w:rsidR="00AC2131" w:rsidRDefault="00AC2131" w:rsidP="00AC2131">
                  <w:pPr>
                    <w:pStyle w:val="TableBodyText"/>
                    <w:spacing w:after="0"/>
                    <w:ind w:left="0" w:right="57"/>
                  </w:pPr>
                  <w:r>
                    <w:t>-7.0</w:t>
                  </w:r>
                </w:p>
              </w:tc>
              <w:tc>
                <w:tcPr>
                  <w:tcW w:w="341" w:type="pct"/>
                  <w:shd w:val="clear" w:color="auto" w:fill="auto"/>
                  <w:vAlign w:val="bottom"/>
                </w:tcPr>
                <w:p w:rsidR="00AC2131" w:rsidRDefault="00AC2131" w:rsidP="00AC2131">
                  <w:pPr>
                    <w:pStyle w:val="TableBodyText"/>
                    <w:spacing w:after="0"/>
                    <w:ind w:left="0" w:right="57"/>
                  </w:pPr>
                  <w:r>
                    <w:t>-6.0</w:t>
                  </w:r>
                </w:p>
              </w:tc>
              <w:tc>
                <w:tcPr>
                  <w:tcW w:w="339" w:type="pct"/>
                  <w:shd w:val="clear" w:color="auto" w:fill="auto"/>
                  <w:vAlign w:val="bottom"/>
                </w:tcPr>
                <w:p w:rsidR="00AC2131" w:rsidRDefault="00AC2131" w:rsidP="00AC2131">
                  <w:pPr>
                    <w:pStyle w:val="TableBodyText"/>
                    <w:spacing w:after="0"/>
                    <w:ind w:left="0" w:right="57"/>
                  </w:pPr>
                  <w:r>
                    <w:t>-6.0</w:t>
                  </w:r>
                </w:p>
              </w:tc>
            </w:tr>
            <w:tr w:rsidR="00AC2131" w:rsidTr="00AC2131">
              <w:trPr>
                <w:gridAfter w:val="4"/>
                <w:wAfter w:w="1356" w:type="pct"/>
              </w:trPr>
              <w:tc>
                <w:tcPr>
                  <w:tcW w:w="1600" w:type="pct"/>
                  <w:shd w:val="clear" w:color="auto" w:fill="auto"/>
                  <w:vAlign w:val="bottom"/>
                </w:tcPr>
                <w:p w:rsidR="00AC2131" w:rsidRPr="00123D97" w:rsidRDefault="00AC2131" w:rsidP="00AC2131">
                  <w:pPr>
                    <w:ind w:left="227"/>
                    <w:rPr>
                      <w:rFonts w:ascii="Arial" w:hAnsi="Arial" w:cs="Arial"/>
                      <w:color w:val="000000"/>
                      <w:sz w:val="18"/>
                      <w:szCs w:val="18"/>
                    </w:rPr>
                  </w:pPr>
                  <w:r w:rsidRPr="00123D97">
                    <w:rPr>
                      <w:rFonts w:ascii="Arial" w:hAnsi="Arial" w:cs="Arial"/>
                      <w:color w:val="000000"/>
                      <w:sz w:val="18"/>
                      <w:szCs w:val="18"/>
                    </w:rPr>
                    <w:t>Wine Australia Corporation</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2.7</w:t>
                  </w:r>
                </w:p>
              </w:tc>
              <w:tc>
                <w:tcPr>
                  <w:tcW w:w="341" w:type="pct"/>
                  <w:vAlign w:val="bottom"/>
                </w:tcPr>
                <w:p w:rsidR="00AC2131" w:rsidRDefault="00AC2131" w:rsidP="00AC2131">
                  <w:pPr>
                    <w:pStyle w:val="TableBodyText"/>
                    <w:spacing w:after="0"/>
                    <w:ind w:left="0" w:right="57"/>
                  </w:pPr>
                  <w:r>
                    <w:t>2.8</w:t>
                  </w:r>
                </w:p>
              </w:tc>
              <w:tc>
                <w:tcPr>
                  <w:tcW w:w="341" w:type="pct"/>
                  <w:shd w:val="clear" w:color="auto" w:fill="auto"/>
                  <w:vAlign w:val="bottom"/>
                </w:tcPr>
                <w:p w:rsidR="00AC2131" w:rsidRDefault="00AC2131" w:rsidP="00AC2131">
                  <w:pPr>
                    <w:pStyle w:val="TableBodyText"/>
                    <w:spacing w:after="0"/>
                    <w:ind w:left="0" w:right="57"/>
                  </w:pPr>
                  <w:r>
                    <w:t>2.7</w:t>
                  </w:r>
                </w:p>
              </w:tc>
              <w:tc>
                <w:tcPr>
                  <w:tcW w:w="339" w:type="pct"/>
                  <w:shd w:val="clear" w:color="auto" w:fill="auto"/>
                  <w:vAlign w:val="bottom"/>
                </w:tcPr>
                <w:p w:rsidR="00AC2131" w:rsidRDefault="00AC2131" w:rsidP="00AC2131">
                  <w:pPr>
                    <w:pStyle w:val="TableBodyText"/>
                    <w:spacing w:after="0"/>
                    <w:ind w:left="0" w:right="57"/>
                  </w:pPr>
                  <w:r>
                    <w:t>2.9</w:t>
                  </w:r>
                </w:p>
              </w:tc>
            </w:tr>
            <w:tr w:rsidR="00AC2131" w:rsidTr="00AC2131">
              <w:tc>
                <w:tcPr>
                  <w:tcW w:w="1600" w:type="pct"/>
                  <w:shd w:val="clear" w:color="auto" w:fill="auto"/>
                  <w:vAlign w:val="center"/>
                </w:tcPr>
                <w:p w:rsidR="00AC2131" w:rsidRPr="00123D97" w:rsidRDefault="00AC2131" w:rsidP="00AC2131">
                  <w:pPr>
                    <w:pStyle w:val="TableBodyText"/>
                    <w:spacing w:before="40" w:after="0"/>
                    <w:ind w:left="113"/>
                    <w:jc w:val="left"/>
                    <w:rPr>
                      <w:i/>
                    </w:rPr>
                  </w:pPr>
                  <w:r w:rsidRPr="00123D97">
                    <w:rPr>
                      <w:i/>
                    </w:rPr>
                    <w:t>Sector-specific measures</w:t>
                  </w:r>
                </w:p>
              </w:tc>
              <w:tc>
                <w:tcPr>
                  <w:tcW w:w="341" w:type="pct"/>
                  <w:vAlign w:val="center"/>
                </w:tcPr>
                <w:p w:rsidR="00AC2131" w:rsidRPr="005C642D" w:rsidRDefault="00AC2131" w:rsidP="00AC2131">
                  <w:pPr>
                    <w:spacing w:before="40"/>
                    <w:ind w:left="113" w:right="57"/>
                    <w:jc w:val="right"/>
                    <w:rPr>
                      <w:rFonts w:ascii="Arial" w:hAnsi="Arial" w:cs="Arial"/>
                      <w:sz w:val="18"/>
                      <w:szCs w:val="18"/>
                    </w:rPr>
                  </w:pPr>
                </w:p>
              </w:tc>
              <w:tc>
                <w:tcPr>
                  <w:tcW w:w="341" w:type="pct"/>
                  <w:vAlign w:val="center"/>
                </w:tcPr>
                <w:p w:rsidR="00AC2131" w:rsidRPr="005C642D" w:rsidRDefault="00AC2131" w:rsidP="00AC2131">
                  <w:pPr>
                    <w:spacing w:before="40"/>
                    <w:ind w:left="113" w:right="57"/>
                    <w:jc w:val="right"/>
                    <w:rPr>
                      <w:rFonts w:ascii="Arial" w:hAnsi="Arial" w:cs="Arial"/>
                      <w:sz w:val="18"/>
                      <w:szCs w:val="18"/>
                    </w:rPr>
                  </w:pPr>
                </w:p>
              </w:tc>
              <w:tc>
                <w:tcPr>
                  <w:tcW w:w="341" w:type="pct"/>
                  <w:vAlign w:val="center"/>
                </w:tcPr>
                <w:p w:rsidR="00AC2131" w:rsidRPr="005C642D" w:rsidRDefault="00AC2131" w:rsidP="00AC2131">
                  <w:pPr>
                    <w:spacing w:before="40"/>
                    <w:ind w:left="113" w:right="57"/>
                    <w:jc w:val="right"/>
                    <w:rPr>
                      <w:rFonts w:ascii="Arial" w:hAnsi="Arial" w:cs="Arial"/>
                      <w:sz w:val="18"/>
                      <w:szCs w:val="18"/>
                    </w:rPr>
                  </w:pPr>
                </w:p>
              </w:tc>
              <w:tc>
                <w:tcPr>
                  <w:tcW w:w="341" w:type="pct"/>
                  <w:vAlign w:val="center"/>
                </w:tcPr>
                <w:p w:rsidR="00AC2131" w:rsidRPr="005C642D" w:rsidRDefault="00AC2131" w:rsidP="00AC2131">
                  <w:pPr>
                    <w:spacing w:before="40"/>
                    <w:ind w:left="113" w:right="57"/>
                    <w:jc w:val="right"/>
                    <w:rPr>
                      <w:rFonts w:ascii="Arial" w:hAnsi="Arial" w:cs="Arial"/>
                      <w:sz w:val="18"/>
                      <w:szCs w:val="18"/>
                    </w:rPr>
                  </w:pPr>
                </w:p>
              </w:tc>
              <w:tc>
                <w:tcPr>
                  <w:tcW w:w="341" w:type="pct"/>
                  <w:shd w:val="clear" w:color="auto" w:fill="auto"/>
                  <w:vAlign w:val="center"/>
                </w:tcPr>
                <w:p w:rsidR="00AC2131" w:rsidRPr="005C642D" w:rsidRDefault="00AC2131" w:rsidP="00AC2131">
                  <w:pPr>
                    <w:spacing w:before="40"/>
                    <w:ind w:left="113" w:right="57"/>
                    <w:jc w:val="right"/>
                    <w:rPr>
                      <w:rFonts w:ascii="Arial" w:hAnsi="Arial" w:cs="Arial"/>
                      <w:sz w:val="18"/>
                      <w:szCs w:val="18"/>
                    </w:rPr>
                  </w:pPr>
                </w:p>
              </w:tc>
              <w:tc>
                <w:tcPr>
                  <w:tcW w:w="339" w:type="pct"/>
                  <w:shd w:val="clear" w:color="auto" w:fill="auto"/>
                  <w:vAlign w:val="center"/>
                </w:tcPr>
                <w:p w:rsidR="00AC2131" w:rsidRPr="005C642D" w:rsidRDefault="00AC2131" w:rsidP="00AC2131">
                  <w:pPr>
                    <w:spacing w:before="40"/>
                    <w:ind w:left="113" w:right="57"/>
                    <w:jc w:val="right"/>
                    <w:rPr>
                      <w:rFonts w:ascii="Arial" w:hAnsi="Arial" w:cs="Arial"/>
                      <w:sz w:val="18"/>
                      <w:szCs w:val="18"/>
                    </w:rPr>
                  </w:pPr>
                </w:p>
              </w:tc>
              <w:tc>
                <w:tcPr>
                  <w:tcW w:w="341" w:type="pct"/>
                  <w:vAlign w:val="center"/>
                </w:tcPr>
                <w:p w:rsidR="00AC2131" w:rsidRPr="005C642D" w:rsidRDefault="00AC2131" w:rsidP="00AC2131">
                  <w:pPr>
                    <w:spacing w:before="40"/>
                    <w:ind w:left="113"/>
                    <w:rPr>
                      <w:rFonts w:ascii="Arial" w:hAnsi="Arial" w:cs="Arial"/>
                      <w:sz w:val="18"/>
                      <w:szCs w:val="18"/>
                    </w:rPr>
                  </w:pPr>
                </w:p>
              </w:tc>
              <w:tc>
                <w:tcPr>
                  <w:tcW w:w="341" w:type="pct"/>
                  <w:vAlign w:val="center"/>
                </w:tcPr>
                <w:p w:rsidR="00AC2131" w:rsidRPr="005C642D" w:rsidRDefault="00AC2131" w:rsidP="00AC2131">
                  <w:pPr>
                    <w:spacing w:before="40"/>
                    <w:ind w:left="113"/>
                    <w:rPr>
                      <w:rFonts w:ascii="Arial" w:hAnsi="Arial" w:cs="Arial"/>
                      <w:sz w:val="18"/>
                      <w:szCs w:val="18"/>
                    </w:rPr>
                  </w:pPr>
                </w:p>
              </w:tc>
              <w:tc>
                <w:tcPr>
                  <w:tcW w:w="341" w:type="pct"/>
                  <w:vAlign w:val="center"/>
                </w:tcPr>
                <w:p w:rsidR="00AC2131" w:rsidRPr="005C642D" w:rsidRDefault="00AC2131" w:rsidP="00AC2131">
                  <w:pPr>
                    <w:spacing w:before="40"/>
                    <w:ind w:left="113"/>
                    <w:rPr>
                      <w:rFonts w:ascii="Arial" w:hAnsi="Arial" w:cs="Arial"/>
                      <w:sz w:val="18"/>
                      <w:szCs w:val="18"/>
                    </w:rPr>
                  </w:pPr>
                </w:p>
              </w:tc>
              <w:tc>
                <w:tcPr>
                  <w:tcW w:w="333" w:type="pct"/>
                  <w:vAlign w:val="center"/>
                </w:tcPr>
                <w:p w:rsidR="00AC2131" w:rsidRPr="005C642D" w:rsidRDefault="00AC2131" w:rsidP="00AC2131">
                  <w:pPr>
                    <w:spacing w:before="40"/>
                    <w:ind w:left="113"/>
                    <w:rPr>
                      <w:rFonts w:ascii="Arial" w:hAnsi="Arial" w:cs="Arial"/>
                      <w:sz w:val="18"/>
                      <w:szCs w:val="18"/>
                    </w:rPr>
                  </w:pP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Carbon Farming Futures</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0.3</w:t>
                  </w:r>
                </w:p>
              </w:tc>
              <w:tc>
                <w:tcPr>
                  <w:tcW w:w="341" w:type="pct"/>
                  <w:shd w:val="clear" w:color="auto" w:fill="auto"/>
                  <w:vAlign w:val="bottom"/>
                </w:tcPr>
                <w:p w:rsidR="00AC2131" w:rsidRDefault="00AC2131" w:rsidP="00AC2131">
                  <w:pPr>
                    <w:pStyle w:val="TableBodyText"/>
                    <w:spacing w:after="0"/>
                    <w:ind w:left="0" w:right="57"/>
                  </w:pPr>
                  <w:r>
                    <w:t>0.2</w:t>
                  </w:r>
                </w:p>
              </w:tc>
              <w:tc>
                <w:tcPr>
                  <w:tcW w:w="339" w:type="pct"/>
                  <w:shd w:val="clear" w:color="auto" w:fill="auto"/>
                  <w:vAlign w:val="bottom"/>
                </w:tcPr>
                <w:p w:rsidR="00AC2131" w:rsidRDefault="00AC2131" w:rsidP="00AC2131">
                  <w:pPr>
                    <w:pStyle w:val="TableBodyText"/>
                    <w:spacing w:after="0"/>
                    <w:ind w:left="0" w:right="57"/>
                  </w:pPr>
                  <w:r>
                    <w:t>4.7</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 xml:space="preserve">Exceptional Circumstances </w:t>
                  </w:r>
                  <w:r>
                    <w:rPr>
                      <w:rFonts w:ascii="Arial" w:hAnsi="Arial" w:cs="Arial"/>
                      <w:color w:val="000000"/>
                      <w:sz w:val="18"/>
                      <w:szCs w:val="18"/>
                    </w:rPr>
                    <w:t>–</w:t>
                  </w:r>
                  <w:r w:rsidRPr="00A53AB0">
                    <w:rPr>
                      <w:rFonts w:ascii="Arial" w:hAnsi="Arial" w:cs="Arial"/>
                      <w:color w:val="000000"/>
                      <w:sz w:val="18"/>
                      <w:szCs w:val="18"/>
                    </w:rPr>
                    <w:t xml:space="preserve"> interest rate subsidies</w:t>
                  </w:r>
                </w:p>
              </w:tc>
              <w:tc>
                <w:tcPr>
                  <w:tcW w:w="341" w:type="pct"/>
                  <w:vAlign w:val="bottom"/>
                </w:tcPr>
                <w:p w:rsidR="00AC2131" w:rsidRDefault="00AC2131" w:rsidP="00AC2131">
                  <w:pPr>
                    <w:pStyle w:val="TableBodyText"/>
                    <w:spacing w:after="0"/>
                    <w:ind w:left="0" w:right="57"/>
                  </w:pPr>
                  <w:r>
                    <w:t>34.0</w:t>
                  </w:r>
                </w:p>
              </w:tc>
              <w:tc>
                <w:tcPr>
                  <w:tcW w:w="341" w:type="pct"/>
                  <w:vAlign w:val="bottom"/>
                </w:tcPr>
                <w:p w:rsidR="00AC2131" w:rsidRDefault="00AC2131" w:rsidP="00AC2131">
                  <w:pPr>
                    <w:pStyle w:val="TableBodyText"/>
                    <w:spacing w:after="0"/>
                    <w:ind w:left="0" w:right="57"/>
                  </w:pPr>
                  <w:r>
                    <w:t>27.6</w:t>
                  </w:r>
                </w:p>
              </w:tc>
              <w:tc>
                <w:tcPr>
                  <w:tcW w:w="341" w:type="pct"/>
                  <w:vAlign w:val="bottom"/>
                </w:tcPr>
                <w:p w:rsidR="00AC2131" w:rsidRDefault="00AC2131" w:rsidP="00AC2131">
                  <w:pPr>
                    <w:pStyle w:val="TableBodyText"/>
                    <w:spacing w:after="0"/>
                    <w:ind w:left="0" w:right="57"/>
                  </w:pPr>
                  <w:r>
                    <w:t>26.0</w:t>
                  </w:r>
                </w:p>
              </w:tc>
              <w:tc>
                <w:tcPr>
                  <w:tcW w:w="341" w:type="pct"/>
                  <w:vAlign w:val="bottom"/>
                </w:tcPr>
                <w:p w:rsidR="00AC2131" w:rsidRDefault="00AC2131" w:rsidP="00AC2131">
                  <w:pPr>
                    <w:pStyle w:val="TableBodyText"/>
                    <w:spacing w:after="0"/>
                    <w:ind w:left="0" w:right="57"/>
                  </w:pPr>
                  <w:r>
                    <w:t>8.7</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 xml:space="preserve">Exceptional Circumstances </w:t>
                  </w:r>
                  <w:r>
                    <w:rPr>
                      <w:rFonts w:ascii="Arial" w:hAnsi="Arial" w:cs="Arial"/>
                      <w:color w:val="000000"/>
                      <w:sz w:val="18"/>
                      <w:szCs w:val="18"/>
                    </w:rPr>
                    <w:t>–</w:t>
                  </w:r>
                  <w:r w:rsidRPr="00A53AB0">
                    <w:rPr>
                      <w:rFonts w:ascii="Arial" w:hAnsi="Arial" w:cs="Arial"/>
                      <w:color w:val="000000"/>
                      <w:sz w:val="18"/>
                      <w:szCs w:val="18"/>
                    </w:rPr>
                    <w:t xml:space="preserve"> relief payments</w:t>
                  </w:r>
                </w:p>
              </w:tc>
              <w:tc>
                <w:tcPr>
                  <w:tcW w:w="341" w:type="pct"/>
                  <w:vAlign w:val="bottom"/>
                </w:tcPr>
                <w:p w:rsidR="00AC2131" w:rsidRDefault="00AC2131" w:rsidP="00AC2131">
                  <w:pPr>
                    <w:pStyle w:val="TableBodyText"/>
                    <w:spacing w:after="0"/>
                    <w:ind w:left="0" w:right="57"/>
                  </w:pPr>
                  <w:r>
                    <w:t>26.6</w:t>
                  </w:r>
                </w:p>
              </w:tc>
              <w:tc>
                <w:tcPr>
                  <w:tcW w:w="341" w:type="pct"/>
                  <w:vAlign w:val="bottom"/>
                </w:tcPr>
                <w:p w:rsidR="00AC2131" w:rsidRDefault="00AC2131" w:rsidP="00AC2131">
                  <w:pPr>
                    <w:pStyle w:val="TableBodyText"/>
                    <w:spacing w:after="0"/>
                    <w:ind w:left="0" w:right="57"/>
                  </w:pPr>
                  <w:r>
                    <w:t>23.2</w:t>
                  </w:r>
                </w:p>
              </w:tc>
              <w:tc>
                <w:tcPr>
                  <w:tcW w:w="341" w:type="pct"/>
                  <w:vAlign w:val="bottom"/>
                </w:tcPr>
                <w:p w:rsidR="00AC2131" w:rsidRDefault="00AC2131" w:rsidP="00AC2131">
                  <w:pPr>
                    <w:pStyle w:val="TableBodyText"/>
                    <w:spacing w:after="0"/>
                    <w:ind w:left="0" w:right="57"/>
                  </w:pPr>
                  <w:r>
                    <w:t>17.6</w:t>
                  </w:r>
                </w:p>
              </w:tc>
              <w:tc>
                <w:tcPr>
                  <w:tcW w:w="341" w:type="pct"/>
                  <w:vAlign w:val="bottom"/>
                </w:tcPr>
                <w:p w:rsidR="00AC2131" w:rsidRDefault="00AC2131" w:rsidP="00AC2131">
                  <w:pPr>
                    <w:pStyle w:val="TableBodyText"/>
                    <w:spacing w:after="0"/>
                    <w:ind w:left="0" w:right="57"/>
                  </w:pPr>
                  <w:r>
                    <w:t>0.8</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Farm Help</w:t>
                  </w:r>
                </w:p>
              </w:tc>
              <w:tc>
                <w:tcPr>
                  <w:tcW w:w="341" w:type="pct"/>
                  <w:vAlign w:val="bottom"/>
                </w:tcPr>
                <w:p w:rsidR="00AC2131" w:rsidRDefault="00AC2131" w:rsidP="00AC2131">
                  <w:pPr>
                    <w:pStyle w:val="TableBodyText"/>
                    <w:spacing w:after="0"/>
                    <w:ind w:left="0" w:right="57"/>
                  </w:pPr>
                  <w:r>
                    <w:t>0.3</w:t>
                  </w:r>
                </w:p>
              </w:tc>
              <w:tc>
                <w:tcPr>
                  <w:tcW w:w="341" w:type="pct"/>
                  <w:vAlign w:val="bottom"/>
                </w:tcPr>
                <w:p w:rsidR="00AC2131" w:rsidRDefault="00AC2131" w:rsidP="00AC2131">
                  <w:pPr>
                    <w:pStyle w:val="TableBodyText"/>
                    <w:spacing w:after="0"/>
                    <w:ind w:left="0" w:right="57"/>
                  </w:pPr>
                  <w:r>
                    <w:t>&lt;0.1</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&lt;0.1</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Farm Management Deposits Scheme</w:t>
                  </w:r>
                </w:p>
              </w:tc>
              <w:tc>
                <w:tcPr>
                  <w:tcW w:w="341" w:type="pct"/>
                  <w:vAlign w:val="bottom"/>
                </w:tcPr>
                <w:p w:rsidR="00AC2131" w:rsidRDefault="00AC2131" w:rsidP="00AC2131">
                  <w:pPr>
                    <w:pStyle w:val="TableBodyText"/>
                    <w:spacing w:after="0"/>
                    <w:ind w:left="0" w:right="57"/>
                  </w:pPr>
                  <w:r>
                    <w:t>20.5</w:t>
                  </w:r>
                </w:p>
              </w:tc>
              <w:tc>
                <w:tcPr>
                  <w:tcW w:w="341" w:type="pct"/>
                  <w:vAlign w:val="bottom"/>
                </w:tcPr>
                <w:p w:rsidR="00AC2131" w:rsidRDefault="00AC2131" w:rsidP="00AC2131">
                  <w:pPr>
                    <w:pStyle w:val="TableBodyText"/>
                    <w:spacing w:after="0"/>
                    <w:ind w:left="0" w:right="57"/>
                  </w:pPr>
                  <w:r>
                    <w:t>14.7</w:t>
                  </w:r>
                </w:p>
              </w:tc>
              <w:tc>
                <w:tcPr>
                  <w:tcW w:w="341" w:type="pct"/>
                  <w:vAlign w:val="bottom"/>
                </w:tcPr>
                <w:p w:rsidR="00AC2131" w:rsidRDefault="00AC2131" w:rsidP="00AC2131">
                  <w:pPr>
                    <w:pStyle w:val="TableBodyText"/>
                    <w:spacing w:after="0"/>
                    <w:ind w:left="0" w:right="57"/>
                  </w:pPr>
                  <w:r>
                    <w:t>4.2</w:t>
                  </w:r>
                </w:p>
              </w:tc>
              <w:tc>
                <w:tcPr>
                  <w:tcW w:w="341" w:type="pct"/>
                  <w:vAlign w:val="bottom"/>
                </w:tcPr>
                <w:p w:rsidR="00AC2131" w:rsidRDefault="00AC2131" w:rsidP="00AC2131">
                  <w:pPr>
                    <w:pStyle w:val="TableBodyText"/>
                    <w:spacing w:after="0"/>
                    <w:ind w:left="0" w:right="57"/>
                  </w:pPr>
                  <w:r>
                    <w:t>20.4</w:t>
                  </w:r>
                </w:p>
              </w:tc>
              <w:tc>
                <w:tcPr>
                  <w:tcW w:w="341" w:type="pct"/>
                  <w:shd w:val="clear" w:color="auto" w:fill="auto"/>
                  <w:vAlign w:val="bottom"/>
                </w:tcPr>
                <w:p w:rsidR="00AC2131" w:rsidRDefault="00AC2131" w:rsidP="00AC2131">
                  <w:pPr>
                    <w:pStyle w:val="TableBodyText"/>
                    <w:spacing w:after="0"/>
                    <w:ind w:left="0" w:right="57"/>
                  </w:pPr>
                  <w:r>
                    <w:t>18.2</w:t>
                  </w:r>
                </w:p>
              </w:tc>
              <w:tc>
                <w:tcPr>
                  <w:tcW w:w="339" w:type="pct"/>
                  <w:shd w:val="clear" w:color="auto" w:fill="auto"/>
                  <w:vAlign w:val="bottom"/>
                </w:tcPr>
                <w:p w:rsidR="00AC2131" w:rsidRDefault="00AC2131" w:rsidP="00AC2131">
                  <w:pPr>
                    <w:pStyle w:val="TableBodyText"/>
                    <w:spacing w:after="0"/>
                    <w:ind w:left="0" w:right="57"/>
                  </w:pPr>
                  <w:r>
                    <w:t>17.8</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Income tax averaging provisions</w:t>
                  </w:r>
                </w:p>
              </w:tc>
              <w:tc>
                <w:tcPr>
                  <w:tcW w:w="341" w:type="pct"/>
                  <w:vAlign w:val="bottom"/>
                </w:tcPr>
                <w:p w:rsidR="00AC2131" w:rsidRDefault="00AC2131" w:rsidP="00AC2131">
                  <w:pPr>
                    <w:pStyle w:val="TableBodyText"/>
                    <w:spacing w:after="0"/>
                    <w:ind w:left="0" w:right="57"/>
                  </w:pPr>
                  <w:r>
                    <w:t>9.9</w:t>
                  </w:r>
                </w:p>
              </w:tc>
              <w:tc>
                <w:tcPr>
                  <w:tcW w:w="341" w:type="pct"/>
                  <w:vAlign w:val="bottom"/>
                </w:tcPr>
                <w:p w:rsidR="00AC2131" w:rsidRDefault="00AC2131" w:rsidP="00AC2131">
                  <w:pPr>
                    <w:pStyle w:val="TableBodyText"/>
                    <w:spacing w:after="0"/>
                    <w:ind w:left="0" w:right="57"/>
                  </w:pPr>
                  <w:r>
                    <w:t>8.9</w:t>
                  </w:r>
                </w:p>
              </w:tc>
              <w:tc>
                <w:tcPr>
                  <w:tcW w:w="341" w:type="pct"/>
                  <w:vAlign w:val="bottom"/>
                </w:tcPr>
                <w:p w:rsidR="00AC2131" w:rsidRDefault="00AC2131" w:rsidP="00AC2131">
                  <w:pPr>
                    <w:pStyle w:val="TableBodyText"/>
                    <w:spacing w:after="0"/>
                    <w:ind w:left="0" w:right="57"/>
                  </w:pPr>
                  <w:r>
                    <w:t>10.7</w:t>
                  </w:r>
                </w:p>
              </w:tc>
              <w:tc>
                <w:tcPr>
                  <w:tcW w:w="341" w:type="pct"/>
                  <w:vAlign w:val="bottom"/>
                </w:tcPr>
                <w:p w:rsidR="00AC2131" w:rsidRDefault="00AC2131" w:rsidP="00AC2131">
                  <w:pPr>
                    <w:pStyle w:val="TableBodyText"/>
                    <w:spacing w:after="0"/>
                    <w:ind w:left="0" w:right="57"/>
                  </w:pPr>
                  <w:r>
                    <w:t>12.8</w:t>
                  </w:r>
                </w:p>
              </w:tc>
              <w:tc>
                <w:tcPr>
                  <w:tcW w:w="341" w:type="pct"/>
                  <w:shd w:val="clear" w:color="auto" w:fill="auto"/>
                  <w:vAlign w:val="bottom"/>
                </w:tcPr>
                <w:p w:rsidR="00AC2131" w:rsidRDefault="00AC2131" w:rsidP="00AC2131">
                  <w:pPr>
                    <w:pStyle w:val="TableBodyText"/>
                    <w:spacing w:after="0"/>
                    <w:ind w:left="0" w:right="57"/>
                  </w:pPr>
                  <w:r>
                    <w:t>16.4</w:t>
                  </w:r>
                </w:p>
              </w:tc>
              <w:tc>
                <w:tcPr>
                  <w:tcW w:w="339" w:type="pct"/>
                  <w:shd w:val="clear" w:color="auto" w:fill="auto"/>
                  <w:vAlign w:val="bottom"/>
                </w:tcPr>
                <w:p w:rsidR="00AC2131" w:rsidRDefault="00AC2131" w:rsidP="00AC2131">
                  <w:pPr>
                    <w:pStyle w:val="TableBodyText"/>
                    <w:spacing w:after="0"/>
                    <w:ind w:left="0" w:right="57"/>
                  </w:pPr>
                  <w:r>
                    <w:t>16.4</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Industry partnerships program</w:t>
                  </w:r>
                </w:p>
              </w:tc>
              <w:tc>
                <w:tcPr>
                  <w:tcW w:w="341" w:type="pct"/>
                  <w:vAlign w:val="bottom"/>
                </w:tcPr>
                <w:p w:rsidR="00AC2131" w:rsidRDefault="00AC2131" w:rsidP="00AC2131">
                  <w:pPr>
                    <w:pStyle w:val="TableBodyText"/>
                    <w:spacing w:after="0"/>
                    <w:ind w:left="0" w:right="57"/>
                  </w:pPr>
                  <w:r>
                    <w:t>0.9</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Interim Income Support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0.1</w:t>
                  </w:r>
                </w:p>
              </w:tc>
              <w:tc>
                <w:tcPr>
                  <w:tcW w:w="341" w:type="pct"/>
                  <w:vAlign w:val="bottom"/>
                </w:tcPr>
                <w:p w:rsidR="00AC2131" w:rsidRDefault="00AC2131" w:rsidP="00AC2131">
                  <w:pPr>
                    <w:pStyle w:val="TableBodyText"/>
                    <w:spacing w:after="0"/>
                    <w:ind w:left="0" w:right="57"/>
                  </w:pPr>
                  <w:r>
                    <w:t>&lt;0.1</w:t>
                  </w:r>
                </w:p>
              </w:tc>
              <w:tc>
                <w:tcPr>
                  <w:tcW w:w="341" w:type="pct"/>
                  <w:vAlign w:val="bottom"/>
                </w:tcPr>
                <w:p w:rsidR="00AC2131" w:rsidRDefault="00AC2131" w:rsidP="00AC2131">
                  <w:pPr>
                    <w:pStyle w:val="TableBodyText"/>
                    <w:spacing w:after="0"/>
                    <w:ind w:left="0" w:right="57"/>
                  </w:pPr>
                  <w:r>
                    <w:t>&lt;0.1</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Rural Financial Counselling Service</w:t>
                  </w:r>
                </w:p>
              </w:tc>
              <w:tc>
                <w:tcPr>
                  <w:tcW w:w="341" w:type="pct"/>
                  <w:vAlign w:val="bottom"/>
                </w:tcPr>
                <w:p w:rsidR="00AC2131" w:rsidRDefault="00AC2131" w:rsidP="00AC2131">
                  <w:pPr>
                    <w:pStyle w:val="TableBodyText"/>
                    <w:spacing w:after="0"/>
                    <w:ind w:left="0" w:right="57"/>
                  </w:pPr>
                  <w:r>
                    <w:t>2.1</w:t>
                  </w:r>
                </w:p>
              </w:tc>
              <w:tc>
                <w:tcPr>
                  <w:tcW w:w="341" w:type="pct"/>
                  <w:vAlign w:val="bottom"/>
                </w:tcPr>
                <w:p w:rsidR="00AC2131" w:rsidRDefault="00AC2131" w:rsidP="00AC2131">
                  <w:pPr>
                    <w:pStyle w:val="TableBodyText"/>
                    <w:spacing w:after="0"/>
                    <w:ind w:left="0" w:right="57"/>
                  </w:pPr>
                  <w:r>
                    <w:t>2.1</w:t>
                  </w:r>
                </w:p>
              </w:tc>
              <w:tc>
                <w:tcPr>
                  <w:tcW w:w="341" w:type="pct"/>
                  <w:vAlign w:val="bottom"/>
                </w:tcPr>
                <w:p w:rsidR="00AC2131" w:rsidRDefault="00AC2131" w:rsidP="00AC2131">
                  <w:pPr>
                    <w:pStyle w:val="TableBodyText"/>
                    <w:spacing w:after="0"/>
                    <w:ind w:left="0" w:right="57"/>
                  </w:pPr>
                  <w:r>
                    <w:t>2.1</w:t>
                  </w:r>
                </w:p>
              </w:tc>
              <w:tc>
                <w:tcPr>
                  <w:tcW w:w="341" w:type="pct"/>
                  <w:vAlign w:val="bottom"/>
                </w:tcPr>
                <w:p w:rsidR="00AC2131" w:rsidRDefault="00AC2131" w:rsidP="00AC2131">
                  <w:pPr>
                    <w:pStyle w:val="TableBodyText"/>
                    <w:spacing w:after="0"/>
                    <w:ind w:left="0" w:right="57"/>
                  </w:pPr>
                  <w:r>
                    <w:t>2.3</w:t>
                  </w:r>
                </w:p>
              </w:tc>
              <w:tc>
                <w:tcPr>
                  <w:tcW w:w="341" w:type="pct"/>
                  <w:shd w:val="clear" w:color="auto" w:fill="auto"/>
                  <w:vAlign w:val="bottom"/>
                </w:tcPr>
                <w:p w:rsidR="00AC2131" w:rsidRDefault="00AC2131" w:rsidP="00AC2131">
                  <w:pPr>
                    <w:pStyle w:val="TableBodyText"/>
                    <w:spacing w:after="0"/>
                    <w:ind w:left="0" w:right="57"/>
                  </w:pPr>
                  <w:r>
                    <w:t>2.1</w:t>
                  </w:r>
                </w:p>
              </w:tc>
              <w:tc>
                <w:tcPr>
                  <w:tcW w:w="339" w:type="pct"/>
                  <w:shd w:val="clear" w:color="auto" w:fill="auto"/>
                  <w:vAlign w:val="bottom"/>
                </w:tcPr>
                <w:p w:rsidR="00AC2131" w:rsidRDefault="00AC2131" w:rsidP="00AC2131">
                  <w:pPr>
                    <w:pStyle w:val="TableBodyText"/>
                    <w:spacing w:after="0"/>
                    <w:ind w:left="0" w:right="57"/>
                  </w:pPr>
                  <w:r>
                    <w:t>2.3</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Tax deduction for conserving or conveying water</w:t>
                  </w:r>
                </w:p>
              </w:tc>
              <w:tc>
                <w:tcPr>
                  <w:tcW w:w="341" w:type="pct"/>
                  <w:vAlign w:val="bottom"/>
                </w:tcPr>
                <w:p w:rsidR="00AC2131" w:rsidRDefault="00AC2131" w:rsidP="00AC2131">
                  <w:pPr>
                    <w:pStyle w:val="TableBodyText"/>
                    <w:spacing w:after="0"/>
                    <w:ind w:left="0" w:right="57"/>
                  </w:pPr>
                  <w:r>
                    <w:t>2.0</w:t>
                  </w:r>
                </w:p>
              </w:tc>
              <w:tc>
                <w:tcPr>
                  <w:tcW w:w="341" w:type="pct"/>
                  <w:vAlign w:val="bottom"/>
                </w:tcPr>
                <w:p w:rsidR="00AC2131" w:rsidRDefault="00AC2131" w:rsidP="00AC2131">
                  <w:pPr>
                    <w:pStyle w:val="TableBodyText"/>
                    <w:spacing w:after="0"/>
                    <w:ind w:left="0" w:right="57"/>
                  </w:pPr>
                  <w:r>
                    <w:t>3.7</w:t>
                  </w:r>
                </w:p>
              </w:tc>
              <w:tc>
                <w:tcPr>
                  <w:tcW w:w="341" w:type="pct"/>
                  <w:vAlign w:val="bottom"/>
                </w:tcPr>
                <w:p w:rsidR="00AC2131" w:rsidRDefault="00AC2131" w:rsidP="00AC2131">
                  <w:pPr>
                    <w:pStyle w:val="TableBodyText"/>
                    <w:spacing w:after="0"/>
                    <w:ind w:left="0" w:right="57"/>
                  </w:pPr>
                  <w:r>
                    <w:t>1.9</w:t>
                  </w:r>
                </w:p>
              </w:tc>
              <w:tc>
                <w:tcPr>
                  <w:tcW w:w="341" w:type="pct"/>
                  <w:vAlign w:val="bottom"/>
                </w:tcPr>
                <w:p w:rsidR="00AC2131" w:rsidRDefault="00AC2131" w:rsidP="00AC2131">
                  <w:pPr>
                    <w:pStyle w:val="TableBodyText"/>
                    <w:spacing w:after="0"/>
                    <w:ind w:left="0" w:right="57"/>
                  </w:pPr>
                  <w:r>
                    <w:t>4.7</w:t>
                  </w:r>
                </w:p>
              </w:tc>
              <w:tc>
                <w:tcPr>
                  <w:tcW w:w="341" w:type="pct"/>
                  <w:shd w:val="clear" w:color="auto" w:fill="auto"/>
                  <w:vAlign w:val="bottom"/>
                </w:tcPr>
                <w:p w:rsidR="00AC2131" w:rsidRDefault="00AC2131" w:rsidP="00AC2131">
                  <w:pPr>
                    <w:pStyle w:val="TableBodyText"/>
                    <w:spacing w:after="0"/>
                    <w:ind w:left="0" w:right="57"/>
                  </w:pPr>
                  <w:r>
                    <w:t>4.2</w:t>
                  </w:r>
                </w:p>
              </w:tc>
              <w:tc>
                <w:tcPr>
                  <w:tcW w:w="339" w:type="pct"/>
                  <w:shd w:val="clear" w:color="auto" w:fill="auto"/>
                  <w:vAlign w:val="bottom"/>
                </w:tcPr>
                <w:p w:rsidR="00AC2131" w:rsidRDefault="00AC2131" w:rsidP="00AC2131">
                  <w:pPr>
                    <w:pStyle w:val="TableBodyText"/>
                    <w:spacing w:after="0"/>
                    <w:ind w:left="0" w:right="57"/>
                  </w:pPr>
                  <w:r>
                    <w:t>0.4</w:t>
                  </w:r>
                </w:p>
              </w:tc>
            </w:tr>
            <w:tr w:rsidR="00AC2131" w:rsidTr="00AC2131">
              <w:trPr>
                <w:gridAfter w:val="4"/>
                <w:wAfter w:w="1356" w:type="pct"/>
              </w:trPr>
              <w:tc>
                <w:tcPr>
                  <w:tcW w:w="1600" w:type="pct"/>
                  <w:shd w:val="clear" w:color="auto" w:fill="auto"/>
                </w:tcPr>
                <w:p w:rsidR="00AC2131" w:rsidRPr="00A53AB0" w:rsidRDefault="00AC2131" w:rsidP="00AC2131">
                  <w:pPr>
                    <w:pStyle w:val="TableBodyText"/>
                    <w:spacing w:before="40" w:after="0"/>
                    <w:ind w:left="113"/>
                    <w:jc w:val="left"/>
                    <w:rPr>
                      <w:i/>
                    </w:rPr>
                  </w:pPr>
                  <w:r w:rsidRPr="00A53AB0">
                    <w:rPr>
                      <w:i/>
                    </w:rPr>
                    <w:t>Rural R&amp;D measures</w:t>
                  </w:r>
                </w:p>
              </w:tc>
              <w:tc>
                <w:tcPr>
                  <w:tcW w:w="341" w:type="pct"/>
                </w:tcPr>
                <w:p w:rsidR="00AC2131" w:rsidRPr="005C642D" w:rsidRDefault="00AC2131" w:rsidP="00AC2131">
                  <w:pPr>
                    <w:pStyle w:val="TableBodyText"/>
                    <w:spacing w:before="40" w:after="0"/>
                    <w:ind w:left="113" w:right="57"/>
                    <w:rPr>
                      <w:szCs w:val="18"/>
                    </w:rPr>
                  </w:pPr>
                </w:p>
              </w:tc>
              <w:tc>
                <w:tcPr>
                  <w:tcW w:w="341" w:type="pct"/>
                </w:tcPr>
                <w:p w:rsidR="00AC2131" w:rsidRPr="005C642D" w:rsidRDefault="00AC2131" w:rsidP="00AC2131">
                  <w:pPr>
                    <w:pStyle w:val="TableBodyText"/>
                    <w:spacing w:before="40" w:after="0"/>
                    <w:ind w:left="113" w:right="57"/>
                    <w:rPr>
                      <w:szCs w:val="18"/>
                    </w:rPr>
                  </w:pPr>
                </w:p>
              </w:tc>
              <w:tc>
                <w:tcPr>
                  <w:tcW w:w="341" w:type="pct"/>
                </w:tcPr>
                <w:p w:rsidR="00AC2131" w:rsidRPr="005C642D" w:rsidRDefault="00AC2131" w:rsidP="00AC2131">
                  <w:pPr>
                    <w:pStyle w:val="TableBodyText"/>
                    <w:spacing w:before="40" w:after="0"/>
                    <w:ind w:left="113" w:right="57"/>
                    <w:rPr>
                      <w:szCs w:val="18"/>
                    </w:rPr>
                  </w:pPr>
                </w:p>
              </w:tc>
              <w:tc>
                <w:tcPr>
                  <w:tcW w:w="341" w:type="pct"/>
                </w:tcPr>
                <w:p w:rsidR="00AC2131" w:rsidRPr="005C642D" w:rsidRDefault="00AC2131" w:rsidP="00AC2131">
                  <w:pPr>
                    <w:pStyle w:val="TableBodyText"/>
                    <w:spacing w:before="40" w:after="0"/>
                    <w:ind w:left="113" w:right="57"/>
                    <w:rPr>
                      <w:szCs w:val="18"/>
                    </w:rPr>
                  </w:pPr>
                </w:p>
              </w:tc>
              <w:tc>
                <w:tcPr>
                  <w:tcW w:w="341" w:type="pct"/>
                  <w:shd w:val="clear" w:color="auto" w:fill="auto"/>
                </w:tcPr>
                <w:p w:rsidR="00AC2131" w:rsidRPr="005C642D" w:rsidRDefault="00AC2131" w:rsidP="00AC2131">
                  <w:pPr>
                    <w:pStyle w:val="TableBodyText"/>
                    <w:spacing w:before="40" w:after="0"/>
                    <w:ind w:left="113" w:right="57"/>
                    <w:rPr>
                      <w:szCs w:val="18"/>
                    </w:rPr>
                  </w:pPr>
                </w:p>
              </w:tc>
              <w:tc>
                <w:tcPr>
                  <w:tcW w:w="339" w:type="pct"/>
                  <w:shd w:val="clear" w:color="auto" w:fill="auto"/>
                </w:tcPr>
                <w:p w:rsidR="00AC2131" w:rsidRPr="005C642D" w:rsidRDefault="00AC2131" w:rsidP="00AC2131">
                  <w:pPr>
                    <w:pStyle w:val="TableBodyText"/>
                    <w:spacing w:before="40" w:after="0"/>
                    <w:ind w:left="113" w:right="57"/>
                    <w:rPr>
                      <w:szCs w:val="18"/>
                    </w:rPr>
                  </w:pP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Grape and Wine R</w:t>
                  </w:r>
                  <w:r>
                    <w:rPr>
                      <w:rFonts w:ascii="Arial" w:hAnsi="Arial" w:cs="Arial"/>
                      <w:color w:val="000000"/>
                      <w:sz w:val="18"/>
                      <w:szCs w:val="18"/>
                    </w:rPr>
                    <w:t>&amp;D</w:t>
                  </w:r>
                  <w:r w:rsidRPr="00A53AB0">
                    <w:rPr>
                      <w:rFonts w:ascii="Arial" w:hAnsi="Arial" w:cs="Arial"/>
                      <w:color w:val="000000"/>
                      <w:sz w:val="18"/>
                      <w:szCs w:val="18"/>
                    </w:rPr>
                    <w:t xml:space="preserve"> Corporation</w:t>
                  </w:r>
                </w:p>
              </w:tc>
              <w:tc>
                <w:tcPr>
                  <w:tcW w:w="341" w:type="pct"/>
                  <w:vAlign w:val="bottom"/>
                </w:tcPr>
                <w:p w:rsidR="00AC2131" w:rsidRDefault="00AC2131" w:rsidP="00AC2131">
                  <w:pPr>
                    <w:pStyle w:val="TableBodyText"/>
                    <w:spacing w:after="0"/>
                    <w:ind w:left="0" w:right="57"/>
                  </w:pPr>
                  <w:r>
                    <w:t>11.7</w:t>
                  </w:r>
                </w:p>
              </w:tc>
              <w:tc>
                <w:tcPr>
                  <w:tcW w:w="341" w:type="pct"/>
                  <w:vAlign w:val="bottom"/>
                </w:tcPr>
                <w:p w:rsidR="00AC2131" w:rsidRDefault="00AC2131" w:rsidP="00AC2131">
                  <w:pPr>
                    <w:pStyle w:val="TableBodyText"/>
                    <w:spacing w:after="0"/>
                    <w:ind w:left="0" w:right="57"/>
                  </w:pPr>
                  <w:r>
                    <w:t>13.7</w:t>
                  </w:r>
                </w:p>
              </w:tc>
              <w:tc>
                <w:tcPr>
                  <w:tcW w:w="341" w:type="pct"/>
                  <w:vAlign w:val="bottom"/>
                </w:tcPr>
                <w:p w:rsidR="00AC2131" w:rsidRDefault="00AC2131" w:rsidP="00AC2131">
                  <w:pPr>
                    <w:pStyle w:val="TableBodyText"/>
                    <w:spacing w:after="0"/>
                    <w:ind w:left="0" w:right="57"/>
                  </w:pPr>
                  <w:r>
                    <w:t>12.3</w:t>
                  </w:r>
                </w:p>
              </w:tc>
              <w:tc>
                <w:tcPr>
                  <w:tcW w:w="341" w:type="pct"/>
                  <w:vAlign w:val="bottom"/>
                </w:tcPr>
                <w:p w:rsidR="00AC2131" w:rsidRDefault="00AC2131" w:rsidP="00AC2131">
                  <w:pPr>
                    <w:pStyle w:val="TableBodyText"/>
                    <w:spacing w:after="0"/>
                    <w:ind w:left="0" w:right="57"/>
                  </w:pPr>
                  <w:r>
                    <w:t>10.3</w:t>
                  </w:r>
                </w:p>
              </w:tc>
              <w:tc>
                <w:tcPr>
                  <w:tcW w:w="341" w:type="pct"/>
                  <w:shd w:val="clear" w:color="auto" w:fill="auto"/>
                  <w:vAlign w:val="bottom"/>
                </w:tcPr>
                <w:p w:rsidR="00AC2131" w:rsidRDefault="00AC2131" w:rsidP="00AC2131">
                  <w:pPr>
                    <w:pStyle w:val="TableBodyText"/>
                    <w:spacing w:after="0"/>
                    <w:ind w:left="0" w:right="57"/>
                  </w:pPr>
                  <w:r>
                    <w:t>9.7</w:t>
                  </w:r>
                </w:p>
              </w:tc>
              <w:tc>
                <w:tcPr>
                  <w:tcW w:w="339" w:type="pct"/>
                  <w:shd w:val="clear" w:color="auto" w:fill="auto"/>
                  <w:vAlign w:val="bottom"/>
                </w:tcPr>
                <w:p w:rsidR="00AC2131" w:rsidRDefault="00AC2131" w:rsidP="00AC2131">
                  <w:pPr>
                    <w:pStyle w:val="TableBodyText"/>
                    <w:spacing w:after="0"/>
                    <w:ind w:left="0" w:right="57"/>
                  </w:pPr>
                  <w:r>
                    <w:t>11.9</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Horticulture Australia Limited R</w:t>
                  </w:r>
                  <w:r>
                    <w:rPr>
                      <w:rFonts w:ascii="Arial" w:hAnsi="Arial" w:cs="Arial"/>
                      <w:color w:val="000000"/>
                      <w:sz w:val="18"/>
                      <w:szCs w:val="18"/>
                    </w:rPr>
                    <w:t>&amp;D</w:t>
                  </w:r>
                </w:p>
              </w:tc>
              <w:tc>
                <w:tcPr>
                  <w:tcW w:w="341" w:type="pct"/>
                  <w:vAlign w:val="bottom"/>
                </w:tcPr>
                <w:p w:rsidR="00AC2131" w:rsidRDefault="00AC2131" w:rsidP="00AC2131">
                  <w:pPr>
                    <w:pStyle w:val="TableBodyText"/>
                    <w:spacing w:after="0"/>
                    <w:ind w:left="0" w:right="57"/>
                  </w:pPr>
                  <w:r>
                    <w:t>39.8</w:t>
                  </w:r>
                </w:p>
              </w:tc>
              <w:tc>
                <w:tcPr>
                  <w:tcW w:w="341" w:type="pct"/>
                  <w:vAlign w:val="bottom"/>
                </w:tcPr>
                <w:p w:rsidR="00AC2131" w:rsidRDefault="00AC2131" w:rsidP="00AC2131">
                  <w:pPr>
                    <w:pStyle w:val="TableBodyText"/>
                    <w:spacing w:after="0"/>
                    <w:ind w:left="0" w:right="57"/>
                  </w:pPr>
                  <w:r>
                    <w:t>40.5</w:t>
                  </w:r>
                </w:p>
              </w:tc>
              <w:tc>
                <w:tcPr>
                  <w:tcW w:w="341" w:type="pct"/>
                  <w:vAlign w:val="bottom"/>
                </w:tcPr>
                <w:p w:rsidR="00AC2131" w:rsidRDefault="00AC2131" w:rsidP="00AC2131">
                  <w:pPr>
                    <w:pStyle w:val="TableBodyText"/>
                    <w:spacing w:after="0"/>
                    <w:ind w:left="0" w:right="57"/>
                  </w:pPr>
                  <w:r>
                    <w:t>40.5</w:t>
                  </w:r>
                </w:p>
              </w:tc>
              <w:tc>
                <w:tcPr>
                  <w:tcW w:w="341" w:type="pct"/>
                  <w:vAlign w:val="bottom"/>
                </w:tcPr>
                <w:p w:rsidR="00AC2131" w:rsidRDefault="00AC2131" w:rsidP="00AC2131">
                  <w:pPr>
                    <w:pStyle w:val="TableBodyText"/>
                    <w:spacing w:after="0"/>
                    <w:ind w:left="0" w:right="57"/>
                  </w:pPr>
                  <w:r>
                    <w:t>42.0</w:t>
                  </w:r>
                </w:p>
              </w:tc>
              <w:tc>
                <w:tcPr>
                  <w:tcW w:w="341" w:type="pct"/>
                  <w:shd w:val="clear" w:color="auto" w:fill="auto"/>
                  <w:vAlign w:val="bottom"/>
                </w:tcPr>
                <w:p w:rsidR="00AC2131" w:rsidRDefault="00AC2131" w:rsidP="00AC2131">
                  <w:pPr>
                    <w:pStyle w:val="TableBodyText"/>
                    <w:spacing w:after="0"/>
                    <w:ind w:left="0" w:right="57"/>
                  </w:pPr>
                  <w:r>
                    <w:t>41.4</w:t>
                  </w:r>
                </w:p>
              </w:tc>
              <w:tc>
                <w:tcPr>
                  <w:tcW w:w="339" w:type="pct"/>
                  <w:shd w:val="clear" w:color="auto" w:fill="auto"/>
                  <w:vAlign w:val="bottom"/>
                </w:tcPr>
                <w:p w:rsidR="00AC2131" w:rsidRDefault="00AC2131" w:rsidP="00AC2131">
                  <w:pPr>
                    <w:pStyle w:val="TableBodyText"/>
                    <w:spacing w:after="0"/>
                    <w:ind w:left="0" w:right="57"/>
                  </w:pPr>
                  <w:r>
                    <w:t>41.9</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 xml:space="preserve">Rural Industries </w:t>
                  </w:r>
                  <w:r>
                    <w:rPr>
                      <w:rFonts w:ascii="Arial" w:hAnsi="Arial" w:cs="Arial"/>
                      <w:color w:val="000000"/>
                      <w:sz w:val="18"/>
                      <w:szCs w:val="18"/>
                    </w:rPr>
                    <w:t xml:space="preserve">R&amp;D </w:t>
                  </w:r>
                  <w:r w:rsidRPr="00A53AB0">
                    <w:rPr>
                      <w:rFonts w:ascii="Arial" w:hAnsi="Arial" w:cs="Arial"/>
                      <w:color w:val="000000"/>
                      <w:sz w:val="18"/>
                      <w:szCs w:val="18"/>
                    </w:rPr>
                    <w:t>Corporation</w:t>
                  </w:r>
                </w:p>
              </w:tc>
              <w:tc>
                <w:tcPr>
                  <w:tcW w:w="341" w:type="pct"/>
                  <w:vAlign w:val="bottom"/>
                </w:tcPr>
                <w:p w:rsidR="00AC2131" w:rsidRDefault="00AC2131" w:rsidP="00AC2131">
                  <w:pPr>
                    <w:pStyle w:val="TableBodyText"/>
                    <w:spacing w:after="0"/>
                    <w:ind w:left="0" w:right="57"/>
                  </w:pPr>
                  <w:r>
                    <w:t>2.7</w:t>
                  </w:r>
                </w:p>
              </w:tc>
              <w:tc>
                <w:tcPr>
                  <w:tcW w:w="341" w:type="pct"/>
                  <w:vAlign w:val="bottom"/>
                </w:tcPr>
                <w:p w:rsidR="00AC2131" w:rsidRDefault="00AC2131" w:rsidP="00AC2131">
                  <w:pPr>
                    <w:pStyle w:val="TableBodyText"/>
                    <w:spacing w:after="0"/>
                    <w:ind w:left="0" w:right="57"/>
                  </w:pPr>
                  <w:r>
                    <w:t>2.2</w:t>
                  </w:r>
                </w:p>
              </w:tc>
              <w:tc>
                <w:tcPr>
                  <w:tcW w:w="341" w:type="pct"/>
                  <w:vAlign w:val="bottom"/>
                </w:tcPr>
                <w:p w:rsidR="00AC2131" w:rsidRDefault="00AC2131" w:rsidP="00AC2131">
                  <w:pPr>
                    <w:pStyle w:val="TableBodyText"/>
                    <w:spacing w:after="0"/>
                    <w:ind w:left="0" w:right="57"/>
                  </w:pPr>
                  <w:r>
                    <w:t>2.3</w:t>
                  </w:r>
                </w:p>
              </w:tc>
              <w:tc>
                <w:tcPr>
                  <w:tcW w:w="341" w:type="pct"/>
                  <w:vAlign w:val="bottom"/>
                </w:tcPr>
                <w:p w:rsidR="00AC2131" w:rsidRDefault="00AC2131" w:rsidP="00AC2131">
                  <w:pPr>
                    <w:pStyle w:val="TableBodyText"/>
                    <w:spacing w:after="0"/>
                    <w:ind w:left="0" w:right="57"/>
                  </w:pPr>
                  <w:r>
                    <w:t>3.4</w:t>
                  </w:r>
                </w:p>
              </w:tc>
              <w:tc>
                <w:tcPr>
                  <w:tcW w:w="341" w:type="pct"/>
                  <w:shd w:val="clear" w:color="auto" w:fill="auto"/>
                  <w:vAlign w:val="bottom"/>
                </w:tcPr>
                <w:p w:rsidR="00AC2131" w:rsidRDefault="00AC2131" w:rsidP="00AC2131">
                  <w:pPr>
                    <w:pStyle w:val="TableBodyText"/>
                    <w:spacing w:after="0"/>
                    <w:ind w:left="0" w:right="57"/>
                  </w:pPr>
                  <w:r>
                    <w:t>2.1</w:t>
                  </w:r>
                </w:p>
              </w:tc>
              <w:tc>
                <w:tcPr>
                  <w:tcW w:w="339" w:type="pct"/>
                  <w:shd w:val="clear" w:color="auto" w:fill="auto"/>
                  <w:vAlign w:val="bottom"/>
                </w:tcPr>
                <w:p w:rsidR="00AC2131" w:rsidRDefault="00AC2131" w:rsidP="00AC2131">
                  <w:pPr>
                    <w:pStyle w:val="TableBodyText"/>
                    <w:spacing w:after="0"/>
                    <w:ind w:left="0" w:right="57"/>
                  </w:pPr>
                  <w:r>
                    <w:t>2.4</w:t>
                  </w:r>
                </w:p>
              </w:tc>
            </w:tr>
            <w:tr w:rsidR="00AC2131" w:rsidTr="00AC2131">
              <w:trPr>
                <w:gridAfter w:val="4"/>
                <w:wAfter w:w="1356" w:type="pct"/>
              </w:trPr>
              <w:tc>
                <w:tcPr>
                  <w:tcW w:w="1600" w:type="pct"/>
                  <w:shd w:val="clear" w:color="auto" w:fill="auto"/>
                </w:tcPr>
                <w:p w:rsidR="00AC2131" w:rsidRPr="00A53AB0" w:rsidRDefault="00AC2131" w:rsidP="00AC2131">
                  <w:pPr>
                    <w:pStyle w:val="TableBodyText"/>
                    <w:spacing w:before="40" w:after="0"/>
                    <w:ind w:left="227"/>
                    <w:jc w:val="left"/>
                    <w:rPr>
                      <w:i/>
                    </w:rPr>
                  </w:pPr>
                  <w:r w:rsidRPr="00A53AB0">
                    <w:rPr>
                      <w:i/>
                    </w:rPr>
                    <w:t>General export measures</w:t>
                  </w:r>
                </w:p>
              </w:tc>
              <w:tc>
                <w:tcPr>
                  <w:tcW w:w="341" w:type="pct"/>
                </w:tcPr>
                <w:p w:rsidR="00AC2131" w:rsidRPr="005C642D" w:rsidRDefault="00AC2131" w:rsidP="00AC2131">
                  <w:pPr>
                    <w:pStyle w:val="TableBodyText"/>
                    <w:spacing w:before="40" w:after="0"/>
                    <w:ind w:left="113" w:right="57"/>
                    <w:rPr>
                      <w:szCs w:val="18"/>
                    </w:rPr>
                  </w:pPr>
                </w:p>
              </w:tc>
              <w:tc>
                <w:tcPr>
                  <w:tcW w:w="341" w:type="pct"/>
                </w:tcPr>
                <w:p w:rsidR="00AC2131" w:rsidRPr="005C642D" w:rsidRDefault="00AC2131" w:rsidP="00AC2131">
                  <w:pPr>
                    <w:pStyle w:val="TableBodyText"/>
                    <w:spacing w:before="40" w:after="0"/>
                    <w:ind w:left="113" w:right="57"/>
                    <w:rPr>
                      <w:szCs w:val="18"/>
                    </w:rPr>
                  </w:pPr>
                </w:p>
              </w:tc>
              <w:tc>
                <w:tcPr>
                  <w:tcW w:w="341" w:type="pct"/>
                </w:tcPr>
                <w:p w:rsidR="00AC2131" w:rsidRPr="005C642D" w:rsidRDefault="00AC2131" w:rsidP="00AC2131">
                  <w:pPr>
                    <w:pStyle w:val="TableBodyText"/>
                    <w:spacing w:before="40" w:after="0"/>
                    <w:ind w:left="113" w:right="57"/>
                    <w:rPr>
                      <w:szCs w:val="18"/>
                    </w:rPr>
                  </w:pPr>
                </w:p>
              </w:tc>
              <w:tc>
                <w:tcPr>
                  <w:tcW w:w="341" w:type="pct"/>
                </w:tcPr>
                <w:p w:rsidR="00AC2131" w:rsidRPr="005C642D" w:rsidRDefault="00AC2131" w:rsidP="00AC2131">
                  <w:pPr>
                    <w:pStyle w:val="TableBodyText"/>
                    <w:spacing w:before="40" w:after="0"/>
                    <w:ind w:left="113" w:right="57"/>
                    <w:rPr>
                      <w:szCs w:val="18"/>
                    </w:rPr>
                  </w:pPr>
                </w:p>
              </w:tc>
              <w:tc>
                <w:tcPr>
                  <w:tcW w:w="341" w:type="pct"/>
                  <w:shd w:val="clear" w:color="auto" w:fill="auto"/>
                </w:tcPr>
                <w:p w:rsidR="00AC2131" w:rsidRPr="005C642D" w:rsidRDefault="00AC2131" w:rsidP="00AC2131">
                  <w:pPr>
                    <w:pStyle w:val="TableBodyText"/>
                    <w:spacing w:before="40" w:after="0"/>
                    <w:ind w:left="113" w:right="57"/>
                    <w:rPr>
                      <w:szCs w:val="18"/>
                    </w:rPr>
                  </w:pPr>
                </w:p>
              </w:tc>
              <w:tc>
                <w:tcPr>
                  <w:tcW w:w="339" w:type="pct"/>
                  <w:shd w:val="clear" w:color="auto" w:fill="auto"/>
                </w:tcPr>
                <w:p w:rsidR="00AC2131" w:rsidRPr="005C642D" w:rsidRDefault="00AC2131" w:rsidP="00AC2131">
                  <w:pPr>
                    <w:pStyle w:val="TableBodyText"/>
                    <w:spacing w:before="40" w:after="0"/>
                    <w:ind w:left="113" w:right="57"/>
                    <w:rPr>
                      <w:szCs w:val="18"/>
                    </w:rPr>
                  </w:pP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Export Market Development Grants Scheme</w:t>
                  </w:r>
                </w:p>
              </w:tc>
              <w:tc>
                <w:tcPr>
                  <w:tcW w:w="341" w:type="pct"/>
                  <w:vAlign w:val="bottom"/>
                </w:tcPr>
                <w:p w:rsidR="00AC2131" w:rsidRPr="005C642D" w:rsidRDefault="00AC2131" w:rsidP="00AC2131">
                  <w:pPr>
                    <w:ind w:right="57"/>
                    <w:jc w:val="right"/>
                    <w:rPr>
                      <w:rFonts w:ascii="Arial" w:hAnsi="Arial" w:cs="Arial"/>
                      <w:color w:val="000000"/>
                      <w:sz w:val="18"/>
                      <w:szCs w:val="18"/>
                    </w:rPr>
                  </w:pPr>
                  <w:r w:rsidRPr="005C642D">
                    <w:rPr>
                      <w:rFonts w:ascii="Arial" w:hAnsi="Arial" w:cs="Arial"/>
                      <w:color w:val="000000"/>
                      <w:sz w:val="18"/>
                      <w:szCs w:val="18"/>
                    </w:rPr>
                    <w:t>1.4</w:t>
                  </w:r>
                </w:p>
              </w:tc>
              <w:tc>
                <w:tcPr>
                  <w:tcW w:w="341" w:type="pct"/>
                  <w:vAlign w:val="bottom"/>
                </w:tcPr>
                <w:p w:rsidR="00AC2131" w:rsidRPr="005C642D" w:rsidRDefault="00AC2131" w:rsidP="00AC2131">
                  <w:pPr>
                    <w:ind w:right="57"/>
                    <w:jc w:val="right"/>
                    <w:rPr>
                      <w:rFonts w:ascii="Arial" w:hAnsi="Arial" w:cs="Arial"/>
                      <w:color w:val="000000"/>
                      <w:sz w:val="18"/>
                      <w:szCs w:val="18"/>
                    </w:rPr>
                  </w:pPr>
                  <w:r w:rsidRPr="005C642D">
                    <w:rPr>
                      <w:rFonts w:ascii="Arial" w:hAnsi="Arial" w:cs="Arial"/>
                      <w:color w:val="000000"/>
                      <w:sz w:val="18"/>
                      <w:szCs w:val="18"/>
                    </w:rPr>
                    <w:t>1.0</w:t>
                  </w:r>
                </w:p>
              </w:tc>
              <w:tc>
                <w:tcPr>
                  <w:tcW w:w="341" w:type="pct"/>
                  <w:vAlign w:val="bottom"/>
                </w:tcPr>
                <w:p w:rsidR="00AC2131" w:rsidRPr="005C642D" w:rsidRDefault="00AC2131" w:rsidP="00AC2131">
                  <w:pPr>
                    <w:ind w:right="57"/>
                    <w:jc w:val="right"/>
                    <w:rPr>
                      <w:rFonts w:ascii="Arial" w:hAnsi="Arial" w:cs="Arial"/>
                      <w:color w:val="000000"/>
                      <w:sz w:val="18"/>
                      <w:szCs w:val="18"/>
                    </w:rPr>
                  </w:pPr>
                  <w:r w:rsidRPr="005C642D">
                    <w:rPr>
                      <w:rFonts w:ascii="Arial" w:hAnsi="Arial" w:cs="Arial"/>
                      <w:color w:val="000000"/>
                      <w:sz w:val="18"/>
                      <w:szCs w:val="18"/>
                    </w:rPr>
                    <w:t>1.3</w:t>
                  </w:r>
                </w:p>
              </w:tc>
              <w:tc>
                <w:tcPr>
                  <w:tcW w:w="341" w:type="pct"/>
                  <w:vAlign w:val="bottom"/>
                </w:tcPr>
                <w:p w:rsidR="00AC2131" w:rsidRPr="005C642D" w:rsidRDefault="00AC2131" w:rsidP="00AC2131">
                  <w:pPr>
                    <w:ind w:right="57"/>
                    <w:jc w:val="right"/>
                    <w:rPr>
                      <w:rFonts w:ascii="Arial" w:hAnsi="Arial" w:cs="Arial"/>
                      <w:color w:val="000000"/>
                      <w:sz w:val="18"/>
                      <w:szCs w:val="18"/>
                    </w:rPr>
                  </w:pPr>
                  <w:r w:rsidRPr="005C642D">
                    <w:rPr>
                      <w:rFonts w:ascii="Arial" w:hAnsi="Arial" w:cs="Arial"/>
                      <w:color w:val="000000"/>
                      <w:sz w:val="18"/>
                      <w:szCs w:val="18"/>
                    </w:rPr>
                    <w:t>1.0</w:t>
                  </w:r>
                </w:p>
              </w:tc>
              <w:tc>
                <w:tcPr>
                  <w:tcW w:w="341" w:type="pct"/>
                  <w:shd w:val="clear" w:color="auto" w:fill="auto"/>
                  <w:vAlign w:val="bottom"/>
                </w:tcPr>
                <w:p w:rsidR="00AC2131" w:rsidRPr="005C642D" w:rsidRDefault="00AC2131" w:rsidP="00AC2131">
                  <w:pPr>
                    <w:ind w:right="57"/>
                    <w:jc w:val="right"/>
                    <w:rPr>
                      <w:rFonts w:ascii="Arial" w:hAnsi="Arial" w:cs="Arial"/>
                      <w:color w:val="000000"/>
                      <w:sz w:val="18"/>
                      <w:szCs w:val="18"/>
                    </w:rPr>
                  </w:pPr>
                  <w:r w:rsidRPr="005C642D">
                    <w:rPr>
                      <w:rFonts w:ascii="Arial" w:hAnsi="Arial" w:cs="Arial"/>
                      <w:color w:val="000000"/>
                      <w:sz w:val="18"/>
                      <w:szCs w:val="18"/>
                    </w:rPr>
                    <w:t>1.0</w:t>
                  </w:r>
                </w:p>
              </w:tc>
              <w:tc>
                <w:tcPr>
                  <w:tcW w:w="339" w:type="pct"/>
                  <w:shd w:val="clear" w:color="auto" w:fill="auto"/>
                  <w:vAlign w:val="bottom"/>
                </w:tcPr>
                <w:p w:rsidR="00AC2131" w:rsidRPr="005C642D" w:rsidRDefault="00AC2131" w:rsidP="00AC2131">
                  <w:pPr>
                    <w:ind w:right="57"/>
                    <w:jc w:val="right"/>
                    <w:rPr>
                      <w:rFonts w:ascii="Arial" w:hAnsi="Arial" w:cs="Arial"/>
                      <w:color w:val="000000"/>
                      <w:sz w:val="18"/>
                      <w:szCs w:val="18"/>
                    </w:rPr>
                  </w:pPr>
                  <w:r w:rsidRPr="005C642D">
                    <w:rPr>
                      <w:rFonts w:ascii="Arial" w:hAnsi="Arial" w:cs="Arial"/>
                      <w:color w:val="000000"/>
                      <w:sz w:val="18"/>
                      <w:szCs w:val="18"/>
                    </w:rPr>
                    <w:t>0.8</w:t>
                  </w:r>
                </w:p>
              </w:tc>
            </w:tr>
            <w:tr w:rsidR="00AC2131" w:rsidTr="00AC2131">
              <w:trPr>
                <w:gridAfter w:val="4"/>
                <w:wAfter w:w="1356" w:type="pct"/>
              </w:trPr>
              <w:tc>
                <w:tcPr>
                  <w:tcW w:w="1600" w:type="pct"/>
                  <w:shd w:val="clear" w:color="auto" w:fill="auto"/>
                  <w:vAlign w:val="bottom"/>
                </w:tcPr>
                <w:p w:rsidR="00AC2131" w:rsidRPr="005A73C3" w:rsidRDefault="00AC2131" w:rsidP="00AC2131">
                  <w:pPr>
                    <w:spacing w:before="40"/>
                    <w:ind w:left="113"/>
                    <w:rPr>
                      <w:rFonts w:ascii="Arial" w:hAnsi="Arial" w:cs="Arial"/>
                      <w:i/>
                      <w:color w:val="000000"/>
                      <w:sz w:val="18"/>
                      <w:szCs w:val="18"/>
                    </w:rPr>
                  </w:pPr>
                  <w:r w:rsidRPr="005A73C3">
                    <w:rPr>
                      <w:rFonts w:ascii="Arial" w:hAnsi="Arial" w:cs="Arial"/>
                      <w:i/>
                      <w:color w:val="000000"/>
                      <w:sz w:val="18"/>
                      <w:szCs w:val="18"/>
                    </w:rPr>
                    <w:t>General R&amp;D measures</w:t>
                  </w:r>
                </w:p>
              </w:tc>
              <w:tc>
                <w:tcPr>
                  <w:tcW w:w="341" w:type="pct"/>
                  <w:vAlign w:val="bottom"/>
                </w:tcPr>
                <w:p w:rsidR="00AC2131" w:rsidRPr="005C642D" w:rsidRDefault="00AC2131" w:rsidP="00AC2131">
                  <w:pPr>
                    <w:spacing w:before="40"/>
                    <w:ind w:left="113" w:right="57"/>
                    <w:jc w:val="right"/>
                    <w:rPr>
                      <w:rFonts w:ascii="Arial" w:hAnsi="Arial" w:cs="Arial"/>
                      <w:color w:val="000000"/>
                      <w:sz w:val="18"/>
                      <w:szCs w:val="18"/>
                    </w:rPr>
                  </w:pPr>
                </w:p>
              </w:tc>
              <w:tc>
                <w:tcPr>
                  <w:tcW w:w="341" w:type="pct"/>
                  <w:vAlign w:val="bottom"/>
                </w:tcPr>
                <w:p w:rsidR="00AC2131" w:rsidRPr="005C642D" w:rsidRDefault="00AC2131" w:rsidP="00AC2131">
                  <w:pPr>
                    <w:spacing w:before="40"/>
                    <w:ind w:left="113" w:right="57"/>
                    <w:jc w:val="right"/>
                    <w:rPr>
                      <w:rFonts w:ascii="Arial" w:hAnsi="Arial" w:cs="Arial"/>
                      <w:color w:val="000000"/>
                      <w:sz w:val="18"/>
                      <w:szCs w:val="18"/>
                    </w:rPr>
                  </w:pPr>
                </w:p>
              </w:tc>
              <w:tc>
                <w:tcPr>
                  <w:tcW w:w="341" w:type="pct"/>
                  <w:vAlign w:val="bottom"/>
                </w:tcPr>
                <w:p w:rsidR="00AC2131" w:rsidRPr="005C642D" w:rsidRDefault="00AC2131" w:rsidP="00AC2131">
                  <w:pPr>
                    <w:spacing w:before="40"/>
                    <w:ind w:left="113" w:right="57"/>
                    <w:jc w:val="right"/>
                    <w:rPr>
                      <w:rFonts w:ascii="Arial" w:hAnsi="Arial" w:cs="Arial"/>
                      <w:color w:val="000000"/>
                      <w:sz w:val="18"/>
                      <w:szCs w:val="18"/>
                    </w:rPr>
                  </w:pPr>
                </w:p>
              </w:tc>
              <w:tc>
                <w:tcPr>
                  <w:tcW w:w="341" w:type="pct"/>
                  <w:vAlign w:val="bottom"/>
                </w:tcPr>
                <w:p w:rsidR="00AC2131" w:rsidRPr="005C642D" w:rsidRDefault="00AC2131" w:rsidP="00AC2131">
                  <w:pPr>
                    <w:spacing w:before="40"/>
                    <w:ind w:left="113" w:right="57"/>
                    <w:jc w:val="right"/>
                    <w:rPr>
                      <w:rFonts w:ascii="Arial" w:hAnsi="Arial" w:cs="Arial"/>
                      <w:color w:val="000000"/>
                      <w:sz w:val="18"/>
                      <w:szCs w:val="18"/>
                    </w:rPr>
                  </w:pPr>
                </w:p>
              </w:tc>
              <w:tc>
                <w:tcPr>
                  <w:tcW w:w="341" w:type="pct"/>
                  <w:shd w:val="clear" w:color="auto" w:fill="auto"/>
                  <w:vAlign w:val="bottom"/>
                </w:tcPr>
                <w:p w:rsidR="00AC2131" w:rsidRPr="005C642D" w:rsidRDefault="00AC2131" w:rsidP="00AC2131">
                  <w:pPr>
                    <w:spacing w:before="40"/>
                    <w:ind w:left="113" w:right="57"/>
                    <w:jc w:val="right"/>
                    <w:rPr>
                      <w:rFonts w:ascii="Arial" w:hAnsi="Arial" w:cs="Arial"/>
                      <w:color w:val="000000"/>
                      <w:sz w:val="18"/>
                      <w:szCs w:val="18"/>
                    </w:rPr>
                  </w:pPr>
                </w:p>
              </w:tc>
              <w:tc>
                <w:tcPr>
                  <w:tcW w:w="339" w:type="pct"/>
                  <w:shd w:val="clear" w:color="auto" w:fill="auto"/>
                  <w:vAlign w:val="bottom"/>
                </w:tcPr>
                <w:p w:rsidR="00AC2131" w:rsidRPr="005C642D" w:rsidRDefault="00AC2131" w:rsidP="00AC2131">
                  <w:pPr>
                    <w:spacing w:before="40"/>
                    <w:ind w:left="113" w:right="57"/>
                    <w:jc w:val="right"/>
                    <w:rPr>
                      <w:rFonts w:ascii="Arial" w:hAnsi="Arial" w:cs="Arial"/>
                      <w:color w:val="000000"/>
                      <w:sz w:val="18"/>
                      <w:szCs w:val="18"/>
                    </w:rPr>
                  </w:pP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 xml:space="preserve">Clean Business Australia </w:t>
                  </w:r>
                  <w:r>
                    <w:rPr>
                      <w:rFonts w:ascii="Arial" w:hAnsi="Arial" w:cs="Arial"/>
                      <w:color w:val="000000"/>
                      <w:sz w:val="18"/>
                      <w:szCs w:val="18"/>
                    </w:rPr>
                    <w:t>–</w:t>
                  </w:r>
                  <w:r w:rsidRPr="00A53AB0">
                    <w:rPr>
                      <w:rFonts w:ascii="Arial" w:hAnsi="Arial" w:cs="Arial"/>
                      <w:color w:val="000000"/>
                      <w:sz w:val="18"/>
                      <w:szCs w:val="18"/>
                    </w:rPr>
                    <w:t xml:space="preserve"> Climate Ready Program</w:t>
                  </w:r>
                </w:p>
              </w:tc>
              <w:tc>
                <w:tcPr>
                  <w:tcW w:w="341" w:type="pct"/>
                  <w:vAlign w:val="bottom"/>
                </w:tcPr>
                <w:p w:rsidR="00AC2131" w:rsidRDefault="00AC2131" w:rsidP="00AC2131">
                  <w:pPr>
                    <w:pStyle w:val="TableBodyText"/>
                    <w:spacing w:after="0"/>
                    <w:ind w:left="0" w:right="57"/>
                  </w:pPr>
                  <w:r>
                    <w:t>0.2</w:t>
                  </w:r>
                </w:p>
              </w:tc>
              <w:tc>
                <w:tcPr>
                  <w:tcW w:w="341" w:type="pct"/>
                  <w:vAlign w:val="bottom"/>
                </w:tcPr>
                <w:p w:rsidR="00AC2131" w:rsidRDefault="00AC2131" w:rsidP="00AC2131">
                  <w:pPr>
                    <w:pStyle w:val="TableBodyText"/>
                    <w:spacing w:after="0"/>
                    <w:ind w:left="0" w:right="57"/>
                  </w:pPr>
                  <w:r>
                    <w:t>0.2</w:t>
                  </w:r>
                </w:p>
              </w:tc>
              <w:tc>
                <w:tcPr>
                  <w:tcW w:w="341" w:type="pct"/>
                  <w:vAlign w:val="bottom"/>
                </w:tcPr>
                <w:p w:rsidR="00AC2131" w:rsidRDefault="00AC2131" w:rsidP="00AC2131">
                  <w:pPr>
                    <w:pStyle w:val="TableBodyText"/>
                    <w:spacing w:after="0"/>
                    <w:ind w:left="0" w:right="57"/>
                  </w:pPr>
                  <w:r>
                    <w:t>&lt;0.1</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COMET Program</w:t>
                  </w:r>
                </w:p>
              </w:tc>
              <w:tc>
                <w:tcPr>
                  <w:tcW w:w="341" w:type="pct"/>
                  <w:vAlign w:val="bottom"/>
                </w:tcPr>
                <w:p w:rsidR="00AC2131" w:rsidRDefault="00AC2131" w:rsidP="00AC2131">
                  <w:pPr>
                    <w:pStyle w:val="TableBodyText"/>
                    <w:spacing w:after="0"/>
                    <w:ind w:left="0" w:right="57"/>
                  </w:pPr>
                  <w:r>
                    <w:t>&lt;0.1</w:t>
                  </w:r>
                </w:p>
              </w:tc>
              <w:tc>
                <w:tcPr>
                  <w:tcW w:w="341" w:type="pct"/>
                  <w:vAlign w:val="bottom"/>
                </w:tcPr>
                <w:p w:rsidR="00AC2131" w:rsidRDefault="00AC2131" w:rsidP="00AC2131">
                  <w:pPr>
                    <w:pStyle w:val="TableBodyText"/>
                    <w:spacing w:after="0"/>
                    <w:ind w:left="0" w:right="57"/>
                  </w:pPr>
                  <w:r>
                    <w:t>0.1</w:t>
                  </w:r>
                </w:p>
              </w:tc>
              <w:tc>
                <w:tcPr>
                  <w:tcW w:w="341" w:type="pct"/>
                  <w:vAlign w:val="bottom"/>
                </w:tcPr>
                <w:p w:rsidR="00AC2131" w:rsidRDefault="00AC2131" w:rsidP="00AC2131">
                  <w:pPr>
                    <w:pStyle w:val="TableBodyText"/>
                    <w:spacing w:after="0"/>
                    <w:ind w:left="0" w:right="57"/>
                  </w:pPr>
                  <w:r>
                    <w:t>&lt;0.1</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Commercial Ready Program</w:t>
                  </w:r>
                </w:p>
              </w:tc>
              <w:tc>
                <w:tcPr>
                  <w:tcW w:w="341" w:type="pct"/>
                  <w:vAlign w:val="bottom"/>
                </w:tcPr>
                <w:p w:rsidR="00AC2131" w:rsidRDefault="00AC2131" w:rsidP="00AC2131">
                  <w:pPr>
                    <w:pStyle w:val="TableBodyText"/>
                    <w:spacing w:after="0"/>
                    <w:ind w:left="0" w:right="57"/>
                  </w:pPr>
                  <w:r>
                    <w:t>0.5</w:t>
                  </w:r>
                </w:p>
              </w:tc>
              <w:tc>
                <w:tcPr>
                  <w:tcW w:w="341" w:type="pct"/>
                  <w:vAlign w:val="bottom"/>
                </w:tcPr>
                <w:p w:rsidR="00AC2131" w:rsidRDefault="00AC2131" w:rsidP="00AC2131">
                  <w:pPr>
                    <w:pStyle w:val="TableBodyText"/>
                    <w:spacing w:after="0"/>
                    <w:ind w:left="0" w:right="57"/>
                  </w:pPr>
                  <w:r>
                    <w:t>0.1</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Commercialisation Australia</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0.2</w:t>
                  </w:r>
                </w:p>
              </w:tc>
              <w:tc>
                <w:tcPr>
                  <w:tcW w:w="341" w:type="pct"/>
                  <w:vAlign w:val="bottom"/>
                </w:tcPr>
                <w:p w:rsidR="00AC2131" w:rsidRDefault="00AC2131" w:rsidP="00AC2131">
                  <w:pPr>
                    <w:pStyle w:val="TableBodyText"/>
                    <w:spacing w:after="0"/>
                    <w:ind w:left="0" w:right="57"/>
                  </w:pPr>
                  <w:r>
                    <w:t>0.3</w:t>
                  </w:r>
                </w:p>
              </w:tc>
              <w:tc>
                <w:tcPr>
                  <w:tcW w:w="341" w:type="pct"/>
                  <w:shd w:val="clear" w:color="auto" w:fill="auto"/>
                  <w:vAlign w:val="bottom"/>
                </w:tcPr>
                <w:p w:rsidR="00AC2131" w:rsidRDefault="00AC2131" w:rsidP="00AC2131">
                  <w:pPr>
                    <w:pStyle w:val="TableBodyText"/>
                    <w:spacing w:after="0"/>
                    <w:ind w:left="0" w:right="57"/>
                  </w:pPr>
                  <w:r>
                    <w:t>&lt;0.1</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CSIRO</w:t>
                  </w:r>
                </w:p>
              </w:tc>
              <w:tc>
                <w:tcPr>
                  <w:tcW w:w="341" w:type="pct"/>
                  <w:vAlign w:val="bottom"/>
                </w:tcPr>
                <w:p w:rsidR="00AC2131" w:rsidRDefault="00AC2131" w:rsidP="00AC2131">
                  <w:pPr>
                    <w:pStyle w:val="TableBodyText"/>
                    <w:spacing w:after="0"/>
                    <w:ind w:left="0" w:right="57"/>
                  </w:pPr>
                  <w:r>
                    <w:t>7.9</w:t>
                  </w:r>
                </w:p>
              </w:tc>
              <w:tc>
                <w:tcPr>
                  <w:tcW w:w="341" w:type="pct"/>
                  <w:vAlign w:val="bottom"/>
                </w:tcPr>
                <w:p w:rsidR="00AC2131" w:rsidRDefault="00AC2131" w:rsidP="00AC2131">
                  <w:pPr>
                    <w:pStyle w:val="TableBodyText"/>
                    <w:spacing w:after="0"/>
                    <w:ind w:left="0" w:right="57"/>
                  </w:pPr>
                  <w:r>
                    <w:t>8.6</w:t>
                  </w:r>
                </w:p>
              </w:tc>
              <w:tc>
                <w:tcPr>
                  <w:tcW w:w="341" w:type="pct"/>
                  <w:vAlign w:val="bottom"/>
                </w:tcPr>
                <w:p w:rsidR="00AC2131" w:rsidRDefault="00AC2131" w:rsidP="00AC2131">
                  <w:pPr>
                    <w:pStyle w:val="TableBodyText"/>
                    <w:spacing w:after="0"/>
                    <w:ind w:left="0" w:right="57"/>
                  </w:pPr>
                  <w:r>
                    <w:t>8.7</w:t>
                  </w:r>
                </w:p>
              </w:tc>
              <w:tc>
                <w:tcPr>
                  <w:tcW w:w="341" w:type="pct"/>
                  <w:vAlign w:val="bottom"/>
                </w:tcPr>
                <w:p w:rsidR="00AC2131" w:rsidRDefault="00AC2131" w:rsidP="00AC2131">
                  <w:pPr>
                    <w:pStyle w:val="TableBodyText"/>
                    <w:spacing w:after="0"/>
                    <w:ind w:left="0" w:right="57"/>
                  </w:pPr>
                  <w:r>
                    <w:t>9.7</w:t>
                  </w:r>
                </w:p>
              </w:tc>
              <w:tc>
                <w:tcPr>
                  <w:tcW w:w="341" w:type="pct"/>
                  <w:shd w:val="clear" w:color="auto" w:fill="auto"/>
                  <w:vAlign w:val="bottom"/>
                </w:tcPr>
                <w:p w:rsidR="00AC2131" w:rsidRDefault="00AC2131" w:rsidP="00AC2131">
                  <w:pPr>
                    <w:pStyle w:val="TableBodyText"/>
                    <w:spacing w:after="0"/>
                    <w:ind w:left="0" w:right="57"/>
                  </w:pPr>
                  <w:r>
                    <w:t>7.3</w:t>
                  </w:r>
                </w:p>
              </w:tc>
              <w:tc>
                <w:tcPr>
                  <w:tcW w:w="339" w:type="pct"/>
                  <w:shd w:val="clear" w:color="auto" w:fill="auto"/>
                  <w:vAlign w:val="bottom"/>
                </w:tcPr>
                <w:p w:rsidR="00AC2131" w:rsidRDefault="00AC2131" w:rsidP="00AC2131">
                  <w:pPr>
                    <w:pStyle w:val="TableBodyText"/>
                    <w:spacing w:after="0"/>
                    <w:ind w:left="0" w:right="57"/>
                  </w:pPr>
                  <w:r>
                    <w:t>2.5</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New Industries Development Program</w:t>
                  </w:r>
                </w:p>
              </w:tc>
              <w:tc>
                <w:tcPr>
                  <w:tcW w:w="341" w:type="pct"/>
                  <w:vAlign w:val="bottom"/>
                </w:tcPr>
                <w:p w:rsidR="00AC2131" w:rsidRDefault="00AC2131" w:rsidP="00AC2131">
                  <w:pPr>
                    <w:pStyle w:val="TableBodyText"/>
                    <w:spacing w:after="0"/>
                    <w:ind w:left="0" w:right="57"/>
                  </w:pPr>
                  <w:r>
                    <w:t>&lt;0.1</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Premium R&amp;D tax concession</w:t>
                  </w:r>
                </w:p>
              </w:tc>
              <w:tc>
                <w:tcPr>
                  <w:tcW w:w="341" w:type="pct"/>
                  <w:vAlign w:val="bottom"/>
                </w:tcPr>
                <w:p w:rsidR="00AC2131" w:rsidRDefault="00AC2131" w:rsidP="00AC2131">
                  <w:pPr>
                    <w:pStyle w:val="TableBodyText"/>
                    <w:spacing w:after="0"/>
                    <w:ind w:left="0" w:right="57"/>
                  </w:pPr>
                  <w:r>
                    <w:t>0.1</w:t>
                  </w:r>
                </w:p>
              </w:tc>
              <w:tc>
                <w:tcPr>
                  <w:tcW w:w="341" w:type="pct"/>
                  <w:vAlign w:val="bottom"/>
                </w:tcPr>
                <w:p w:rsidR="00AC2131" w:rsidRDefault="00AC2131" w:rsidP="00AC2131">
                  <w:pPr>
                    <w:pStyle w:val="TableBodyText"/>
                    <w:spacing w:after="0"/>
                    <w:ind w:left="0" w:right="57"/>
                  </w:pPr>
                  <w:r>
                    <w:t>0.2</w:t>
                  </w:r>
                </w:p>
              </w:tc>
              <w:tc>
                <w:tcPr>
                  <w:tcW w:w="341" w:type="pct"/>
                  <w:vAlign w:val="bottom"/>
                </w:tcPr>
                <w:p w:rsidR="00AC2131" w:rsidRDefault="00AC2131" w:rsidP="00AC2131">
                  <w:pPr>
                    <w:pStyle w:val="TableBodyText"/>
                    <w:spacing w:after="0"/>
                    <w:ind w:left="0" w:right="57"/>
                  </w:pPr>
                  <w:r>
                    <w:t>0.1</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R&amp;D tax concession</w:t>
                  </w:r>
                </w:p>
              </w:tc>
              <w:tc>
                <w:tcPr>
                  <w:tcW w:w="341" w:type="pct"/>
                  <w:vAlign w:val="bottom"/>
                </w:tcPr>
                <w:p w:rsidR="00AC2131" w:rsidRDefault="00AC2131" w:rsidP="00AC2131">
                  <w:pPr>
                    <w:pStyle w:val="TableBodyText"/>
                    <w:spacing w:after="0"/>
                    <w:ind w:left="0" w:right="57"/>
                  </w:pPr>
                  <w:r>
                    <w:t>0.9</w:t>
                  </w:r>
                </w:p>
              </w:tc>
              <w:tc>
                <w:tcPr>
                  <w:tcW w:w="341" w:type="pct"/>
                  <w:vAlign w:val="bottom"/>
                </w:tcPr>
                <w:p w:rsidR="00AC2131" w:rsidRDefault="00AC2131" w:rsidP="00AC2131">
                  <w:pPr>
                    <w:pStyle w:val="TableBodyText"/>
                    <w:spacing w:after="0"/>
                    <w:ind w:left="0" w:right="57"/>
                  </w:pPr>
                  <w:r>
                    <w:t>1.5</w:t>
                  </w:r>
                </w:p>
              </w:tc>
              <w:tc>
                <w:tcPr>
                  <w:tcW w:w="341" w:type="pct"/>
                  <w:vAlign w:val="bottom"/>
                </w:tcPr>
                <w:p w:rsidR="00AC2131" w:rsidRDefault="00AC2131" w:rsidP="00AC2131">
                  <w:pPr>
                    <w:pStyle w:val="TableBodyText"/>
                    <w:spacing w:after="0"/>
                    <w:ind w:left="0" w:right="57"/>
                  </w:pPr>
                  <w:r>
                    <w:t>1.5</w:t>
                  </w:r>
                </w:p>
              </w:tc>
              <w:tc>
                <w:tcPr>
                  <w:tcW w:w="341" w:type="pct"/>
                  <w:vAlign w:val="bottom"/>
                </w:tcPr>
                <w:p w:rsidR="00AC2131" w:rsidRDefault="00AC2131" w:rsidP="00AC2131">
                  <w:pPr>
                    <w:pStyle w:val="TableBodyText"/>
                    <w:spacing w:after="0"/>
                    <w:ind w:left="0" w:right="57"/>
                  </w:pPr>
                  <w:r>
                    <w:t>3.3</w:t>
                  </w:r>
                </w:p>
              </w:tc>
              <w:tc>
                <w:tcPr>
                  <w:tcW w:w="341" w:type="pct"/>
                  <w:shd w:val="clear" w:color="auto" w:fill="auto"/>
                  <w:vAlign w:val="bottom"/>
                </w:tcPr>
                <w:p w:rsidR="00AC2131" w:rsidRDefault="00AC2131" w:rsidP="00AC2131">
                  <w:pPr>
                    <w:pStyle w:val="TableBodyText"/>
                    <w:spacing w:after="0"/>
                    <w:ind w:left="0" w:right="57"/>
                  </w:pPr>
                  <w:r>
                    <w:t>1.5</w:t>
                  </w:r>
                </w:p>
              </w:tc>
              <w:tc>
                <w:tcPr>
                  <w:tcW w:w="339" w:type="pct"/>
                  <w:shd w:val="clear" w:color="auto" w:fill="auto"/>
                  <w:vAlign w:val="bottom"/>
                </w:tcPr>
                <w:p w:rsidR="00AC2131" w:rsidRDefault="00AC2131" w:rsidP="00AC2131">
                  <w:pPr>
                    <w:pStyle w:val="TableBodyText"/>
                    <w:spacing w:after="0"/>
                    <w:ind w:left="0" w:right="57"/>
                  </w:pPr>
                  <w:r>
                    <w:t>0.5</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 xml:space="preserve">R&amp;D Tax Incentive </w:t>
                  </w:r>
                  <w:r>
                    <w:rPr>
                      <w:rFonts w:ascii="Arial" w:hAnsi="Arial" w:cs="Arial"/>
                      <w:color w:val="000000"/>
                      <w:sz w:val="18"/>
                      <w:szCs w:val="18"/>
                    </w:rPr>
                    <w:t>–</w:t>
                  </w:r>
                  <w:r w:rsidRPr="00A53AB0">
                    <w:rPr>
                      <w:rFonts w:ascii="Arial" w:hAnsi="Arial" w:cs="Arial"/>
                      <w:color w:val="000000"/>
                      <w:sz w:val="18"/>
                      <w:szCs w:val="18"/>
                    </w:rPr>
                    <w:t xml:space="preserve"> exemption of refundable tax offset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w:t>
                  </w:r>
                </w:p>
              </w:tc>
              <w:tc>
                <w:tcPr>
                  <w:tcW w:w="339" w:type="pct"/>
                  <w:shd w:val="clear" w:color="auto" w:fill="auto"/>
                  <w:vAlign w:val="bottom"/>
                </w:tcPr>
                <w:p w:rsidR="00AC2131" w:rsidRDefault="00AC2131" w:rsidP="00AC2131">
                  <w:pPr>
                    <w:pStyle w:val="TableBodyText"/>
                    <w:spacing w:after="0"/>
                    <w:ind w:left="0" w:right="57"/>
                  </w:pPr>
                  <w:r>
                    <w:t>-1.4</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 xml:space="preserve">R&amp;D Tax Incentive </w:t>
                  </w:r>
                  <w:r>
                    <w:rPr>
                      <w:rFonts w:ascii="Arial" w:hAnsi="Arial" w:cs="Arial"/>
                      <w:color w:val="000000"/>
                      <w:sz w:val="18"/>
                      <w:szCs w:val="18"/>
                    </w:rPr>
                    <w:t>–</w:t>
                  </w:r>
                  <w:r w:rsidRPr="00A53AB0">
                    <w:rPr>
                      <w:rFonts w:ascii="Arial" w:hAnsi="Arial" w:cs="Arial"/>
                      <w:color w:val="000000"/>
                      <w:sz w:val="18"/>
                      <w:szCs w:val="18"/>
                    </w:rPr>
                    <w:t xml:space="preserve"> non-refundable tax offset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1.3</w:t>
                  </w:r>
                </w:p>
              </w:tc>
              <w:tc>
                <w:tcPr>
                  <w:tcW w:w="339" w:type="pct"/>
                  <w:shd w:val="clear" w:color="auto" w:fill="auto"/>
                  <w:vAlign w:val="bottom"/>
                </w:tcPr>
                <w:p w:rsidR="00AC2131" w:rsidRDefault="00AC2131" w:rsidP="00AC2131">
                  <w:pPr>
                    <w:pStyle w:val="TableBodyText"/>
                    <w:spacing w:after="0"/>
                    <w:ind w:left="0" w:right="57"/>
                  </w:pPr>
                  <w:r>
                    <w:t>1.9</w:t>
                  </w:r>
                </w:p>
              </w:tc>
            </w:tr>
            <w:tr w:rsidR="00AC2131" w:rsidTr="00AC2131">
              <w:trPr>
                <w:gridAfter w:val="4"/>
                <w:wAfter w:w="1356" w:type="pct"/>
              </w:trPr>
              <w:tc>
                <w:tcPr>
                  <w:tcW w:w="1600" w:type="pct"/>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 xml:space="preserve">R&amp;D Tax Incentive </w:t>
                  </w:r>
                  <w:r>
                    <w:rPr>
                      <w:rFonts w:ascii="Arial" w:hAnsi="Arial" w:cs="Arial"/>
                      <w:color w:val="000000"/>
                      <w:sz w:val="18"/>
                      <w:szCs w:val="18"/>
                    </w:rPr>
                    <w:t>–</w:t>
                  </w:r>
                  <w:r w:rsidRPr="00A53AB0">
                    <w:rPr>
                      <w:rFonts w:ascii="Arial" w:hAnsi="Arial" w:cs="Arial"/>
                      <w:color w:val="000000"/>
                      <w:sz w:val="18"/>
                      <w:szCs w:val="18"/>
                    </w:rPr>
                    <w:t xml:space="preserve"> refundable tax offset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vAlign w:val="bottom"/>
                </w:tcPr>
                <w:p w:rsidR="00AC2131" w:rsidRDefault="00AC2131" w:rsidP="00AC2131">
                  <w:pPr>
                    <w:pStyle w:val="TableBodyText"/>
                    <w:spacing w:after="0"/>
                    <w:ind w:left="0" w:right="57"/>
                  </w:pPr>
                  <w:r>
                    <w:t>–</w:t>
                  </w:r>
                </w:p>
              </w:tc>
              <w:tc>
                <w:tcPr>
                  <w:tcW w:w="341" w:type="pct"/>
                  <w:shd w:val="clear" w:color="auto" w:fill="auto"/>
                  <w:vAlign w:val="bottom"/>
                </w:tcPr>
                <w:p w:rsidR="00AC2131" w:rsidRDefault="00AC2131" w:rsidP="00AC2131">
                  <w:pPr>
                    <w:pStyle w:val="TableBodyText"/>
                    <w:spacing w:after="0"/>
                    <w:ind w:left="0" w:right="57"/>
                  </w:pPr>
                  <w:r>
                    <w:t>2.6</w:t>
                  </w:r>
                </w:p>
              </w:tc>
              <w:tc>
                <w:tcPr>
                  <w:tcW w:w="339" w:type="pct"/>
                  <w:shd w:val="clear" w:color="auto" w:fill="auto"/>
                  <w:vAlign w:val="bottom"/>
                </w:tcPr>
                <w:p w:rsidR="00AC2131" w:rsidRDefault="00AC2131" w:rsidP="00AC2131">
                  <w:pPr>
                    <w:pStyle w:val="TableBodyText"/>
                    <w:spacing w:after="0"/>
                    <w:ind w:left="0" w:right="57"/>
                  </w:pPr>
                  <w:r>
                    <w:t>4.7</w:t>
                  </w:r>
                </w:p>
              </w:tc>
            </w:tr>
            <w:tr w:rsidR="00AC2131" w:rsidTr="00AC2131">
              <w:trPr>
                <w:gridAfter w:val="4"/>
                <w:wAfter w:w="1356" w:type="pct"/>
              </w:trPr>
              <w:tc>
                <w:tcPr>
                  <w:tcW w:w="1600" w:type="pct"/>
                  <w:tcBorders>
                    <w:bottom w:val="single" w:sz="6" w:space="0" w:color="BFBFBF"/>
                  </w:tcBorders>
                  <w:shd w:val="clear" w:color="auto" w:fill="auto"/>
                  <w:vAlign w:val="bottom"/>
                </w:tcPr>
                <w:p w:rsidR="00AC2131" w:rsidRPr="00A53AB0" w:rsidRDefault="00AC2131" w:rsidP="00AC2131">
                  <w:pPr>
                    <w:ind w:left="227"/>
                    <w:rPr>
                      <w:rFonts w:ascii="Arial" w:hAnsi="Arial" w:cs="Arial"/>
                      <w:color w:val="000000"/>
                      <w:sz w:val="18"/>
                      <w:szCs w:val="18"/>
                    </w:rPr>
                  </w:pPr>
                  <w:r w:rsidRPr="00A53AB0">
                    <w:rPr>
                      <w:rFonts w:ascii="Arial" w:hAnsi="Arial" w:cs="Arial"/>
                      <w:color w:val="000000"/>
                      <w:sz w:val="18"/>
                      <w:szCs w:val="18"/>
                    </w:rPr>
                    <w:t xml:space="preserve">R&amp;D tax offsets </w:t>
                  </w:r>
                  <w:r>
                    <w:rPr>
                      <w:rFonts w:ascii="Arial" w:hAnsi="Arial" w:cs="Arial"/>
                      <w:color w:val="000000"/>
                      <w:sz w:val="18"/>
                      <w:szCs w:val="18"/>
                    </w:rPr>
                    <w:t>–</w:t>
                  </w:r>
                  <w:r w:rsidRPr="00A53AB0">
                    <w:rPr>
                      <w:rFonts w:ascii="Arial" w:hAnsi="Arial" w:cs="Arial"/>
                      <w:color w:val="000000"/>
                      <w:sz w:val="18"/>
                      <w:szCs w:val="18"/>
                    </w:rPr>
                    <w:t xml:space="preserve"> Refundable</w:t>
                  </w:r>
                </w:p>
              </w:tc>
              <w:tc>
                <w:tcPr>
                  <w:tcW w:w="341" w:type="pct"/>
                  <w:tcBorders>
                    <w:bottom w:val="single" w:sz="6" w:space="0" w:color="BFBFBF"/>
                  </w:tcBorders>
                  <w:vAlign w:val="bottom"/>
                </w:tcPr>
                <w:p w:rsidR="00AC2131" w:rsidRDefault="00AC2131" w:rsidP="00AC2131">
                  <w:pPr>
                    <w:pStyle w:val="TableBodyText"/>
                    <w:spacing w:after="0"/>
                    <w:ind w:left="0" w:right="57"/>
                  </w:pPr>
                  <w:r>
                    <w:t>4.0</w:t>
                  </w:r>
                </w:p>
              </w:tc>
              <w:tc>
                <w:tcPr>
                  <w:tcW w:w="341" w:type="pct"/>
                  <w:tcBorders>
                    <w:bottom w:val="single" w:sz="6" w:space="0" w:color="BFBFBF"/>
                  </w:tcBorders>
                  <w:vAlign w:val="bottom"/>
                </w:tcPr>
                <w:p w:rsidR="00AC2131" w:rsidRDefault="00AC2131" w:rsidP="00AC2131">
                  <w:pPr>
                    <w:pStyle w:val="TableBodyText"/>
                    <w:spacing w:after="0"/>
                    <w:ind w:left="0" w:right="57"/>
                  </w:pPr>
                  <w:r>
                    <w:t>4.4</w:t>
                  </w:r>
                </w:p>
              </w:tc>
              <w:tc>
                <w:tcPr>
                  <w:tcW w:w="341" w:type="pct"/>
                  <w:tcBorders>
                    <w:bottom w:val="single" w:sz="6" w:space="0" w:color="BFBFBF"/>
                  </w:tcBorders>
                  <w:vAlign w:val="bottom"/>
                </w:tcPr>
                <w:p w:rsidR="00AC2131" w:rsidRDefault="00AC2131" w:rsidP="00AC2131">
                  <w:pPr>
                    <w:pStyle w:val="TableBodyText"/>
                    <w:spacing w:after="0"/>
                    <w:ind w:left="0" w:right="57"/>
                  </w:pPr>
                  <w:r>
                    <w:t>3.0</w:t>
                  </w:r>
                </w:p>
              </w:tc>
              <w:tc>
                <w:tcPr>
                  <w:tcW w:w="341" w:type="pct"/>
                  <w:tcBorders>
                    <w:bottom w:val="single" w:sz="6" w:space="0" w:color="BFBFBF"/>
                  </w:tcBorders>
                  <w:vAlign w:val="bottom"/>
                </w:tcPr>
                <w:p w:rsidR="00AC2131" w:rsidRDefault="00AC2131" w:rsidP="00AC2131">
                  <w:pPr>
                    <w:pStyle w:val="TableBodyText"/>
                    <w:spacing w:after="0"/>
                    <w:ind w:left="0" w:right="57"/>
                  </w:pPr>
                  <w:r>
                    <w:t>3.4</w:t>
                  </w:r>
                </w:p>
              </w:tc>
              <w:tc>
                <w:tcPr>
                  <w:tcW w:w="341"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339"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jc w:val="right"/>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87"/>
      </w:tblGrid>
      <w:tr w:rsidR="00AC2131" w:rsidTr="00AC2131">
        <w:tc>
          <w:tcPr>
            <w:tcW w:w="878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A.10</w:t>
            </w:r>
            <w:r>
              <w:tab/>
            </w:r>
            <w:r w:rsidRPr="006B64DF">
              <w:rPr>
                <w:b w:val="0"/>
                <w:sz w:val="18"/>
                <w:szCs w:val="18"/>
              </w:rPr>
              <w:t>(continued)</w:t>
            </w:r>
          </w:p>
        </w:tc>
      </w:tr>
      <w:tr w:rsidR="00AC2131" w:rsidTr="00AC2131">
        <w:trPr>
          <w:cantSplit/>
        </w:trPr>
        <w:tc>
          <w:tcPr>
            <w:tcW w:w="8787" w:type="dxa"/>
            <w:tcBorders>
              <w:top w:val="nil"/>
              <w:left w:val="nil"/>
              <w:bottom w:val="nil"/>
              <w:right w:val="nil"/>
            </w:tcBorders>
            <w:shd w:val="clear" w:color="auto" w:fill="auto"/>
          </w:tcPr>
          <w:tbl>
            <w:tblPr>
              <w:tblW w:w="8509" w:type="dxa"/>
              <w:tblLayout w:type="fixed"/>
              <w:tblCellMar>
                <w:top w:w="28" w:type="dxa"/>
                <w:left w:w="0" w:type="dxa"/>
                <w:right w:w="0" w:type="dxa"/>
              </w:tblCellMar>
              <w:tblLook w:val="0000" w:firstRow="0" w:lastRow="0" w:firstColumn="0" w:lastColumn="0" w:noHBand="0" w:noVBand="0"/>
            </w:tblPr>
            <w:tblGrid>
              <w:gridCol w:w="3743"/>
              <w:gridCol w:w="794"/>
              <w:gridCol w:w="794"/>
              <w:gridCol w:w="794"/>
              <w:gridCol w:w="796"/>
              <w:gridCol w:w="796"/>
              <w:gridCol w:w="792"/>
            </w:tblGrid>
            <w:tr w:rsidR="00AC2131" w:rsidTr="00AC2131">
              <w:tc>
                <w:tcPr>
                  <w:tcW w:w="3743" w:type="dxa"/>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794" w:type="dxa"/>
                  <w:tcBorders>
                    <w:top w:val="single" w:sz="6" w:space="0" w:color="BFBFBF"/>
                    <w:bottom w:val="single" w:sz="6" w:space="0" w:color="BFBFBF"/>
                  </w:tcBorders>
                </w:tcPr>
                <w:p w:rsidR="00AC2131" w:rsidRDefault="00AC2131" w:rsidP="00AC2131">
                  <w:pPr>
                    <w:pStyle w:val="TableColumnHeading"/>
                    <w:ind w:left="0" w:right="57"/>
                  </w:pPr>
                  <w:r>
                    <w:t>2008</w:t>
                  </w:r>
                  <w:r>
                    <w:noBreakHyphen/>
                    <w:t>09</w:t>
                  </w:r>
                </w:p>
              </w:tc>
              <w:tc>
                <w:tcPr>
                  <w:tcW w:w="794" w:type="dxa"/>
                  <w:tcBorders>
                    <w:top w:val="single" w:sz="6" w:space="0" w:color="BFBFBF"/>
                    <w:bottom w:val="single" w:sz="6" w:space="0" w:color="BFBFBF"/>
                  </w:tcBorders>
                </w:tcPr>
                <w:p w:rsidR="00AC2131" w:rsidRDefault="00AC2131" w:rsidP="00AC2131">
                  <w:pPr>
                    <w:pStyle w:val="TableColumnHeading"/>
                    <w:ind w:left="0" w:right="57"/>
                  </w:pPr>
                  <w:r>
                    <w:t>2009-10</w:t>
                  </w:r>
                </w:p>
              </w:tc>
              <w:tc>
                <w:tcPr>
                  <w:tcW w:w="794" w:type="dxa"/>
                  <w:tcBorders>
                    <w:top w:val="single" w:sz="6" w:space="0" w:color="BFBFBF"/>
                    <w:bottom w:val="single" w:sz="6" w:space="0" w:color="BFBFBF"/>
                  </w:tcBorders>
                </w:tcPr>
                <w:p w:rsidR="00AC2131" w:rsidRDefault="00AC2131" w:rsidP="00AC2131">
                  <w:pPr>
                    <w:pStyle w:val="TableColumnHeading"/>
                    <w:ind w:left="0" w:right="57"/>
                  </w:pPr>
                  <w:r>
                    <w:t>2010-11</w:t>
                  </w:r>
                </w:p>
              </w:tc>
              <w:tc>
                <w:tcPr>
                  <w:tcW w:w="796" w:type="dxa"/>
                  <w:tcBorders>
                    <w:top w:val="single" w:sz="6" w:space="0" w:color="BFBFBF"/>
                    <w:bottom w:val="single" w:sz="6" w:space="0" w:color="BFBFBF"/>
                  </w:tcBorders>
                </w:tcPr>
                <w:p w:rsidR="00AC2131" w:rsidRDefault="00AC2131" w:rsidP="00AC2131">
                  <w:pPr>
                    <w:pStyle w:val="TableColumnHeading"/>
                    <w:ind w:left="0" w:right="57"/>
                  </w:pPr>
                  <w:r>
                    <w:t>2011-12</w:t>
                  </w:r>
                </w:p>
              </w:tc>
              <w:tc>
                <w:tcPr>
                  <w:tcW w:w="796" w:type="dxa"/>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792" w:type="dxa"/>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3743" w:type="dxa"/>
                  <w:tcBorders>
                    <w:top w:val="single" w:sz="6" w:space="0" w:color="BFBFBF"/>
                  </w:tcBorders>
                  <w:vAlign w:val="center"/>
                </w:tcPr>
                <w:p w:rsidR="00AC2131" w:rsidRPr="007D3A41" w:rsidRDefault="00AC2131" w:rsidP="00AC2131">
                  <w:pPr>
                    <w:pStyle w:val="TableUnitsRow"/>
                    <w:spacing w:after="0"/>
                    <w:ind w:left="113" w:right="0"/>
                    <w:jc w:val="left"/>
                    <w:rPr>
                      <w:i/>
                    </w:rPr>
                  </w:pPr>
                  <w:r w:rsidRPr="007D3A41">
                    <w:rPr>
                      <w:i/>
                    </w:rPr>
                    <w:t>Other measures</w:t>
                  </w:r>
                </w:p>
              </w:tc>
              <w:tc>
                <w:tcPr>
                  <w:tcW w:w="794" w:type="dxa"/>
                  <w:tcBorders>
                    <w:top w:val="single" w:sz="6" w:space="0" w:color="BFBFBF"/>
                  </w:tcBorders>
                </w:tcPr>
                <w:p w:rsidR="00AC2131" w:rsidRDefault="00AC2131" w:rsidP="00AC2131">
                  <w:pPr>
                    <w:pStyle w:val="TableUnitsRow"/>
                    <w:spacing w:after="0"/>
                    <w:ind w:left="113" w:right="0"/>
                  </w:pPr>
                </w:p>
              </w:tc>
              <w:tc>
                <w:tcPr>
                  <w:tcW w:w="794" w:type="dxa"/>
                  <w:tcBorders>
                    <w:top w:val="single" w:sz="6" w:space="0" w:color="BFBFBF"/>
                  </w:tcBorders>
                </w:tcPr>
                <w:p w:rsidR="00AC2131" w:rsidRDefault="00AC2131" w:rsidP="00AC2131">
                  <w:pPr>
                    <w:pStyle w:val="TableUnitsRow"/>
                    <w:spacing w:after="0"/>
                    <w:ind w:left="113" w:right="0"/>
                  </w:pPr>
                </w:p>
              </w:tc>
              <w:tc>
                <w:tcPr>
                  <w:tcW w:w="794" w:type="dxa"/>
                  <w:tcBorders>
                    <w:top w:val="single" w:sz="6" w:space="0" w:color="BFBFBF"/>
                  </w:tcBorders>
                </w:tcPr>
                <w:p w:rsidR="00AC2131" w:rsidRDefault="00AC2131" w:rsidP="00AC2131">
                  <w:pPr>
                    <w:pStyle w:val="TableUnitsRow"/>
                    <w:spacing w:after="0"/>
                    <w:ind w:left="113" w:right="0"/>
                  </w:pPr>
                </w:p>
              </w:tc>
              <w:tc>
                <w:tcPr>
                  <w:tcW w:w="796" w:type="dxa"/>
                  <w:tcBorders>
                    <w:top w:val="single" w:sz="6" w:space="0" w:color="BFBFBF"/>
                  </w:tcBorders>
                </w:tcPr>
                <w:p w:rsidR="00AC2131" w:rsidRDefault="00AC2131" w:rsidP="00AC2131">
                  <w:pPr>
                    <w:pStyle w:val="TableUnitsRow"/>
                    <w:spacing w:after="0"/>
                    <w:ind w:left="113" w:right="0"/>
                  </w:pPr>
                </w:p>
              </w:tc>
              <w:tc>
                <w:tcPr>
                  <w:tcW w:w="796" w:type="dxa"/>
                  <w:tcBorders>
                    <w:top w:val="single" w:sz="6" w:space="0" w:color="BFBFBF"/>
                  </w:tcBorders>
                </w:tcPr>
                <w:p w:rsidR="00AC2131" w:rsidRDefault="00AC2131" w:rsidP="00AC2131">
                  <w:pPr>
                    <w:pStyle w:val="TableUnitsRow"/>
                    <w:spacing w:after="0"/>
                    <w:ind w:left="113" w:right="0"/>
                  </w:pPr>
                </w:p>
              </w:tc>
              <w:tc>
                <w:tcPr>
                  <w:tcW w:w="792" w:type="dxa"/>
                  <w:tcBorders>
                    <w:top w:val="single" w:sz="6" w:space="0" w:color="BFBFBF"/>
                  </w:tcBorders>
                </w:tcPr>
                <w:p w:rsidR="00AC2131" w:rsidRDefault="00AC2131" w:rsidP="00AC2131">
                  <w:pPr>
                    <w:pStyle w:val="TableUnitsRow"/>
                    <w:spacing w:after="0"/>
                    <w:ind w:left="113" w:right="0"/>
                  </w:pPr>
                </w:p>
              </w:tc>
            </w:tr>
            <w:tr w:rsidR="00AC2131" w:rsidTr="00AC2131">
              <w:tc>
                <w:tcPr>
                  <w:tcW w:w="3743" w:type="dxa"/>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25 per cent entrepreneurs' tax offset</w:t>
                  </w:r>
                </w:p>
              </w:tc>
              <w:tc>
                <w:tcPr>
                  <w:tcW w:w="794" w:type="dxa"/>
                  <w:vAlign w:val="bottom"/>
                </w:tcPr>
                <w:p w:rsidR="00AC2131" w:rsidRDefault="00AC2131" w:rsidP="00AC2131">
                  <w:pPr>
                    <w:pStyle w:val="TableBodyText"/>
                    <w:spacing w:after="0"/>
                    <w:ind w:left="0" w:right="57"/>
                  </w:pPr>
                  <w:r>
                    <w:t>0.7</w:t>
                  </w:r>
                </w:p>
              </w:tc>
              <w:tc>
                <w:tcPr>
                  <w:tcW w:w="794" w:type="dxa"/>
                  <w:vAlign w:val="bottom"/>
                </w:tcPr>
                <w:p w:rsidR="00AC2131" w:rsidRDefault="00AC2131" w:rsidP="00AC2131">
                  <w:pPr>
                    <w:pStyle w:val="TableBodyText"/>
                    <w:spacing w:after="0"/>
                    <w:ind w:left="0" w:right="57"/>
                  </w:pPr>
                  <w:r>
                    <w:t>0.6</w:t>
                  </w:r>
                </w:p>
              </w:tc>
              <w:tc>
                <w:tcPr>
                  <w:tcW w:w="794" w:type="dxa"/>
                  <w:vAlign w:val="bottom"/>
                </w:tcPr>
                <w:p w:rsidR="00AC2131" w:rsidRDefault="00AC2131" w:rsidP="00AC2131">
                  <w:pPr>
                    <w:pStyle w:val="TableBodyText"/>
                    <w:spacing w:after="0"/>
                    <w:ind w:left="0" w:right="57"/>
                  </w:pPr>
                  <w:r>
                    <w:t>0.5</w:t>
                  </w:r>
                </w:p>
              </w:tc>
              <w:tc>
                <w:tcPr>
                  <w:tcW w:w="796" w:type="dxa"/>
                  <w:vAlign w:val="bottom"/>
                </w:tcPr>
                <w:p w:rsidR="00AC2131" w:rsidRDefault="00AC2131" w:rsidP="00AC2131">
                  <w:pPr>
                    <w:pStyle w:val="TableBodyText"/>
                    <w:spacing w:after="0"/>
                    <w:ind w:left="0" w:right="57"/>
                  </w:pPr>
                  <w:r>
                    <w:t>0.5</w:t>
                  </w:r>
                </w:p>
              </w:tc>
              <w:tc>
                <w:tcPr>
                  <w:tcW w:w="796" w:type="dxa"/>
                  <w:vAlign w:val="bottom"/>
                </w:tcPr>
                <w:p w:rsidR="00AC2131" w:rsidRDefault="00AC2131" w:rsidP="00AC2131">
                  <w:pPr>
                    <w:pStyle w:val="TableBodyText"/>
                    <w:spacing w:after="0"/>
                    <w:ind w:left="0" w:right="57"/>
                  </w:pPr>
                  <w:r>
                    <w:t>0.5</w:t>
                  </w:r>
                </w:p>
              </w:tc>
              <w:tc>
                <w:tcPr>
                  <w:tcW w:w="792" w:type="dxa"/>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Enterprise Connect Innovation Centres</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0.1</w:t>
                  </w:r>
                </w:p>
              </w:tc>
              <w:tc>
                <w:tcPr>
                  <w:tcW w:w="796" w:type="dxa"/>
                  <w:shd w:val="clear" w:color="auto" w:fill="auto"/>
                  <w:vAlign w:val="bottom"/>
                </w:tcPr>
                <w:p w:rsidR="00AC2131" w:rsidRDefault="00AC2131" w:rsidP="00AC2131">
                  <w:pPr>
                    <w:pStyle w:val="TableBodyText"/>
                    <w:spacing w:after="0"/>
                    <w:ind w:left="0" w:right="57"/>
                  </w:pPr>
                  <w:r>
                    <w:t>&lt;0.1</w:t>
                  </w:r>
                </w:p>
              </w:tc>
              <w:tc>
                <w:tcPr>
                  <w:tcW w:w="792" w:type="dxa"/>
                  <w:shd w:val="clear" w:color="auto" w:fill="auto"/>
                  <w:vAlign w:val="bottom"/>
                </w:tcPr>
                <w:p w:rsidR="00AC2131" w:rsidRDefault="00AC2131" w:rsidP="00AC2131">
                  <w:pPr>
                    <w:pStyle w:val="TableBodyText"/>
                    <w:spacing w:after="0"/>
                    <w:ind w:left="0" w:right="57"/>
                  </w:pPr>
                  <w:r>
                    <w:t>&lt;0.1</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North East Tasmania Innovation and Investment Fund</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0.4</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North West and Northern Tasmania Innovation and Investment Fund</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1.0</w:t>
                  </w:r>
                </w:p>
              </w:tc>
              <w:tc>
                <w:tcPr>
                  <w:tcW w:w="794" w:type="dxa"/>
                  <w:vAlign w:val="bottom"/>
                </w:tcPr>
                <w:p w:rsidR="00AC2131" w:rsidRDefault="00AC2131" w:rsidP="00AC2131">
                  <w:pPr>
                    <w:pStyle w:val="TableBodyText"/>
                    <w:spacing w:after="0"/>
                    <w:ind w:left="0" w:right="57"/>
                  </w:pPr>
                  <w:r>
                    <w:t>1.5</w:t>
                  </w:r>
                </w:p>
              </w:tc>
              <w:tc>
                <w:tcPr>
                  <w:tcW w:w="796" w:type="dxa"/>
                  <w:vAlign w:val="bottom"/>
                </w:tcPr>
                <w:p w:rsidR="00AC2131" w:rsidRDefault="00AC2131" w:rsidP="00AC2131">
                  <w:pPr>
                    <w:pStyle w:val="TableBodyText"/>
                    <w:spacing w:after="0"/>
                    <w:ind w:left="0" w:right="57"/>
                  </w:pPr>
                  <w:r>
                    <w:t>–</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Scottsdale Industry and Community Development Fund</w:t>
                  </w:r>
                </w:p>
              </w:tc>
              <w:tc>
                <w:tcPr>
                  <w:tcW w:w="794" w:type="dxa"/>
                  <w:vAlign w:val="bottom"/>
                </w:tcPr>
                <w:p w:rsidR="00AC2131" w:rsidRDefault="00AC2131" w:rsidP="00AC2131">
                  <w:pPr>
                    <w:pStyle w:val="TableBodyText"/>
                    <w:spacing w:after="0"/>
                    <w:ind w:left="0" w:right="57"/>
                  </w:pPr>
                  <w:r>
                    <w:t>0.5</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794" w:type="dxa"/>
                  <w:vAlign w:val="bottom"/>
                </w:tcPr>
                <w:p w:rsidR="00AC2131" w:rsidRDefault="00AC2131" w:rsidP="00AC2131">
                  <w:pPr>
                    <w:pStyle w:val="TableBodyText"/>
                    <w:spacing w:after="0"/>
                    <w:ind w:left="0" w:right="57"/>
                  </w:pPr>
                  <w:r>
                    <w:t>0.8</w:t>
                  </w:r>
                </w:p>
              </w:tc>
              <w:tc>
                <w:tcPr>
                  <w:tcW w:w="794" w:type="dxa"/>
                  <w:vAlign w:val="bottom"/>
                </w:tcPr>
                <w:p w:rsidR="00AC2131" w:rsidRDefault="00AC2131" w:rsidP="00AC2131">
                  <w:pPr>
                    <w:pStyle w:val="TableBodyText"/>
                    <w:spacing w:after="0"/>
                    <w:ind w:left="0" w:right="57"/>
                  </w:pPr>
                  <w:r>
                    <w:t>1.1</w:t>
                  </w:r>
                </w:p>
              </w:tc>
              <w:tc>
                <w:tcPr>
                  <w:tcW w:w="794" w:type="dxa"/>
                  <w:vAlign w:val="bottom"/>
                </w:tcPr>
                <w:p w:rsidR="00AC2131" w:rsidRDefault="00AC2131" w:rsidP="00AC2131">
                  <w:pPr>
                    <w:pStyle w:val="TableBodyText"/>
                    <w:spacing w:after="0"/>
                    <w:ind w:left="0" w:right="57"/>
                  </w:pPr>
                  <w:r>
                    <w:t>1.7</w:t>
                  </w:r>
                </w:p>
              </w:tc>
              <w:tc>
                <w:tcPr>
                  <w:tcW w:w="796" w:type="dxa"/>
                  <w:vAlign w:val="bottom"/>
                </w:tcPr>
                <w:p w:rsidR="00AC2131" w:rsidRDefault="00AC2131" w:rsidP="00AC2131">
                  <w:pPr>
                    <w:pStyle w:val="TableBodyText"/>
                    <w:spacing w:after="0"/>
                    <w:ind w:left="0" w:right="57"/>
                  </w:pPr>
                  <w:r>
                    <w:t>0.1</w:t>
                  </w:r>
                </w:p>
              </w:tc>
              <w:tc>
                <w:tcPr>
                  <w:tcW w:w="796" w:type="dxa"/>
                  <w:shd w:val="clear" w:color="auto" w:fill="auto"/>
                  <w:vAlign w:val="bottom"/>
                </w:tcPr>
                <w:p w:rsidR="00AC2131" w:rsidRDefault="00AC2131" w:rsidP="00AC2131">
                  <w:pPr>
                    <w:pStyle w:val="TableBodyText"/>
                    <w:spacing w:after="0"/>
                    <w:ind w:left="0" w:right="57"/>
                  </w:pPr>
                  <w:r>
                    <w:t>-0.5</w:t>
                  </w:r>
                </w:p>
              </w:tc>
              <w:tc>
                <w:tcPr>
                  <w:tcW w:w="792" w:type="dxa"/>
                  <w:shd w:val="clear" w:color="auto" w:fill="auto"/>
                  <w:vAlign w:val="bottom"/>
                </w:tcPr>
                <w:p w:rsidR="00AC2131" w:rsidRDefault="00AC2131" w:rsidP="00AC2131">
                  <w:pPr>
                    <w:pStyle w:val="TableBodyText"/>
                    <w:spacing w:after="0"/>
                    <w:ind w:left="0" w:right="57"/>
                  </w:pPr>
                  <w:r>
                    <w:t>19.0</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 xml:space="preserve">Small business </w:t>
                  </w:r>
                  <w:r>
                    <w:rPr>
                      <w:rFonts w:ascii="Arial" w:hAnsi="Arial" w:cs="Arial"/>
                      <w:color w:val="000000"/>
                      <w:sz w:val="18"/>
                      <w:szCs w:val="18"/>
                    </w:rPr>
                    <w:t xml:space="preserve">capital gain tax </w:t>
                  </w:r>
                  <w:r w:rsidRPr="005C642D">
                    <w:rPr>
                      <w:rFonts w:ascii="Arial" w:hAnsi="Arial" w:cs="Arial"/>
                      <w:color w:val="000000"/>
                      <w:sz w:val="18"/>
                      <w:szCs w:val="18"/>
                    </w:rPr>
                    <w:t>asset exemption</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1.8</w:t>
                  </w:r>
                </w:p>
              </w:tc>
              <w:tc>
                <w:tcPr>
                  <w:tcW w:w="794" w:type="dxa"/>
                  <w:vAlign w:val="bottom"/>
                </w:tcPr>
                <w:p w:rsidR="00AC2131" w:rsidRDefault="00AC2131" w:rsidP="00AC2131">
                  <w:pPr>
                    <w:pStyle w:val="TableBodyText"/>
                    <w:spacing w:after="0"/>
                    <w:ind w:left="0" w:right="57"/>
                  </w:pPr>
                  <w:r>
                    <w:t>0.6</w:t>
                  </w:r>
                </w:p>
              </w:tc>
              <w:tc>
                <w:tcPr>
                  <w:tcW w:w="796" w:type="dxa"/>
                  <w:vAlign w:val="bottom"/>
                </w:tcPr>
                <w:p w:rsidR="00AC2131" w:rsidRDefault="00AC2131" w:rsidP="00AC2131">
                  <w:pPr>
                    <w:pStyle w:val="TableBodyText"/>
                    <w:spacing w:after="0"/>
                    <w:ind w:left="0" w:right="57"/>
                  </w:pPr>
                  <w:r>
                    <w:t>2.1</w:t>
                  </w:r>
                </w:p>
              </w:tc>
              <w:tc>
                <w:tcPr>
                  <w:tcW w:w="796" w:type="dxa"/>
                  <w:shd w:val="clear" w:color="auto" w:fill="auto"/>
                  <w:vAlign w:val="bottom"/>
                </w:tcPr>
                <w:p w:rsidR="00AC2131" w:rsidRDefault="00AC2131" w:rsidP="00AC2131">
                  <w:pPr>
                    <w:pStyle w:val="TableBodyText"/>
                    <w:spacing w:after="0"/>
                    <w:ind w:left="0" w:right="57"/>
                  </w:pPr>
                  <w:r>
                    <w:t>2.2</w:t>
                  </w:r>
                </w:p>
              </w:tc>
              <w:tc>
                <w:tcPr>
                  <w:tcW w:w="792" w:type="dxa"/>
                  <w:shd w:val="clear" w:color="auto" w:fill="auto"/>
                  <w:vAlign w:val="bottom"/>
                </w:tcPr>
                <w:p w:rsidR="00AC2131" w:rsidRDefault="00AC2131" w:rsidP="00AC2131">
                  <w:pPr>
                    <w:pStyle w:val="TableBodyText"/>
                    <w:spacing w:after="0"/>
                    <w:ind w:left="0" w:right="57"/>
                  </w:pPr>
                  <w:r>
                    <w:t>2.6</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 xml:space="preserve">Small business </w:t>
                  </w:r>
                  <w:r>
                    <w:rPr>
                      <w:rFonts w:ascii="Arial" w:hAnsi="Arial" w:cs="Arial"/>
                      <w:color w:val="000000"/>
                      <w:sz w:val="18"/>
                      <w:szCs w:val="18"/>
                    </w:rPr>
                    <w:t>capital gain tax</w:t>
                  </w:r>
                  <w:r w:rsidRPr="005C642D">
                    <w:rPr>
                      <w:rFonts w:ascii="Arial" w:hAnsi="Arial" w:cs="Arial"/>
                      <w:color w:val="000000"/>
                      <w:sz w:val="18"/>
                      <w:szCs w:val="18"/>
                    </w:rPr>
                    <w:t xml:space="preserve"> 50 per cent reduction</w:t>
                  </w:r>
                </w:p>
              </w:tc>
              <w:tc>
                <w:tcPr>
                  <w:tcW w:w="794" w:type="dxa"/>
                  <w:vAlign w:val="bottom"/>
                </w:tcPr>
                <w:p w:rsidR="00AC2131" w:rsidRDefault="00AC2131" w:rsidP="00AC2131">
                  <w:pPr>
                    <w:pStyle w:val="TableBodyText"/>
                    <w:spacing w:after="0"/>
                    <w:ind w:left="0" w:right="57"/>
                  </w:pPr>
                  <w:r>
                    <w:t>9.1</w:t>
                  </w:r>
                </w:p>
              </w:tc>
              <w:tc>
                <w:tcPr>
                  <w:tcW w:w="794" w:type="dxa"/>
                  <w:vAlign w:val="bottom"/>
                </w:tcPr>
                <w:p w:rsidR="00AC2131" w:rsidRDefault="00AC2131" w:rsidP="00AC2131">
                  <w:pPr>
                    <w:pStyle w:val="TableBodyText"/>
                    <w:spacing w:after="0"/>
                    <w:ind w:left="0" w:right="57"/>
                  </w:pPr>
                  <w:r>
                    <w:t>7.5</w:t>
                  </w:r>
                </w:p>
              </w:tc>
              <w:tc>
                <w:tcPr>
                  <w:tcW w:w="794" w:type="dxa"/>
                  <w:vAlign w:val="bottom"/>
                </w:tcPr>
                <w:p w:rsidR="00AC2131" w:rsidRDefault="00AC2131" w:rsidP="00AC2131">
                  <w:pPr>
                    <w:pStyle w:val="TableBodyText"/>
                    <w:spacing w:after="0"/>
                    <w:ind w:left="0" w:right="57"/>
                  </w:pPr>
                  <w:r>
                    <w:t>3.6</w:t>
                  </w:r>
                </w:p>
              </w:tc>
              <w:tc>
                <w:tcPr>
                  <w:tcW w:w="796" w:type="dxa"/>
                  <w:vAlign w:val="bottom"/>
                </w:tcPr>
                <w:p w:rsidR="00AC2131" w:rsidRDefault="00AC2131" w:rsidP="00AC2131">
                  <w:pPr>
                    <w:pStyle w:val="TableBodyText"/>
                    <w:spacing w:after="0"/>
                    <w:ind w:left="0" w:right="57"/>
                  </w:pPr>
                  <w:r>
                    <w:t>3.2</w:t>
                  </w:r>
                </w:p>
              </w:tc>
              <w:tc>
                <w:tcPr>
                  <w:tcW w:w="796" w:type="dxa"/>
                  <w:shd w:val="clear" w:color="auto" w:fill="auto"/>
                  <w:vAlign w:val="bottom"/>
                </w:tcPr>
                <w:p w:rsidR="00AC2131" w:rsidRDefault="00AC2131" w:rsidP="00AC2131">
                  <w:pPr>
                    <w:pStyle w:val="TableBodyText"/>
                    <w:spacing w:after="0"/>
                    <w:ind w:left="0" w:right="57"/>
                  </w:pPr>
                  <w:r>
                    <w:t>3.3</w:t>
                  </w:r>
                </w:p>
              </w:tc>
              <w:tc>
                <w:tcPr>
                  <w:tcW w:w="792" w:type="dxa"/>
                  <w:shd w:val="clear" w:color="auto" w:fill="auto"/>
                  <w:vAlign w:val="bottom"/>
                </w:tcPr>
                <w:p w:rsidR="00AC2131" w:rsidRDefault="00AC2131" w:rsidP="00AC2131">
                  <w:pPr>
                    <w:pStyle w:val="TableBodyText"/>
                    <w:spacing w:after="0"/>
                    <w:ind w:left="0" w:right="57"/>
                  </w:pPr>
                  <w:r>
                    <w:t>3.5</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 xml:space="preserve">Small business </w:t>
                  </w:r>
                  <w:r>
                    <w:rPr>
                      <w:rFonts w:ascii="Arial" w:hAnsi="Arial" w:cs="Arial"/>
                      <w:color w:val="000000"/>
                      <w:sz w:val="18"/>
                      <w:szCs w:val="18"/>
                    </w:rPr>
                    <w:t>capital gain tax</w:t>
                  </w:r>
                  <w:r w:rsidRPr="005C642D">
                    <w:rPr>
                      <w:rFonts w:ascii="Arial" w:hAnsi="Arial" w:cs="Arial"/>
                      <w:color w:val="000000"/>
                      <w:sz w:val="18"/>
                      <w:szCs w:val="18"/>
                    </w:rPr>
                    <w:t xml:space="preserve"> retirement exemption</w:t>
                  </w:r>
                </w:p>
              </w:tc>
              <w:tc>
                <w:tcPr>
                  <w:tcW w:w="794" w:type="dxa"/>
                  <w:vAlign w:val="bottom"/>
                </w:tcPr>
                <w:p w:rsidR="00AC2131" w:rsidRDefault="00AC2131" w:rsidP="00AC2131">
                  <w:pPr>
                    <w:pStyle w:val="TableBodyText"/>
                    <w:spacing w:after="0"/>
                    <w:ind w:left="0" w:right="57"/>
                  </w:pPr>
                  <w:r>
                    <w:t>6.0</w:t>
                  </w:r>
                </w:p>
              </w:tc>
              <w:tc>
                <w:tcPr>
                  <w:tcW w:w="794" w:type="dxa"/>
                  <w:vAlign w:val="bottom"/>
                </w:tcPr>
                <w:p w:rsidR="00AC2131" w:rsidRDefault="00AC2131" w:rsidP="00AC2131">
                  <w:pPr>
                    <w:pStyle w:val="TableBodyText"/>
                    <w:spacing w:after="0"/>
                    <w:ind w:left="0" w:right="57"/>
                  </w:pPr>
                  <w:r>
                    <w:t>4.1</w:t>
                  </w:r>
                </w:p>
              </w:tc>
              <w:tc>
                <w:tcPr>
                  <w:tcW w:w="794" w:type="dxa"/>
                  <w:vAlign w:val="bottom"/>
                </w:tcPr>
                <w:p w:rsidR="00AC2131" w:rsidRDefault="00AC2131" w:rsidP="00AC2131">
                  <w:pPr>
                    <w:pStyle w:val="TableBodyText"/>
                    <w:spacing w:after="0"/>
                    <w:ind w:left="0" w:right="57"/>
                  </w:pPr>
                  <w:r>
                    <w:t>2.6</w:t>
                  </w:r>
                </w:p>
              </w:tc>
              <w:tc>
                <w:tcPr>
                  <w:tcW w:w="796" w:type="dxa"/>
                  <w:vAlign w:val="bottom"/>
                </w:tcPr>
                <w:p w:rsidR="00AC2131" w:rsidRDefault="00AC2131" w:rsidP="00AC2131">
                  <w:pPr>
                    <w:pStyle w:val="TableBodyText"/>
                    <w:spacing w:after="0"/>
                    <w:ind w:left="0" w:right="57"/>
                  </w:pPr>
                  <w:r>
                    <w:t>2.2</w:t>
                  </w:r>
                </w:p>
              </w:tc>
              <w:tc>
                <w:tcPr>
                  <w:tcW w:w="796" w:type="dxa"/>
                  <w:shd w:val="clear" w:color="auto" w:fill="auto"/>
                  <w:vAlign w:val="bottom"/>
                </w:tcPr>
                <w:p w:rsidR="00AC2131" w:rsidRDefault="00AC2131" w:rsidP="00AC2131">
                  <w:pPr>
                    <w:pStyle w:val="TableBodyText"/>
                    <w:spacing w:after="0"/>
                    <w:ind w:left="0" w:right="57"/>
                  </w:pPr>
                  <w:r>
                    <w:t>2.2</w:t>
                  </w:r>
                </w:p>
              </w:tc>
              <w:tc>
                <w:tcPr>
                  <w:tcW w:w="792" w:type="dxa"/>
                  <w:shd w:val="clear" w:color="auto" w:fill="auto"/>
                  <w:vAlign w:val="bottom"/>
                </w:tcPr>
                <w:p w:rsidR="00AC2131" w:rsidRDefault="00AC2131" w:rsidP="00AC2131">
                  <w:pPr>
                    <w:pStyle w:val="TableBodyText"/>
                    <w:spacing w:after="0"/>
                    <w:ind w:left="0" w:right="57"/>
                  </w:pPr>
                  <w:r>
                    <w:t>2.3</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 xml:space="preserve">Small business </w:t>
                  </w:r>
                  <w:r>
                    <w:rPr>
                      <w:rFonts w:ascii="Arial" w:hAnsi="Arial" w:cs="Arial"/>
                      <w:color w:val="000000"/>
                      <w:sz w:val="18"/>
                      <w:szCs w:val="18"/>
                    </w:rPr>
                    <w:t>capital gain tax</w:t>
                  </w:r>
                  <w:r w:rsidRPr="005C642D">
                    <w:rPr>
                      <w:rFonts w:ascii="Arial" w:hAnsi="Arial" w:cs="Arial"/>
                      <w:color w:val="000000"/>
                      <w:sz w:val="18"/>
                      <w:szCs w:val="18"/>
                    </w:rPr>
                    <w:t xml:space="preserve"> rollover deferral</w:t>
                  </w:r>
                </w:p>
              </w:tc>
              <w:tc>
                <w:tcPr>
                  <w:tcW w:w="794" w:type="dxa"/>
                  <w:vAlign w:val="bottom"/>
                </w:tcPr>
                <w:p w:rsidR="00AC2131" w:rsidRDefault="00AC2131" w:rsidP="00AC2131">
                  <w:pPr>
                    <w:pStyle w:val="TableBodyText"/>
                    <w:spacing w:after="0"/>
                    <w:ind w:left="0" w:right="57"/>
                  </w:pPr>
                  <w:r>
                    <w:t>1.7</w:t>
                  </w:r>
                </w:p>
              </w:tc>
              <w:tc>
                <w:tcPr>
                  <w:tcW w:w="794" w:type="dxa"/>
                  <w:vAlign w:val="bottom"/>
                </w:tcPr>
                <w:p w:rsidR="00AC2131" w:rsidRDefault="00AC2131" w:rsidP="00AC2131">
                  <w:pPr>
                    <w:pStyle w:val="TableBodyText"/>
                    <w:spacing w:after="0"/>
                    <w:ind w:left="0" w:right="57"/>
                  </w:pPr>
                  <w:r>
                    <w:t>1.2</w:t>
                  </w:r>
                </w:p>
              </w:tc>
              <w:tc>
                <w:tcPr>
                  <w:tcW w:w="794" w:type="dxa"/>
                  <w:vAlign w:val="bottom"/>
                </w:tcPr>
                <w:p w:rsidR="00AC2131" w:rsidRDefault="00AC2131" w:rsidP="00AC2131">
                  <w:pPr>
                    <w:pStyle w:val="TableBodyText"/>
                    <w:spacing w:after="0"/>
                    <w:ind w:left="0" w:right="57"/>
                  </w:pPr>
                  <w:r>
                    <w:t>0.7</w:t>
                  </w:r>
                </w:p>
              </w:tc>
              <w:tc>
                <w:tcPr>
                  <w:tcW w:w="796" w:type="dxa"/>
                  <w:vAlign w:val="bottom"/>
                </w:tcPr>
                <w:p w:rsidR="00AC2131" w:rsidRDefault="00AC2131" w:rsidP="00AC2131">
                  <w:pPr>
                    <w:pStyle w:val="TableBodyText"/>
                    <w:spacing w:after="0"/>
                    <w:ind w:left="0" w:right="57"/>
                  </w:pPr>
                  <w:r>
                    <w:t>0.5</w:t>
                  </w:r>
                </w:p>
              </w:tc>
              <w:tc>
                <w:tcPr>
                  <w:tcW w:w="796" w:type="dxa"/>
                  <w:shd w:val="clear" w:color="auto" w:fill="auto"/>
                  <w:vAlign w:val="bottom"/>
                </w:tcPr>
                <w:p w:rsidR="00AC2131" w:rsidRDefault="00AC2131" w:rsidP="00AC2131">
                  <w:pPr>
                    <w:pStyle w:val="TableBodyText"/>
                    <w:spacing w:after="0"/>
                    <w:ind w:left="0" w:right="57"/>
                  </w:pPr>
                  <w:r>
                    <w:t>0.6</w:t>
                  </w:r>
                </w:p>
              </w:tc>
              <w:tc>
                <w:tcPr>
                  <w:tcW w:w="792" w:type="dxa"/>
                  <w:shd w:val="clear" w:color="auto" w:fill="auto"/>
                  <w:vAlign w:val="bottom"/>
                </w:tcPr>
                <w:p w:rsidR="00AC2131" w:rsidRDefault="00AC2131" w:rsidP="00AC2131">
                  <w:pPr>
                    <w:pStyle w:val="TableBodyText"/>
                    <w:spacing w:after="0"/>
                    <w:ind w:left="0" w:right="57"/>
                  </w:pPr>
                  <w:r>
                    <w:t>0.7</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South East South Australia Innovation and Investment Fund</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0.5</w:t>
                  </w:r>
                </w:p>
              </w:tc>
              <w:tc>
                <w:tcPr>
                  <w:tcW w:w="796" w:type="dxa"/>
                  <w:shd w:val="clear" w:color="auto" w:fill="auto"/>
                  <w:vAlign w:val="bottom"/>
                </w:tcPr>
                <w:p w:rsidR="00AC2131" w:rsidRDefault="00AC2131" w:rsidP="00AC2131">
                  <w:pPr>
                    <w:pStyle w:val="TableBodyText"/>
                    <w:spacing w:after="0"/>
                    <w:ind w:left="0" w:right="57"/>
                  </w:pPr>
                  <w:r>
                    <w:t>0.9</w:t>
                  </w:r>
                </w:p>
              </w:tc>
              <w:tc>
                <w:tcPr>
                  <w:tcW w:w="792" w:type="dxa"/>
                  <w:shd w:val="clear" w:color="auto" w:fill="auto"/>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Tasmanian Innovation and Investment Fund</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0.4</w:t>
                  </w:r>
                </w:p>
              </w:tc>
              <w:tc>
                <w:tcPr>
                  <w:tcW w:w="796" w:type="dxa"/>
                  <w:shd w:val="clear" w:color="auto" w:fill="auto"/>
                  <w:vAlign w:val="bottom"/>
                </w:tcPr>
                <w:p w:rsidR="00AC2131" w:rsidRDefault="00AC2131" w:rsidP="00AC2131">
                  <w:pPr>
                    <w:pStyle w:val="TableBodyText"/>
                    <w:spacing w:after="0"/>
                    <w:ind w:left="0" w:right="57"/>
                  </w:pPr>
                  <w:r>
                    <w:t>0.3</w:t>
                  </w:r>
                </w:p>
              </w:tc>
              <w:tc>
                <w:tcPr>
                  <w:tcW w:w="792" w:type="dxa"/>
                  <w:shd w:val="clear" w:color="auto" w:fill="auto"/>
                  <w:vAlign w:val="bottom"/>
                </w:tcPr>
                <w:p w:rsidR="00AC2131" w:rsidRDefault="00AC2131" w:rsidP="00AC2131">
                  <w:pPr>
                    <w:pStyle w:val="TableBodyText"/>
                    <w:spacing w:after="0"/>
                    <w:ind w:left="0" w:right="57"/>
                  </w:pPr>
                  <w:r>
                    <w:t>0.1</w:t>
                  </w:r>
                </w:p>
              </w:tc>
            </w:tr>
            <w:tr w:rsidR="00AC2131" w:rsidTr="00AC2131">
              <w:tc>
                <w:tcPr>
                  <w:tcW w:w="3743" w:type="dxa"/>
                  <w:shd w:val="clear" w:color="auto" w:fill="auto"/>
                  <w:vAlign w:val="bottom"/>
                </w:tcPr>
                <w:p w:rsidR="00AC2131" w:rsidRPr="005C642D" w:rsidRDefault="00AC2131" w:rsidP="00AC2131">
                  <w:pPr>
                    <w:ind w:left="227"/>
                    <w:rPr>
                      <w:rFonts w:ascii="Arial" w:hAnsi="Arial" w:cs="Arial"/>
                      <w:color w:val="000000"/>
                      <w:sz w:val="18"/>
                      <w:szCs w:val="18"/>
                    </w:rPr>
                  </w:pPr>
                  <w:r w:rsidRPr="005C642D">
                    <w:rPr>
                      <w:rFonts w:ascii="Arial" w:hAnsi="Arial" w:cs="Arial"/>
                      <w:color w:val="000000"/>
                      <w:sz w:val="18"/>
                      <w:szCs w:val="18"/>
                    </w:rPr>
                    <w:t>Small Business and General Business Tax Break</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18.7</w:t>
                  </w:r>
                </w:p>
              </w:tc>
              <w:tc>
                <w:tcPr>
                  <w:tcW w:w="794" w:type="dxa"/>
                  <w:vAlign w:val="bottom"/>
                </w:tcPr>
                <w:p w:rsidR="00AC2131" w:rsidRDefault="00AC2131" w:rsidP="00AC2131">
                  <w:pPr>
                    <w:pStyle w:val="TableBodyText"/>
                    <w:spacing w:after="0"/>
                    <w:ind w:left="0" w:right="57"/>
                  </w:pPr>
                  <w:r>
                    <w:t>15.3</w:t>
                  </w:r>
                </w:p>
              </w:tc>
              <w:tc>
                <w:tcPr>
                  <w:tcW w:w="796" w:type="dxa"/>
                  <w:vAlign w:val="bottom"/>
                </w:tcPr>
                <w:p w:rsidR="00AC2131" w:rsidRDefault="00AC2131" w:rsidP="00AC2131">
                  <w:pPr>
                    <w:pStyle w:val="TableBodyText"/>
                    <w:spacing w:after="0"/>
                    <w:ind w:left="0" w:right="57"/>
                  </w:pPr>
                  <w:r>
                    <w:t>1.1</w:t>
                  </w:r>
                </w:p>
              </w:tc>
              <w:tc>
                <w:tcPr>
                  <w:tcW w:w="796" w:type="dxa"/>
                  <w:shd w:val="clear" w:color="auto" w:fill="auto"/>
                  <w:vAlign w:val="bottom"/>
                </w:tcPr>
                <w:p w:rsidR="00AC2131" w:rsidRDefault="00AC2131" w:rsidP="00AC2131">
                  <w:pPr>
                    <w:pStyle w:val="TableBodyText"/>
                    <w:spacing w:after="0"/>
                    <w:ind w:left="0" w:right="57"/>
                  </w:pPr>
                  <w:r>
                    <w:t>0.4</w:t>
                  </w:r>
                </w:p>
              </w:tc>
              <w:tc>
                <w:tcPr>
                  <w:tcW w:w="792" w:type="dxa"/>
                  <w:shd w:val="clear" w:color="auto" w:fill="auto"/>
                  <w:vAlign w:val="bottom"/>
                </w:tcPr>
                <w:p w:rsidR="00AC2131" w:rsidRDefault="00AC2131" w:rsidP="00AC2131">
                  <w:pPr>
                    <w:pStyle w:val="TableBodyText"/>
                    <w:spacing w:after="0"/>
                    <w:ind w:left="0" w:right="57"/>
                  </w:pPr>
                  <w:r>
                    <w:t>&lt;0.1</w:t>
                  </w:r>
                </w:p>
              </w:tc>
            </w:tr>
            <w:tr w:rsidR="00AC2131" w:rsidTr="00AC2131">
              <w:tc>
                <w:tcPr>
                  <w:tcW w:w="3743" w:type="dxa"/>
                  <w:shd w:val="clear" w:color="auto" w:fill="auto"/>
                </w:tcPr>
                <w:p w:rsidR="00AC2131" w:rsidRPr="007D3A41" w:rsidRDefault="00AC2131" w:rsidP="00AC2131">
                  <w:pPr>
                    <w:pStyle w:val="TableBodyText"/>
                    <w:spacing w:before="20" w:after="20"/>
                    <w:jc w:val="left"/>
                    <w:rPr>
                      <w:i/>
                    </w:rPr>
                  </w:pPr>
                  <w:r w:rsidRPr="007D3A41">
                    <w:rPr>
                      <w:i/>
                    </w:rPr>
                    <w:t>Total</w:t>
                  </w:r>
                </w:p>
              </w:tc>
              <w:tc>
                <w:tcPr>
                  <w:tcW w:w="794" w:type="dxa"/>
                  <w:vAlign w:val="bottom"/>
                </w:tcPr>
                <w:p w:rsidR="00AC2131" w:rsidRPr="00C56209" w:rsidRDefault="00AC2131" w:rsidP="00AC2131">
                  <w:pPr>
                    <w:spacing w:before="20" w:after="20"/>
                    <w:jc w:val="right"/>
                    <w:rPr>
                      <w:rFonts w:ascii="Arial" w:hAnsi="Arial" w:cs="Arial"/>
                      <w:i/>
                      <w:color w:val="000000"/>
                      <w:sz w:val="18"/>
                      <w:szCs w:val="18"/>
                    </w:rPr>
                  </w:pPr>
                  <w:r w:rsidRPr="00C56209">
                    <w:rPr>
                      <w:rFonts w:ascii="Arial" w:hAnsi="Arial" w:cs="Arial"/>
                      <w:i/>
                      <w:color w:val="000000"/>
                      <w:sz w:val="18"/>
                      <w:szCs w:val="18"/>
                    </w:rPr>
                    <w:t>185.4</w:t>
                  </w:r>
                </w:p>
              </w:tc>
              <w:tc>
                <w:tcPr>
                  <w:tcW w:w="794" w:type="dxa"/>
                  <w:vAlign w:val="bottom"/>
                </w:tcPr>
                <w:p w:rsidR="00AC2131" w:rsidRPr="00C56209" w:rsidRDefault="00AC2131" w:rsidP="00AC2131">
                  <w:pPr>
                    <w:spacing w:before="20" w:after="20"/>
                    <w:jc w:val="right"/>
                    <w:rPr>
                      <w:rFonts w:ascii="Arial" w:hAnsi="Arial" w:cs="Arial"/>
                      <w:i/>
                      <w:color w:val="000000"/>
                      <w:sz w:val="18"/>
                      <w:szCs w:val="18"/>
                    </w:rPr>
                  </w:pPr>
                  <w:r w:rsidRPr="00C56209">
                    <w:rPr>
                      <w:rFonts w:ascii="Arial" w:hAnsi="Arial" w:cs="Arial"/>
                      <w:i/>
                      <w:color w:val="000000"/>
                      <w:sz w:val="18"/>
                      <w:szCs w:val="18"/>
                    </w:rPr>
                    <w:t>187.0</w:t>
                  </w:r>
                </w:p>
              </w:tc>
              <w:tc>
                <w:tcPr>
                  <w:tcW w:w="794" w:type="dxa"/>
                  <w:vAlign w:val="bottom"/>
                </w:tcPr>
                <w:p w:rsidR="00AC2131" w:rsidRPr="00C56209" w:rsidRDefault="00AC2131" w:rsidP="00AC2131">
                  <w:pPr>
                    <w:spacing w:before="20" w:after="20"/>
                    <w:jc w:val="right"/>
                    <w:rPr>
                      <w:rFonts w:ascii="Arial" w:hAnsi="Arial" w:cs="Arial"/>
                      <w:i/>
                      <w:color w:val="000000"/>
                      <w:sz w:val="18"/>
                      <w:szCs w:val="18"/>
                    </w:rPr>
                  </w:pPr>
                  <w:r w:rsidRPr="00C56209">
                    <w:rPr>
                      <w:rFonts w:ascii="Arial" w:hAnsi="Arial" w:cs="Arial"/>
                      <w:i/>
                      <w:color w:val="000000"/>
                      <w:sz w:val="18"/>
                      <w:szCs w:val="18"/>
                    </w:rPr>
                    <w:t>160.9</w:t>
                  </w:r>
                </w:p>
              </w:tc>
              <w:tc>
                <w:tcPr>
                  <w:tcW w:w="796" w:type="dxa"/>
                  <w:vAlign w:val="bottom"/>
                </w:tcPr>
                <w:p w:rsidR="00AC2131" w:rsidRPr="00C56209" w:rsidRDefault="00AC2131" w:rsidP="00AC2131">
                  <w:pPr>
                    <w:spacing w:before="20" w:after="20"/>
                    <w:jc w:val="right"/>
                    <w:rPr>
                      <w:rFonts w:ascii="Arial" w:hAnsi="Arial" w:cs="Arial"/>
                      <w:i/>
                      <w:color w:val="000000"/>
                      <w:sz w:val="18"/>
                      <w:szCs w:val="18"/>
                    </w:rPr>
                  </w:pPr>
                  <w:r w:rsidRPr="00C56209">
                    <w:rPr>
                      <w:rFonts w:ascii="Arial" w:hAnsi="Arial" w:cs="Arial"/>
                      <w:i/>
                      <w:color w:val="000000"/>
                      <w:sz w:val="18"/>
                      <w:szCs w:val="18"/>
                    </w:rPr>
                    <w:t>135.9</w:t>
                  </w:r>
                </w:p>
              </w:tc>
              <w:tc>
                <w:tcPr>
                  <w:tcW w:w="796" w:type="dxa"/>
                  <w:shd w:val="clear" w:color="auto" w:fill="auto"/>
                  <w:vAlign w:val="bottom"/>
                </w:tcPr>
                <w:p w:rsidR="00AC2131" w:rsidRPr="00C56209" w:rsidRDefault="00AC2131" w:rsidP="00AC2131">
                  <w:pPr>
                    <w:spacing w:before="20" w:after="20"/>
                    <w:jc w:val="right"/>
                    <w:rPr>
                      <w:rFonts w:ascii="Arial" w:hAnsi="Arial" w:cs="Arial"/>
                      <w:i/>
                      <w:color w:val="000000"/>
                      <w:sz w:val="18"/>
                      <w:szCs w:val="18"/>
                    </w:rPr>
                  </w:pPr>
                  <w:r w:rsidRPr="00C56209">
                    <w:rPr>
                      <w:rFonts w:ascii="Arial" w:hAnsi="Arial" w:cs="Arial"/>
                      <w:i/>
                      <w:color w:val="000000"/>
                      <w:sz w:val="18"/>
                      <w:szCs w:val="18"/>
                    </w:rPr>
                    <w:t>121.5</w:t>
                  </w:r>
                </w:p>
              </w:tc>
              <w:tc>
                <w:tcPr>
                  <w:tcW w:w="792" w:type="dxa"/>
                  <w:shd w:val="clear" w:color="auto" w:fill="auto"/>
                  <w:vAlign w:val="bottom"/>
                </w:tcPr>
                <w:p w:rsidR="00AC2131" w:rsidRPr="00C56209" w:rsidRDefault="00AC2131" w:rsidP="00AC2131">
                  <w:pPr>
                    <w:spacing w:before="20" w:after="20"/>
                    <w:jc w:val="right"/>
                    <w:rPr>
                      <w:rFonts w:ascii="Arial" w:hAnsi="Arial" w:cs="Arial"/>
                      <w:i/>
                      <w:color w:val="000000"/>
                      <w:sz w:val="18"/>
                      <w:szCs w:val="18"/>
                    </w:rPr>
                  </w:pPr>
                  <w:r w:rsidRPr="00C56209">
                    <w:rPr>
                      <w:rFonts w:ascii="Arial" w:hAnsi="Arial" w:cs="Arial"/>
                      <w:i/>
                      <w:color w:val="000000"/>
                      <w:sz w:val="18"/>
                      <w:szCs w:val="18"/>
                    </w:rPr>
                    <w:t>132.3</w:t>
                  </w:r>
                </w:p>
              </w:tc>
            </w:tr>
            <w:tr w:rsidR="00AC2131" w:rsidTr="00AC2131">
              <w:tc>
                <w:tcPr>
                  <w:tcW w:w="3743" w:type="dxa"/>
                  <w:shd w:val="clear" w:color="auto" w:fill="auto"/>
                </w:tcPr>
                <w:p w:rsidR="00AC2131" w:rsidRPr="00C56209" w:rsidRDefault="00AC2131" w:rsidP="00AC2131">
                  <w:pPr>
                    <w:pStyle w:val="TableBodyText"/>
                    <w:spacing w:before="40"/>
                    <w:ind w:hanging="28"/>
                    <w:jc w:val="left"/>
                    <w:rPr>
                      <w:b/>
                    </w:rPr>
                  </w:pPr>
                  <w:r w:rsidRPr="00C56209">
                    <w:rPr>
                      <w:b/>
                    </w:rPr>
                    <w:t>Sheep, beef cattle and grain farming</w:t>
                  </w:r>
                </w:p>
              </w:tc>
              <w:tc>
                <w:tcPr>
                  <w:tcW w:w="794" w:type="dxa"/>
                </w:tcPr>
                <w:p w:rsidR="00AC2131" w:rsidRDefault="00AC2131" w:rsidP="00AC2131">
                  <w:pPr>
                    <w:pStyle w:val="TableBodyText"/>
                    <w:spacing w:before="40"/>
                  </w:pPr>
                </w:p>
              </w:tc>
              <w:tc>
                <w:tcPr>
                  <w:tcW w:w="794" w:type="dxa"/>
                </w:tcPr>
                <w:p w:rsidR="00AC2131" w:rsidRDefault="00AC2131" w:rsidP="00AC2131">
                  <w:pPr>
                    <w:pStyle w:val="TableBodyText"/>
                    <w:spacing w:before="40"/>
                  </w:pPr>
                </w:p>
              </w:tc>
              <w:tc>
                <w:tcPr>
                  <w:tcW w:w="794" w:type="dxa"/>
                </w:tcPr>
                <w:p w:rsidR="00AC2131" w:rsidRDefault="00AC2131" w:rsidP="00AC2131">
                  <w:pPr>
                    <w:pStyle w:val="TableBodyText"/>
                    <w:spacing w:before="40"/>
                  </w:pPr>
                </w:p>
              </w:tc>
              <w:tc>
                <w:tcPr>
                  <w:tcW w:w="796" w:type="dxa"/>
                </w:tcPr>
                <w:p w:rsidR="00AC2131" w:rsidRDefault="00AC2131" w:rsidP="00AC2131">
                  <w:pPr>
                    <w:pStyle w:val="TableBodyText"/>
                    <w:spacing w:before="40"/>
                  </w:pPr>
                </w:p>
              </w:tc>
              <w:tc>
                <w:tcPr>
                  <w:tcW w:w="796" w:type="dxa"/>
                  <w:shd w:val="clear" w:color="auto" w:fill="auto"/>
                </w:tcPr>
                <w:p w:rsidR="00AC2131" w:rsidRDefault="00AC2131" w:rsidP="00AC2131">
                  <w:pPr>
                    <w:pStyle w:val="TableBodyText"/>
                    <w:spacing w:before="40"/>
                  </w:pPr>
                </w:p>
              </w:tc>
              <w:tc>
                <w:tcPr>
                  <w:tcW w:w="792" w:type="dxa"/>
                  <w:shd w:val="clear" w:color="auto" w:fill="auto"/>
                </w:tcPr>
                <w:p w:rsidR="00AC2131" w:rsidRDefault="00AC2131" w:rsidP="00AC2131">
                  <w:pPr>
                    <w:pStyle w:val="TableBodyText"/>
                    <w:spacing w:before="40"/>
                    <w:ind w:right="28"/>
                  </w:pPr>
                </w:p>
              </w:tc>
            </w:tr>
            <w:tr w:rsidR="00AC2131" w:rsidTr="00AC2131">
              <w:tc>
                <w:tcPr>
                  <w:tcW w:w="3743" w:type="dxa"/>
                  <w:shd w:val="clear" w:color="auto" w:fill="auto"/>
                </w:tcPr>
                <w:p w:rsidR="00AC2131" w:rsidRPr="00C56209" w:rsidRDefault="00AC2131" w:rsidP="00AC2131">
                  <w:pPr>
                    <w:pStyle w:val="TableBodyText"/>
                    <w:spacing w:before="40" w:after="0"/>
                    <w:ind w:left="113"/>
                    <w:jc w:val="left"/>
                    <w:rPr>
                      <w:i/>
                    </w:rPr>
                  </w:pPr>
                  <w:r w:rsidRPr="00C56209">
                    <w:rPr>
                      <w:i/>
                    </w:rPr>
                    <w:t>Industry-specific measures</w:t>
                  </w:r>
                </w:p>
              </w:tc>
              <w:tc>
                <w:tcPr>
                  <w:tcW w:w="794" w:type="dxa"/>
                </w:tcPr>
                <w:p w:rsidR="00AC2131" w:rsidRDefault="00AC2131" w:rsidP="00AC2131">
                  <w:pPr>
                    <w:pStyle w:val="TableBodyText"/>
                    <w:spacing w:before="40" w:after="0"/>
                    <w:ind w:left="113"/>
                  </w:pPr>
                </w:p>
              </w:tc>
              <w:tc>
                <w:tcPr>
                  <w:tcW w:w="794" w:type="dxa"/>
                </w:tcPr>
                <w:p w:rsidR="00AC2131" w:rsidRDefault="00AC2131" w:rsidP="00AC2131">
                  <w:pPr>
                    <w:pStyle w:val="TableBodyText"/>
                    <w:spacing w:before="40" w:after="0"/>
                    <w:ind w:left="113"/>
                  </w:pPr>
                </w:p>
              </w:tc>
              <w:tc>
                <w:tcPr>
                  <w:tcW w:w="794" w:type="dxa"/>
                </w:tcPr>
                <w:p w:rsidR="00AC2131" w:rsidRDefault="00AC2131" w:rsidP="00AC2131">
                  <w:pPr>
                    <w:pStyle w:val="TableBodyText"/>
                    <w:spacing w:before="40" w:after="0"/>
                    <w:ind w:left="113"/>
                  </w:pPr>
                </w:p>
              </w:tc>
              <w:tc>
                <w:tcPr>
                  <w:tcW w:w="796" w:type="dxa"/>
                </w:tcPr>
                <w:p w:rsidR="00AC2131" w:rsidRDefault="00AC2131" w:rsidP="00AC2131">
                  <w:pPr>
                    <w:pStyle w:val="TableBodyText"/>
                    <w:spacing w:before="40" w:after="0"/>
                    <w:ind w:left="113"/>
                  </w:pPr>
                </w:p>
              </w:tc>
              <w:tc>
                <w:tcPr>
                  <w:tcW w:w="796" w:type="dxa"/>
                  <w:shd w:val="clear" w:color="auto" w:fill="auto"/>
                </w:tcPr>
                <w:p w:rsidR="00AC2131" w:rsidRDefault="00AC2131" w:rsidP="00AC2131">
                  <w:pPr>
                    <w:pStyle w:val="TableBodyText"/>
                    <w:spacing w:before="40" w:after="0"/>
                    <w:ind w:left="113"/>
                  </w:pPr>
                </w:p>
              </w:tc>
              <w:tc>
                <w:tcPr>
                  <w:tcW w:w="792" w:type="dxa"/>
                  <w:shd w:val="clear" w:color="auto" w:fill="auto"/>
                </w:tcPr>
                <w:p w:rsidR="00AC2131" w:rsidRDefault="00AC2131" w:rsidP="00AC2131">
                  <w:pPr>
                    <w:pStyle w:val="TableBodyText"/>
                    <w:spacing w:before="40" w:after="0"/>
                    <w:ind w:left="113" w:right="28"/>
                  </w:pP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Beef Australia 2015</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2.5</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National Livestock Identification System</w:t>
                  </w:r>
                </w:p>
              </w:tc>
              <w:tc>
                <w:tcPr>
                  <w:tcW w:w="794" w:type="dxa"/>
                  <w:vAlign w:val="bottom"/>
                </w:tcPr>
                <w:p w:rsidR="00AC2131" w:rsidRDefault="00AC2131" w:rsidP="00AC2131">
                  <w:pPr>
                    <w:pStyle w:val="TableBodyText"/>
                    <w:spacing w:after="0"/>
                    <w:ind w:left="0" w:right="57"/>
                  </w:pPr>
                  <w:r>
                    <w:t>0.2</w:t>
                  </w:r>
                </w:p>
              </w:tc>
              <w:tc>
                <w:tcPr>
                  <w:tcW w:w="794" w:type="dxa"/>
                  <w:vAlign w:val="bottom"/>
                </w:tcPr>
                <w:p w:rsidR="00AC2131" w:rsidRDefault="00AC2131" w:rsidP="00AC2131">
                  <w:pPr>
                    <w:pStyle w:val="TableBodyText"/>
                    <w:spacing w:after="0"/>
                    <w:ind w:left="0" w:right="57"/>
                  </w:pPr>
                  <w:r>
                    <w:t>0.2</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Northern Australia Beef Industry Strategy Indigenous Pastoral Project</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0.5</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tcPr>
                <w:p w:rsidR="00AC2131" w:rsidRPr="00C56209" w:rsidRDefault="00AC2131" w:rsidP="00AC2131">
                  <w:pPr>
                    <w:pStyle w:val="TableBodyText"/>
                    <w:spacing w:before="40" w:after="0"/>
                    <w:ind w:left="113"/>
                    <w:jc w:val="left"/>
                    <w:rPr>
                      <w:i/>
                    </w:rPr>
                  </w:pPr>
                  <w:r w:rsidRPr="00C56209">
                    <w:rPr>
                      <w:i/>
                    </w:rPr>
                    <w:t>Sector-specific measures</w:t>
                  </w:r>
                </w:p>
              </w:tc>
              <w:tc>
                <w:tcPr>
                  <w:tcW w:w="794" w:type="dxa"/>
                  <w:vAlign w:val="bottom"/>
                </w:tcPr>
                <w:p w:rsidR="00AC2131" w:rsidRDefault="00AC2131" w:rsidP="00AC2131">
                  <w:pPr>
                    <w:spacing w:before="40"/>
                    <w:ind w:left="113"/>
                    <w:jc w:val="right"/>
                    <w:rPr>
                      <w:rFonts w:ascii="Arial" w:hAnsi="Arial" w:cs="Arial"/>
                      <w:sz w:val="18"/>
                      <w:szCs w:val="18"/>
                    </w:rPr>
                  </w:pPr>
                  <w:r>
                    <w:rPr>
                      <w:rFonts w:ascii="Arial" w:hAnsi="Arial" w:cs="Arial"/>
                      <w:sz w:val="18"/>
                      <w:szCs w:val="18"/>
                    </w:rPr>
                    <w:t>–</w:t>
                  </w:r>
                </w:p>
              </w:tc>
              <w:tc>
                <w:tcPr>
                  <w:tcW w:w="794" w:type="dxa"/>
                  <w:vAlign w:val="bottom"/>
                </w:tcPr>
                <w:p w:rsidR="00AC2131" w:rsidRDefault="00AC2131" w:rsidP="00AC2131">
                  <w:pPr>
                    <w:spacing w:before="40"/>
                    <w:ind w:left="113"/>
                    <w:jc w:val="right"/>
                    <w:rPr>
                      <w:rFonts w:ascii="Arial" w:hAnsi="Arial" w:cs="Arial"/>
                      <w:sz w:val="18"/>
                      <w:szCs w:val="18"/>
                    </w:rPr>
                  </w:pPr>
                  <w:r>
                    <w:rPr>
                      <w:rFonts w:ascii="Arial" w:hAnsi="Arial" w:cs="Arial"/>
                      <w:sz w:val="18"/>
                      <w:szCs w:val="18"/>
                    </w:rPr>
                    <w:t>–</w:t>
                  </w:r>
                </w:p>
              </w:tc>
              <w:tc>
                <w:tcPr>
                  <w:tcW w:w="794" w:type="dxa"/>
                  <w:vAlign w:val="bottom"/>
                </w:tcPr>
                <w:p w:rsidR="00AC2131" w:rsidRDefault="00AC2131" w:rsidP="00AC2131">
                  <w:pPr>
                    <w:spacing w:before="40"/>
                    <w:ind w:left="113"/>
                    <w:jc w:val="right"/>
                    <w:rPr>
                      <w:rFonts w:ascii="Arial" w:hAnsi="Arial" w:cs="Arial"/>
                      <w:sz w:val="18"/>
                      <w:szCs w:val="18"/>
                    </w:rPr>
                  </w:pPr>
                  <w:r>
                    <w:rPr>
                      <w:rFonts w:ascii="Arial" w:hAnsi="Arial" w:cs="Arial"/>
                      <w:sz w:val="18"/>
                      <w:szCs w:val="18"/>
                    </w:rPr>
                    <w:t>–</w:t>
                  </w:r>
                </w:p>
              </w:tc>
              <w:tc>
                <w:tcPr>
                  <w:tcW w:w="796" w:type="dxa"/>
                  <w:vAlign w:val="bottom"/>
                </w:tcPr>
                <w:p w:rsidR="00AC2131" w:rsidRDefault="00AC2131" w:rsidP="00AC2131">
                  <w:pPr>
                    <w:spacing w:before="40"/>
                    <w:ind w:left="113"/>
                    <w:jc w:val="right"/>
                    <w:rPr>
                      <w:rFonts w:ascii="Arial" w:hAnsi="Arial" w:cs="Arial"/>
                      <w:sz w:val="18"/>
                      <w:szCs w:val="18"/>
                    </w:rPr>
                  </w:pPr>
                  <w:r>
                    <w:rPr>
                      <w:rFonts w:ascii="Arial" w:hAnsi="Arial" w:cs="Arial"/>
                      <w:sz w:val="18"/>
                      <w:szCs w:val="18"/>
                    </w:rPr>
                    <w:t>–</w:t>
                  </w:r>
                </w:p>
              </w:tc>
              <w:tc>
                <w:tcPr>
                  <w:tcW w:w="796" w:type="dxa"/>
                  <w:shd w:val="clear" w:color="auto" w:fill="auto"/>
                  <w:vAlign w:val="bottom"/>
                </w:tcPr>
                <w:p w:rsidR="00AC2131" w:rsidRDefault="00AC2131" w:rsidP="00AC2131">
                  <w:pPr>
                    <w:spacing w:before="40"/>
                    <w:ind w:left="113"/>
                    <w:jc w:val="right"/>
                    <w:rPr>
                      <w:rFonts w:ascii="Arial" w:hAnsi="Arial" w:cs="Arial"/>
                      <w:sz w:val="18"/>
                      <w:szCs w:val="18"/>
                    </w:rPr>
                  </w:pPr>
                  <w:r>
                    <w:rPr>
                      <w:rFonts w:ascii="Arial" w:hAnsi="Arial" w:cs="Arial"/>
                      <w:sz w:val="18"/>
                      <w:szCs w:val="18"/>
                    </w:rPr>
                    <w:t>–</w:t>
                  </w:r>
                </w:p>
              </w:tc>
              <w:tc>
                <w:tcPr>
                  <w:tcW w:w="792" w:type="dxa"/>
                  <w:shd w:val="clear" w:color="auto" w:fill="auto"/>
                  <w:vAlign w:val="bottom"/>
                </w:tcPr>
                <w:p w:rsidR="00AC2131" w:rsidRDefault="00AC2131" w:rsidP="00AC2131">
                  <w:pPr>
                    <w:spacing w:before="40"/>
                    <w:ind w:left="113"/>
                    <w:jc w:val="right"/>
                    <w:rPr>
                      <w:rFonts w:ascii="Arial" w:hAnsi="Arial" w:cs="Arial"/>
                      <w:sz w:val="18"/>
                      <w:szCs w:val="18"/>
                    </w:rPr>
                  </w:pPr>
                  <w:r>
                    <w:rPr>
                      <w:rFonts w:ascii="Arial" w:hAnsi="Arial" w:cs="Arial"/>
                      <w:sz w:val="18"/>
                      <w:szCs w:val="18"/>
                    </w:rPr>
                    <w:t>–</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Carbon Farming Futures</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13.6</w:t>
                  </w:r>
                </w:p>
              </w:tc>
              <w:tc>
                <w:tcPr>
                  <w:tcW w:w="796" w:type="dxa"/>
                  <w:shd w:val="clear" w:color="auto" w:fill="auto"/>
                  <w:vAlign w:val="bottom"/>
                </w:tcPr>
                <w:p w:rsidR="00AC2131" w:rsidRDefault="00AC2131" w:rsidP="00AC2131">
                  <w:pPr>
                    <w:pStyle w:val="TableBodyText"/>
                    <w:spacing w:after="0"/>
                    <w:ind w:left="0" w:right="57"/>
                  </w:pPr>
                  <w:r>
                    <w:t>7.7</w:t>
                  </w:r>
                </w:p>
              </w:tc>
              <w:tc>
                <w:tcPr>
                  <w:tcW w:w="792" w:type="dxa"/>
                  <w:shd w:val="clear" w:color="auto" w:fill="auto"/>
                  <w:vAlign w:val="bottom"/>
                </w:tcPr>
                <w:p w:rsidR="00AC2131" w:rsidRDefault="00AC2131" w:rsidP="00AC2131">
                  <w:pPr>
                    <w:pStyle w:val="TableBodyText"/>
                    <w:spacing w:after="0"/>
                    <w:ind w:left="0" w:right="57"/>
                  </w:pPr>
                  <w:r>
                    <w:t>36.4</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Carbon Farming Initiative</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0.2</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 xml:space="preserve">Exceptional Circumstances </w:t>
                  </w:r>
                  <w:r>
                    <w:rPr>
                      <w:rFonts w:ascii="Arial" w:hAnsi="Arial" w:cs="Arial"/>
                      <w:color w:val="000000"/>
                      <w:sz w:val="18"/>
                      <w:szCs w:val="18"/>
                    </w:rPr>
                    <w:t>–</w:t>
                  </w:r>
                  <w:r w:rsidRPr="00C56209">
                    <w:rPr>
                      <w:rFonts w:ascii="Arial" w:hAnsi="Arial" w:cs="Arial"/>
                      <w:color w:val="000000"/>
                      <w:sz w:val="18"/>
                      <w:szCs w:val="18"/>
                    </w:rPr>
                    <w:t xml:space="preserve"> interest rate subsidies</w:t>
                  </w:r>
                </w:p>
              </w:tc>
              <w:tc>
                <w:tcPr>
                  <w:tcW w:w="794" w:type="dxa"/>
                  <w:vAlign w:val="bottom"/>
                </w:tcPr>
                <w:p w:rsidR="00AC2131" w:rsidRDefault="00AC2131" w:rsidP="00AC2131">
                  <w:pPr>
                    <w:pStyle w:val="TableBodyText"/>
                    <w:spacing w:after="0"/>
                    <w:ind w:left="0" w:right="57"/>
                  </w:pPr>
                  <w:r>
                    <w:t>359.1</w:t>
                  </w:r>
                </w:p>
              </w:tc>
              <w:tc>
                <w:tcPr>
                  <w:tcW w:w="794" w:type="dxa"/>
                  <w:vAlign w:val="bottom"/>
                </w:tcPr>
                <w:p w:rsidR="00AC2131" w:rsidRDefault="00AC2131" w:rsidP="00AC2131">
                  <w:pPr>
                    <w:pStyle w:val="TableBodyText"/>
                    <w:spacing w:after="0"/>
                    <w:ind w:left="0" w:right="57"/>
                  </w:pPr>
                  <w:r>
                    <w:t>256.2</w:t>
                  </w:r>
                </w:p>
              </w:tc>
              <w:tc>
                <w:tcPr>
                  <w:tcW w:w="794" w:type="dxa"/>
                  <w:vAlign w:val="bottom"/>
                </w:tcPr>
                <w:p w:rsidR="00AC2131" w:rsidRDefault="00AC2131" w:rsidP="00AC2131">
                  <w:pPr>
                    <w:pStyle w:val="TableBodyText"/>
                    <w:spacing w:after="0"/>
                    <w:ind w:left="0" w:right="57"/>
                  </w:pPr>
                  <w:r>
                    <w:t>182.8</w:t>
                  </w:r>
                </w:p>
              </w:tc>
              <w:tc>
                <w:tcPr>
                  <w:tcW w:w="796" w:type="dxa"/>
                  <w:vAlign w:val="bottom"/>
                </w:tcPr>
                <w:p w:rsidR="00AC2131" w:rsidRDefault="00AC2131" w:rsidP="00AC2131">
                  <w:pPr>
                    <w:pStyle w:val="TableBodyText"/>
                    <w:spacing w:after="0"/>
                    <w:ind w:left="0" w:right="57"/>
                  </w:pPr>
                  <w:r>
                    <w:t>15.8</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 xml:space="preserve">Exceptional Circumstances </w:t>
                  </w:r>
                  <w:r>
                    <w:rPr>
                      <w:rFonts w:ascii="Arial" w:hAnsi="Arial" w:cs="Arial"/>
                      <w:color w:val="000000"/>
                      <w:sz w:val="18"/>
                      <w:szCs w:val="18"/>
                    </w:rPr>
                    <w:t>–</w:t>
                  </w:r>
                  <w:r w:rsidRPr="00C56209">
                    <w:rPr>
                      <w:rFonts w:ascii="Arial" w:hAnsi="Arial" w:cs="Arial"/>
                      <w:color w:val="000000"/>
                      <w:sz w:val="18"/>
                      <w:szCs w:val="18"/>
                    </w:rPr>
                    <w:t xml:space="preserve"> relief payments</w:t>
                  </w:r>
                </w:p>
              </w:tc>
              <w:tc>
                <w:tcPr>
                  <w:tcW w:w="794" w:type="dxa"/>
                  <w:vAlign w:val="bottom"/>
                </w:tcPr>
                <w:p w:rsidR="00AC2131" w:rsidRDefault="00AC2131" w:rsidP="00AC2131">
                  <w:pPr>
                    <w:pStyle w:val="TableBodyText"/>
                    <w:spacing w:after="0"/>
                    <w:ind w:left="0" w:right="57"/>
                  </w:pPr>
                  <w:r>
                    <w:t>230.3</w:t>
                  </w:r>
                </w:p>
              </w:tc>
              <w:tc>
                <w:tcPr>
                  <w:tcW w:w="794" w:type="dxa"/>
                  <w:vAlign w:val="bottom"/>
                </w:tcPr>
                <w:p w:rsidR="00AC2131" w:rsidRDefault="00AC2131" w:rsidP="00AC2131">
                  <w:pPr>
                    <w:pStyle w:val="TableBodyText"/>
                    <w:spacing w:after="0"/>
                    <w:ind w:left="0" w:right="57"/>
                  </w:pPr>
                  <w:r>
                    <w:t>168.3</w:t>
                  </w:r>
                </w:p>
              </w:tc>
              <w:tc>
                <w:tcPr>
                  <w:tcW w:w="794" w:type="dxa"/>
                  <w:vAlign w:val="bottom"/>
                </w:tcPr>
                <w:p w:rsidR="00AC2131" w:rsidRDefault="00AC2131" w:rsidP="00AC2131">
                  <w:pPr>
                    <w:pStyle w:val="TableBodyText"/>
                    <w:spacing w:after="0"/>
                    <w:ind w:left="0" w:right="57"/>
                  </w:pPr>
                  <w:r>
                    <w:t>93.4</w:t>
                  </w:r>
                </w:p>
              </w:tc>
              <w:tc>
                <w:tcPr>
                  <w:tcW w:w="796" w:type="dxa"/>
                  <w:vAlign w:val="bottom"/>
                </w:tcPr>
                <w:p w:rsidR="00AC2131" w:rsidRDefault="00AC2131" w:rsidP="00AC2131">
                  <w:pPr>
                    <w:pStyle w:val="TableBodyText"/>
                    <w:spacing w:after="0"/>
                    <w:ind w:left="0" w:right="57"/>
                  </w:pPr>
                  <w:r>
                    <w:t>4.1</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Farm Help</w:t>
                  </w:r>
                </w:p>
              </w:tc>
              <w:tc>
                <w:tcPr>
                  <w:tcW w:w="794" w:type="dxa"/>
                  <w:vAlign w:val="bottom"/>
                </w:tcPr>
                <w:p w:rsidR="00AC2131" w:rsidRDefault="00AC2131" w:rsidP="00AC2131">
                  <w:pPr>
                    <w:pStyle w:val="TableBodyText"/>
                    <w:spacing w:after="0"/>
                    <w:ind w:left="0" w:right="57"/>
                  </w:pPr>
                  <w:r>
                    <w:t>1.0</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Farm Management Deposits Scheme</w:t>
                  </w:r>
                </w:p>
              </w:tc>
              <w:tc>
                <w:tcPr>
                  <w:tcW w:w="794" w:type="dxa"/>
                  <w:vAlign w:val="bottom"/>
                </w:tcPr>
                <w:p w:rsidR="00AC2131" w:rsidRDefault="00AC2131" w:rsidP="00AC2131">
                  <w:pPr>
                    <w:pStyle w:val="TableBodyText"/>
                    <w:spacing w:after="0"/>
                    <w:ind w:left="0" w:right="57"/>
                  </w:pPr>
                  <w:r>
                    <w:t>80.4</w:t>
                  </w:r>
                </w:p>
              </w:tc>
              <w:tc>
                <w:tcPr>
                  <w:tcW w:w="794" w:type="dxa"/>
                  <w:vAlign w:val="bottom"/>
                </w:tcPr>
                <w:p w:rsidR="00AC2131" w:rsidRDefault="00AC2131" w:rsidP="00AC2131">
                  <w:pPr>
                    <w:pStyle w:val="TableBodyText"/>
                    <w:spacing w:after="0"/>
                    <w:ind w:left="0" w:right="57"/>
                  </w:pPr>
                  <w:r>
                    <w:t>57.3</w:t>
                  </w:r>
                </w:p>
              </w:tc>
              <w:tc>
                <w:tcPr>
                  <w:tcW w:w="794" w:type="dxa"/>
                  <w:vAlign w:val="bottom"/>
                </w:tcPr>
                <w:p w:rsidR="00AC2131" w:rsidRDefault="00AC2131" w:rsidP="00AC2131">
                  <w:pPr>
                    <w:pStyle w:val="TableBodyText"/>
                    <w:spacing w:after="0"/>
                    <w:ind w:left="0" w:right="57"/>
                  </w:pPr>
                  <w:r>
                    <w:t>19.5</w:t>
                  </w:r>
                </w:p>
              </w:tc>
              <w:tc>
                <w:tcPr>
                  <w:tcW w:w="796" w:type="dxa"/>
                  <w:vAlign w:val="bottom"/>
                </w:tcPr>
                <w:p w:rsidR="00AC2131" w:rsidRDefault="00AC2131" w:rsidP="00AC2131">
                  <w:pPr>
                    <w:pStyle w:val="TableBodyText"/>
                    <w:spacing w:after="0"/>
                    <w:ind w:left="0" w:right="57"/>
                  </w:pPr>
                  <w:r>
                    <w:t>168.3</w:t>
                  </w:r>
                </w:p>
              </w:tc>
              <w:tc>
                <w:tcPr>
                  <w:tcW w:w="796" w:type="dxa"/>
                  <w:shd w:val="clear" w:color="auto" w:fill="auto"/>
                  <w:vAlign w:val="bottom"/>
                </w:tcPr>
                <w:p w:rsidR="00AC2131" w:rsidRDefault="00AC2131" w:rsidP="00AC2131">
                  <w:pPr>
                    <w:pStyle w:val="TableBodyText"/>
                    <w:spacing w:after="0"/>
                    <w:ind w:left="0" w:right="57"/>
                  </w:pPr>
                  <w:r>
                    <w:t>103.7</w:t>
                  </w:r>
                </w:p>
              </w:tc>
              <w:tc>
                <w:tcPr>
                  <w:tcW w:w="792" w:type="dxa"/>
                  <w:shd w:val="clear" w:color="auto" w:fill="auto"/>
                  <w:vAlign w:val="bottom"/>
                </w:tcPr>
                <w:p w:rsidR="00AC2131" w:rsidRDefault="00AC2131" w:rsidP="00AC2131">
                  <w:pPr>
                    <w:pStyle w:val="TableBodyText"/>
                    <w:spacing w:after="0"/>
                    <w:ind w:left="0" w:right="57"/>
                  </w:pPr>
                  <w:r>
                    <w:t>100.4</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Income tax averaging provisions</w:t>
                  </w:r>
                </w:p>
              </w:tc>
              <w:tc>
                <w:tcPr>
                  <w:tcW w:w="794" w:type="dxa"/>
                  <w:vAlign w:val="bottom"/>
                </w:tcPr>
                <w:p w:rsidR="00AC2131" w:rsidRDefault="00AC2131" w:rsidP="00AC2131">
                  <w:pPr>
                    <w:pStyle w:val="TableBodyText"/>
                    <w:spacing w:after="0"/>
                    <w:ind w:left="0" w:right="57"/>
                  </w:pPr>
                  <w:r>
                    <w:t>54.4</w:t>
                  </w:r>
                </w:p>
              </w:tc>
              <w:tc>
                <w:tcPr>
                  <w:tcW w:w="794" w:type="dxa"/>
                  <w:vAlign w:val="bottom"/>
                </w:tcPr>
                <w:p w:rsidR="00AC2131" w:rsidRDefault="00AC2131" w:rsidP="00AC2131">
                  <w:pPr>
                    <w:pStyle w:val="TableBodyText"/>
                    <w:spacing w:after="0"/>
                    <w:ind w:left="0" w:right="57"/>
                  </w:pPr>
                  <w:r>
                    <w:t>48.2</w:t>
                  </w:r>
                </w:p>
              </w:tc>
              <w:tc>
                <w:tcPr>
                  <w:tcW w:w="794" w:type="dxa"/>
                  <w:vAlign w:val="bottom"/>
                </w:tcPr>
                <w:p w:rsidR="00AC2131" w:rsidRDefault="00AC2131" w:rsidP="00AC2131">
                  <w:pPr>
                    <w:pStyle w:val="TableBodyText"/>
                    <w:spacing w:after="0"/>
                    <w:ind w:left="0" w:right="57"/>
                  </w:pPr>
                  <w:r>
                    <w:t>109.5</w:t>
                  </w:r>
                </w:p>
              </w:tc>
              <w:tc>
                <w:tcPr>
                  <w:tcW w:w="796" w:type="dxa"/>
                  <w:vAlign w:val="bottom"/>
                </w:tcPr>
                <w:p w:rsidR="00AC2131" w:rsidRDefault="00AC2131" w:rsidP="00AC2131">
                  <w:pPr>
                    <w:pStyle w:val="TableBodyText"/>
                    <w:spacing w:after="0"/>
                    <w:ind w:left="0" w:right="57"/>
                  </w:pPr>
                  <w:r>
                    <w:t>93.4</w:t>
                  </w:r>
                </w:p>
              </w:tc>
              <w:tc>
                <w:tcPr>
                  <w:tcW w:w="796" w:type="dxa"/>
                  <w:shd w:val="clear" w:color="auto" w:fill="auto"/>
                  <w:vAlign w:val="bottom"/>
                </w:tcPr>
                <w:p w:rsidR="00AC2131" w:rsidRDefault="00AC2131" w:rsidP="00AC2131">
                  <w:pPr>
                    <w:pStyle w:val="TableBodyText"/>
                    <w:spacing w:after="0"/>
                    <w:ind w:left="0" w:right="57"/>
                  </w:pPr>
                  <w:r>
                    <w:t>92.9</w:t>
                  </w:r>
                </w:p>
              </w:tc>
              <w:tc>
                <w:tcPr>
                  <w:tcW w:w="792" w:type="dxa"/>
                  <w:shd w:val="clear" w:color="auto" w:fill="auto"/>
                  <w:vAlign w:val="bottom"/>
                </w:tcPr>
                <w:p w:rsidR="00AC2131" w:rsidRDefault="00AC2131" w:rsidP="00AC2131">
                  <w:pPr>
                    <w:pStyle w:val="TableBodyText"/>
                    <w:spacing w:after="0"/>
                    <w:ind w:left="0" w:right="57"/>
                  </w:pPr>
                  <w:r>
                    <w:t>92.9</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Industry partnerships program</w:t>
                  </w:r>
                </w:p>
              </w:tc>
              <w:tc>
                <w:tcPr>
                  <w:tcW w:w="794" w:type="dxa"/>
                  <w:vAlign w:val="bottom"/>
                </w:tcPr>
                <w:p w:rsidR="00AC2131" w:rsidRDefault="00AC2131" w:rsidP="00AC2131">
                  <w:pPr>
                    <w:pStyle w:val="TableBodyText"/>
                    <w:spacing w:after="0"/>
                    <w:ind w:left="0" w:right="57"/>
                  </w:pPr>
                  <w:r>
                    <w:t>0.2</w:t>
                  </w:r>
                </w:p>
              </w:tc>
              <w:tc>
                <w:tcPr>
                  <w:tcW w:w="794" w:type="dxa"/>
                  <w:vAlign w:val="bottom"/>
                </w:tcPr>
                <w:p w:rsidR="00AC2131" w:rsidRDefault="00AC2131" w:rsidP="00AC2131">
                  <w:pPr>
                    <w:pStyle w:val="TableBodyText"/>
                    <w:spacing w:after="0"/>
                    <w:ind w:left="0" w:right="57"/>
                  </w:pPr>
                  <w:r>
                    <w:t>–</w:t>
                  </w:r>
                </w:p>
              </w:tc>
              <w:tc>
                <w:tcPr>
                  <w:tcW w:w="794" w:type="dxa"/>
                  <w:vAlign w:val="bottom"/>
                </w:tcPr>
                <w:p w:rsidR="00AC2131" w:rsidRDefault="00AC2131" w:rsidP="00AC2131">
                  <w:pPr>
                    <w:pStyle w:val="TableBodyText"/>
                    <w:spacing w:after="0"/>
                    <w:ind w:left="0" w:right="57"/>
                  </w:pPr>
                  <w:r>
                    <w:t>–</w:t>
                  </w:r>
                </w:p>
              </w:tc>
              <w:tc>
                <w:tcPr>
                  <w:tcW w:w="796" w:type="dxa"/>
                  <w:vAlign w:val="bottom"/>
                </w:tcPr>
                <w:p w:rsidR="00AC2131" w:rsidRDefault="00AC2131" w:rsidP="00AC2131">
                  <w:pPr>
                    <w:pStyle w:val="TableBodyText"/>
                    <w:spacing w:after="0"/>
                    <w:ind w:left="0" w:right="57"/>
                  </w:pPr>
                  <w:r>
                    <w:t>–</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Interim Income Support</w:t>
                  </w:r>
                </w:p>
              </w:tc>
              <w:tc>
                <w:tcPr>
                  <w:tcW w:w="794" w:type="dxa"/>
                  <w:vAlign w:val="bottom"/>
                </w:tcPr>
                <w:p w:rsidR="00AC2131" w:rsidRDefault="00AC2131" w:rsidP="00AC2131">
                  <w:pPr>
                    <w:pStyle w:val="TableBodyText"/>
                    <w:spacing w:after="0"/>
                    <w:ind w:left="0" w:right="57"/>
                  </w:pPr>
                  <w:r>
                    <w:t>1.0</w:t>
                  </w:r>
                </w:p>
              </w:tc>
              <w:tc>
                <w:tcPr>
                  <w:tcW w:w="794" w:type="dxa"/>
                  <w:vAlign w:val="bottom"/>
                </w:tcPr>
                <w:p w:rsidR="00AC2131" w:rsidRDefault="00AC2131" w:rsidP="00AC2131">
                  <w:pPr>
                    <w:pStyle w:val="TableBodyText"/>
                    <w:spacing w:after="0"/>
                    <w:ind w:left="0" w:right="57"/>
                  </w:pPr>
                  <w:r>
                    <w:t>0.4</w:t>
                  </w:r>
                </w:p>
              </w:tc>
              <w:tc>
                <w:tcPr>
                  <w:tcW w:w="794" w:type="dxa"/>
                  <w:vAlign w:val="bottom"/>
                </w:tcPr>
                <w:p w:rsidR="00AC2131" w:rsidRDefault="00AC2131" w:rsidP="00AC2131">
                  <w:pPr>
                    <w:pStyle w:val="TableBodyText"/>
                    <w:spacing w:after="0"/>
                    <w:ind w:left="0" w:right="57"/>
                  </w:pPr>
                  <w:r>
                    <w:t>0.2</w:t>
                  </w:r>
                </w:p>
              </w:tc>
              <w:tc>
                <w:tcPr>
                  <w:tcW w:w="796" w:type="dxa"/>
                  <w:vAlign w:val="bottom"/>
                </w:tcPr>
                <w:p w:rsidR="00AC2131" w:rsidRDefault="00AC2131" w:rsidP="00AC2131">
                  <w:pPr>
                    <w:pStyle w:val="TableBodyText"/>
                    <w:spacing w:after="0"/>
                    <w:ind w:left="0" w:right="57"/>
                  </w:pPr>
                  <w:r>
                    <w:t>&lt;0.1</w:t>
                  </w:r>
                </w:p>
              </w:tc>
              <w:tc>
                <w:tcPr>
                  <w:tcW w:w="796" w:type="dxa"/>
                  <w:shd w:val="clear" w:color="auto" w:fill="auto"/>
                  <w:vAlign w:val="bottom"/>
                </w:tcPr>
                <w:p w:rsidR="00AC2131" w:rsidRDefault="00AC2131" w:rsidP="00AC2131">
                  <w:pPr>
                    <w:pStyle w:val="TableBodyText"/>
                    <w:spacing w:after="0"/>
                    <w:ind w:left="0" w:right="57"/>
                  </w:pPr>
                  <w:r>
                    <w:t>–</w:t>
                  </w:r>
                </w:p>
              </w:tc>
              <w:tc>
                <w:tcPr>
                  <w:tcW w:w="792" w:type="dxa"/>
                  <w:shd w:val="clear" w:color="auto" w:fill="auto"/>
                  <w:vAlign w:val="bottom"/>
                </w:tcPr>
                <w:p w:rsidR="00AC2131" w:rsidRDefault="00AC2131" w:rsidP="00AC2131">
                  <w:pPr>
                    <w:pStyle w:val="TableBodyText"/>
                    <w:spacing w:after="0"/>
                    <w:ind w:left="0" w:right="57"/>
                  </w:pPr>
                  <w:r>
                    <w:t>–</w:t>
                  </w:r>
                </w:p>
              </w:tc>
            </w:tr>
            <w:tr w:rsidR="00AC2131" w:rsidTr="00AC2131">
              <w:tc>
                <w:tcPr>
                  <w:tcW w:w="3743" w:type="dxa"/>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Rural Financial Counselling Service</w:t>
                  </w:r>
                </w:p>
              </w:tc>
              <w:tc>
                <w:tcPr>
                  <w:tcW w:w="794" w:type="dxa"/>
                  <w:vAlign w:val="bottom"/>
                </w:tcPr>
                <w:p w:rsidR="00AC2131" w:rsidRDefault="00AC2131" w:rsidP="00AC2131">
                  <w:pPr>
                    <w:pStyle w:val="TableBodyText"/>
                    <w:spacing w:after="0"/>
                    <w:ind w:left="0" w:right="57"/>
                  </w:pPr>
                  <w:r>
                    <w:t>7.8</w:t>
                  </w:r>
                </w:p>
              </w:tc>
              <w:tc>
                <w:tcPr>
                  <w:tcW w:w="794" w:type="dxa"/>
                  <w:vAlign w:val="bottom"/>
                </w:tcPr>
                <w:p w:rsidR="00AC2131" w:rsidRDefault="00AC2131" w:rsidP="00AC2131">
                  <w:pPr>
                    <w:pStyle w:val="TableBodyText"/>
                    <w:spacing w:after="0"/>
                    <w:ind w:left="0" w:right="57"/>
                  </w:pPr>
                  <w:r>
                    <w:t>7.8</w:t>
                  </w:r>
                </w:p>
              </w:tc>
              <w:tc>
                <w:tcPr>
                  <w:tcW w:w="794" w:type="dxa"/>
                  <w:vAlign w:val="bottom"/>
                </w:tcPr>
                <w:p w:rsidR="00AC2131" w:rsidRDefault="00AC2131" w:rsidP="00AC2131">
                  <w:pPr>
                    <w:pStyle w:val="TableBodyText"/>
                    <w:spacing w:after="0"/>
                    <w:ind w:left="0" w:right="57"/>
                  </w:pPr>
                  <w:r>
                    <w:t>6.6</w:t>
                  </w:r>
                </w:p>
              </w:tc>
              <w:tc>
                <w:tcPr>
                  <w:tcW w:w="796" w:type="dxa"/>
                  <w:vAlign w:val="bottom"/>
                </w:tcPr>
                <w:p w:rsidR="00AC2131" w:rsidRDefault="00AC2131" w:rsidP="00AC2131">
                  <w:pPr>
                    <w:pStyle w:val="TableBodyText"/>
                    <w:spacing w:after="0"/>
                    <w:ind w:left="0" w:right="57"/>
                  </w:pPr>
                  <w:r>
                    <w:t>6.7</w:t>
                  </w:r>
                </w:p>
              </w:tc>
              <w:tc>
                <w:tcPr>
                  <w:tcW w:w="796" w:type="dxa"/>
                  <w:shd w:val="clear" w:color="auto" w:fill="auto"/>
                  <w:vAlign w:val="bottom"/>
                </w:tcPr>
                <w:p w:rsidR="00AC2131" w:rsidRDefault="00AC2131" w:rsidP="00AC2131">
                  <w:pPr>
                    <w:pStyle w:val="TableBodyText"/>
                    <w:spacing w:after="0"/>
                    <w:ind w:left="0" w:right="57"/>
                  </w:pPr>
                  <w:r>
                    <w:t>7.8</w:t>
                  </w:r>
                </w:p>
              </w:tc>
              <w:tc>
                <w:tcPr>
                  <w:tcW w:w="792" w:type="dxa"/>
                  <w:shd w:val="clear" w:color="auto" w:fill="auto"/>
                  <w:vAlign w:val="bottom"/>
                </w:tcPr>
                <w:p w:rsidR="00AC2131" w:rsidRDefault="00AC2131" w:rsidP="00AC2131">
                  <w:pPr>
                    <w:pStyle w:val="TableBodyText"/>
                    <w:spacing w:after="0"/>
                    <w:ind w:left="0" w:right="57"/>
                  </w:pPr>
                  <w:r>
                    <w:t>11.3</w:t>
                  </w:r>
                </w:p>
              </w:tc>
            </w:tr>
            <w:tr w:rsidR="00AC2131" w:rsidTr="00AC2131">
              <w:tc>
                <w:tcPr>
                  <w:tcW w:w="3743" w:type="dxa"/>
                  <w:tcBorders>
                    <w:bottom w:val="single" w:sz="6" w:space="0" w:color="BFBFBF"/>
                  </w:tcBorders>
                  <w:shd w:val="clear" w:color="auto" w:fill="auto"/>
                  <w:vAlign w:val="bottom"/>
                </w:tcPr>
                <w:p w:rsidR="00AC2131" w:rsidRPr="00C56209" w:rsidRDefault="00AC2131" w:rsidP="00AC2131">
                  <w:pPr>
                    <w:ind w:left="227"/>
                    <w:rPr>
                      <w:rFonts w:ascii="Arial" w:hAnsi="Arial" w:cs="Arial"/>
                      <w:color w:val="000000"/>
                      <w:sz w:val="18"/>
                      <w:szCs w:val="18"/>
                    </w:rPr>
                  </w:pPr>
                  <w:r w:rsidRPr="00C56209">
                    <w:rPr>
                      <w:rFonts w:ascii="Arial" w:hAnsi="Arial" w:cs="Arial"/>
                      <w:color w:val="000000"/>
                      <w:sz w:val="18"/>
                      <w:szCs w:val="18"/>
                    </w:rPr>
                    <w:t>Tax deduction for conserving or conveying water</w:t>
                  </w:r>
                </w:p>
              </w:tc>
              <w:tc>
                <w:tcPr>
                  <w:tcW w:w="794" w:type="dxa"/>
                  <w:tcBorders>
                    <w:bottom w:val="single" w:sz="6" w:space="0" w:color="BFBFBF"/>
                  </w:tcBorders>
                  <w:vAlign w:val="bottom"/>
                </w:tcPr>
                <w:p w:rsidR="00AC2131" w:rsidRDefault="00AC2131" w:rsidP="00AC2131">
                  <w:pPr>
                    <w:pStyle w:val="TableBodyText"/>
                    <w:spacing w:after="0"/>
                    <w:ind w:left="0" w:right="57"/>
                  </w:pPr>
                  <w:r>
                    <w:t>13.3</w:t>
                  </w:r>
                </w:p>
              </w:tc>
              <w:tc>
                <w:tcPr>
                  <w:tcW w:w="794" w:type="dxa"/>
                  <w:tcBorders>
                    <w:bottom w:val="single" w:sz="6" w:space="0" w:color="BFBFBF"/>
                  </w:tcBorders>
                  <w:vAlign w:val="bottom"/>
                </w:tcPr>
                <w:p w:rsidR="00AC2131" w:rsidRDefault="00AC2131" w:rsidP="00AC2131">
                  <w:pPr>
                    <w:pStyle w:val="TableBodyText"/>
                    <w:spacing w:after="0"/>
                    <w:ind w:left="0" w:right="57"/>
                  </w:pPr>
                  <w:r>
                    <w:t>11.4</w:t>
                  </w:r>
                </w:p>
              </w:tc>
              <w:tc>
                <w:tcPr>
                  <w:tcW w:w="794" w:type="dxa"/>
                  <w:tcBorders>
                    <w:bottom w:val="single" w:sz="6" w:space="0" w:color="BFBFBF"/>
                  </w:tcBorders>
                  <w:vAlign w:val="bottom"/>
                </w:tcPr>
                <w:p w:rsidR="00AC2131" w:rsidRDefault="00AC2131" w:rsidP="00AC2131">
                  <w:pPr>
                    <w:pStyle w:val="TableBodyText"/>
                    <w:spacing w:after="0"/>
                    <w:ind w:left="0" w:right="57"/>
                  </w:pPr>
                  <w:r>
                    <w:t>11.2</w:t>
                  </w:r>
                </w:p>
              </w:tc>
              <w:tc>
                <w:tcPr>
                  <w:tcW w:w="796" w:type="dxa"/>
                  <w:tcBorders>
                    <w:bottom w:val="single" w:sz="6" w:space="0" w:color="BFBFBF"/>
                  </w:tcBorders>
                  <w:vAlign w:val="bottom"/>
                </w:tcPr>
                <w:p w:rsidR="00AC2131" w:rsidRDefault="00AC2131" w:rsidP="00AC2131">
                  <w:pPr>
                    <w:pStyle w:val="TableBodyText"/>
                    <w:spacing w:after="0"/>
                    <w:ind w:left="0" w:right="57"/>
                  </w:pPr>
                  <w:r>
                    <w:t>31.3</w:t>
                  </w:r>
                </w:p>
              </w:tc>
              <w:tc>
                <w:tcPr>
                  <w:tcW w:w="796" w:type="dxa"/>
                  <w:tcBorders>
                    <w:bottom w:val="single" w:sz="6" w:space="0" w:color="BFBFBF"/>
                  </w:tcBorders>
                  <w:shd w:val="clear" w:color="auto" w:fill="auto"/>
                  <w:vAlign w:val="bottom"/>
                </w:tcPr>
                <w:p w:rsidR="00AC2131" w:rsidRDefault="00AC2131" w:rsidP="00AC2131">
                  <w:pPr>
                    <w:pStyle w:val="TableBodyText"/>
                    <w:spacing w:after="0"/>
                    <w:ind w:left="0" w:right="57"/>
                  </w:pPr>
                  <w:r>
                    <w:t>32.5</w:t>
                  </w:r>
                </w:p>
              </w:tc>
              <w:tc>
                <w:tcPr>
                  <w:tcW w:w="792" w:type="dxa"/>
                  <w:tcBorders>
                    <w:bottom w:val="single" w:sz="6" w:space="0" w:color="BFBFBF"/>
                  </w:tcBorders>
                  <w:shd w:val="clear" w:color="auto" w:fill="auto"/>
                  <w:vAlign w:val="bottom"/>
                </w:tcPr>
                <w:p w:rsidR="00AC2131" w:rsidRDefault="00AC2131" w:rsidP="00AC2131">
                  <w:pPr>
                    <w:pStyle w:val="TableBodyText"/>
                    <w:spacing w:after="0"/>
                    <w:ind w:left="0" w:right="57"/>
                  </w:pPr>
                  <w:r>
                    <w:t>3.0</w:t>
                  </w:r>
                </w:p>
              </w:tc>
            </w:tr>
          </w:tbl>
          <w:p w:rsidR="00AC2131" w:rsidRDefault="00AC2131" w:rsidP="00AC2131">
            <w:pPr>
              <w:pStyle w:val="Box"/>
            </w:pPr>
          </w:p>
        </w:tc>
      </w:tr>
      <w:tr w:rsidR="00AC2131" w:rsidTr="00AC2131">
        <w:trPr>
          <w:cantSplit/>
        </w:trPr>
        <w:tc>
          <w:tcPr>
            <w:tcW w:w="8787" w:type="dxa"/>
            <w:tcBorders>
              <w:top w:val="nil"/>
              <w:left w:val="nil"/>
              <w:bottom w:val="nil"/>
              <w:right w:val="nil"/>
            </w:tcBorders>
            <w:shd w:val="clear" w:color="auto" w:fill="auto"/>
          </w:tcPr>
          <w:p w:rsidR="00AC2131" w:rsidRDefault="00AC2131" w:rsidP="00AC2131">
            <w:pPr>
              <w:pStyle w:val="Source"/>
              <w:jc w:val="right"/>
            </w:pPr>
            <w:r>
              <w:t xml:space="preserve"> (continued next page)</w:t>
            </w:r>
          </w:p>
        </w:tc>
      </w:tr>
      <w:tr w:rsidR="00AC2131" w:rsidTr="00AC2131">
        <w:trPr>
          <w:cantSplit/>
        </w:trPr>
        <w:tc>
          <w:tcPr>
            <w:tcW w:w="878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8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A.10</w:t>
            </w:r>
            <w:r>
              <w:tab/>
            </w:r>
            <w:r w:rsidRPr="006B64DF">
              <w:rPr>
                <w:b w:val="0"/>
                <w:sz w:val="18"/>
                <w:szCs w:val="18"/>
              </w:rPr>
              <w:t>(continued)</w:t>
            </w:r>
          </w:p>
        </w:tc>
      </w:tr>
      <w:tr w:rsidR="00AC2131" w:rsidTr="00AC2131">
        <w:trPr>
          <w:cantSplit/>
        </w:trPr>
        <w:tc>
          <w:tcPr>
            <w:tcW w:w="8767" w:type="dxa"/>
            <w:tcBorders>
              <w:top w:val="nil"/>
              <w:left w:val="nil"/>
              <w:bottom w:val="nil"/>
              <w:right w:val="nil"/>
            </w:tcBorders>
            <w:shd w:val="clear" w:color="auto" w:fill="auto"/>
          </w:tcPr>
          <w:tbl>
            <w:tblPr>
              <w:tblW w:w="8510" w:type="dxa"/>
              <w:tblLayout w:type="fixed"/>
              <w:tblCellMar>
                <w:top w:w="28" w:type="dxa"/>
                <w:left w:w="0" w:type="dxa"/>
                <w:right w:w="0" w:type="dxa"/>
              </w:tblCellMar>
              <w:tblLook w:val="0000" w:firstRow="0" w:lastRow="0" w:firstColumn="0" w:lastColumn="0" w:noHBand="0" w:noVBand="0"/>
            </w:tblPr>
            <w:tblGrid>
              <w:gridCol w:w="3744"/>
              <w:gridCol w:w="795"/>
              <w:gridCol w:w="795"/>
              <w:gridCol w:w="795"/>
              <w:gridCol w:w="795"/>
              <w:gridCol w:w="795"/>
              <w:gridCol w:w="791"/>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906AFF" w:rsidRDefault="00AC2131" w:rsidP="00AC2131">
                  <w:pPr>
                    <w:pStyle w:val="TableUnitsRow"/>
                    <w:spacing w:after="0"/>
                    <w:ind w:left="113"/>
                    <w:jc w:val="left"/>
                    <w:rPr>
                      <w:i/>
                    </w:rPr>
                  </w:pPr>
                  <w:r w:rsidRPr="00C56209">
                    <w:rPr>
                      <w:i/>
                    </w:rPr>
                    <w:t>Rural R&amp;D measures</w:t>
                  </w: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5"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Pr>
                      <w:rFonts w:ascii="Arial" w:hAnsi="Arial" w:cs="Arial"/>
                      <w:color w:val="000000"/>
                      <w:sz w:val="18"/>
                      <w:szCs w:val="18"/>
                    </w:rPr>
                    <w:t>Wool R&amp;D</w:t>
                  </w:r>
                </w:p>
              </w:tc>
              <w:tc>
                <w:tcPr>
                  <w:tcW w:w="467" w:type="pct"/>
                  <w:vAlign w:val="bottom"/>
                </w:tcPr>
                <w:p w:rsidR="00AC2131" w:rsidRDefault="00AC2131" w:rsidP="00AC2131">
                  <w:pPr>
                    <w:pStyle w:val="TableBodyText"/>
                    <w:spacing w:after="0"/>
                    <w:ind w:left="0" w:right="57"/>
                  </w:pPr>
                  <w:r>
                    <w:t>11.4</w:t>
                  </w:r>
                </w:p>
              </w:tc>
              <w:tc>
                <w:tcPr>
                  <w:tcW w:w="467" w:type="pct"/>
                  <w:vAlign w:val="bottom"/>
                </w:tcPr>
                <w:p w:rsidR="00AC2131" w:rsidRDefault="00AC2131" w:rsidP="00AC2131">
                  <w:pPr>
                    <w:pStyle w:val="TableBodyText"/>
                    <w:spacing w:after="0"/>
                    <w:ind w:left="0" w:right="57"/>
                  </w:pPr>
                  <w:r>
                    <w:t>10.5</w:t>
                  </w:r>
                </w:p>
              </w:tc>
              <w:tc>
                <w:tcPr>
                  <w:tcW w:w="467" w:type="pct"/>
                  <w:vAlign w:val="bottom"/>
                </w:tcPr>
                <w:p w:rsidR="00AC2131" w:rsidRDefault="00AC2131" w:rsidP="00AC2131">
                  <w:pPr>
                    <w:pStyle w:val="TableBodyText"/>
                    <w:spacing w:after="0"/>
                    <w:ind w:left="0" w:right="57"/>
                  </w:pPr>
                  <w:r>
                    <w:t>11.3</w:t>
                  </w:r>
                </w:p>
              </w:tc>
              <w:tc>
                <w:tcPr>
                  <w:tcW w:w="467" w:type="pct"/>
                  <w:vAlign w:val="bottom"/>
                </w:tcPr>
                <w:p w:rsidR="00AC2131" w:rsidRDefault="00AC2131" w:rsidP="00AC2131">
                  <w:pPr>
                    <w:pStyle w:val="TableBodyText"/>
                    <w:spacing w:after="0"/>
                    <w:ind w:left="0" w:right="57"/>
                  </w:pPr>
                  <w:r>
                    <w:t>12.5</w:t>
                  </w:r>
                </w:p>
              </w:tc>
              <w:tc>
                <w:tcPr>
                  <w:tcW w:w="467" w:type="pct"/>
                  <w:shd w:val="clear" w:color="auto" w:fill="auto"/>
                  <w:vAlign w:val="bottom"/>
                </w:tcPr>
                <w:p w:rsidR="00AC2131" w:rsidRDefault="00AC2131" w:rsidP="00AC2131">
                  <w:pPr>
                    <w:pStyle w:val="TableBodyText"/>
                    <w:spacing w:after="0"/>
                    <w:ind w:left="0" w:right="57"/>
                  </w:pPr>
                  <w:r>
                    <w:t>13.3</w:t>
                  </w:r>
                </w:p>
              </w:tc>
              <w:tc>
                <w:tcPr>
                  <w:tcW w:w="465" w:type="pct"/>
                  <w:shd w:val="clear" w:color="auto" w:fill="auto"/>
                  <w:vAlign w:val="bottom"/>
                </w:tcPr>
                <w:p w:rsidR="00AC2131" w:rsidRDefault="00AC2131" w:rsidP="00AC2131">
                  <w:pPr>
                    <w:pStyle w:val="TableBodyText"/>
                    <w:spacing w:after="0"/>
                    <w:ind w:left="0" w:right="57"/>
                  </w:pPr>
                  <w:r>
                    <w:t>13.0</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sidRPr="005B640C">
                    <w:rPr>
                      <w:rFonts w:ascii="Arial" w:hAnsi="Arial" w:cs="Arial"/>
                      <w:color w:val="000000"/>
                      <w:sz w:val="18"/>
                      <w:szCs w:val="18"/>
                    </w:rPr>
                    <w:t>Grains R</w:t>
                  </w:r>
                  <w:r>
                    <w:rPr>
                      <w:rFonts w:ascii="Arial" w:hAnsi="Arial" w:cs="Arial"/>
                      <w:color w:val="000000"/>
                      <w:sz w:val="18"/>
                      <w:szCs w:val="18"/>
                    </w:rPr>
                    <w:t>&amp;D</w:t>
                  </w:r>
                  <w:r w:rsidRPr="005B640C">
                    <w:rPr>
                      <w:rFonts w:ascii="Arial" w:hAnsi="Arial" w:cs="Arial"/>
                      <w:color w:val="000000"/>
                      <w:sz w:val="18"/>
                      <w:szCs w:val="18"/>
                    </w:rPr>
                    <w:t xml:space="preserve"> Corporation</w:t>
                  </w:r>
                </w:p>
              </w:tc>
              <w:tc>
                <w:tcPr>
                  <w:tcW w:w="467" w:type="pct"/>
                  <w:vAlign w:val="bottom"/>
                </w:tcPr>
                <w:p w:rsidR="00AC2131" w:rsidRDefault="00AC2131" w:rsidP="00AC2131">
                  <w:pPr>
                    <w:pStyle w:val="TableBodyText"/>
                    <w:spacing w:after="0"/>
                    <w:ind w:left="0" w:right="57"/>
                  </w:pPr>
                  <w:r>
                    <w:t>36.9</w:t>
                  </w:r>
                </w:p>
              </w:tc>
              <w:tc>
                <w:tcPr>
                  <w:tcW w:w="467" w:type="pct"/>
                  <w:vAlign w:val="bottom"/>
                </w:tcPr>
                <w:p w:rsidR="00AC2131" w:rsidRDefault="00AC2131" w:rsidP="00AC2131">
                  <w:pPr>
                    <w:pStyle w:val="TableBodyText"/>
                    <w:spacing w:after="0"/>
                    <w:ind w:left="0" w:right="57"/>
                  </w:pPr>
                  <w:r>
                    <w:t>50.1</w:t>
                  </w:r>
                </w:p>
              </w:tc>
              <w:tc>
                <w:tcPr>
                  <w:tcW w:w="467" w:type="pct"/>
                  <w:vAlign w:val="bottom"/>
                </w:tcPr>
                <w:p w:rsidR="00AC2131" w:rsidRDefault="00AC2131" w:rsidP="00AC2131">
                  <w:pPr>
                    <w:pStyle w:val="TableBodyText"/>
                    <w:spacing w:after="0"/>
                    <w:ind w:left="0" w:right="57"/>
                  </w:pPr>
                  <w:r>
                    <w:t>53.4</w:t>
                  </w:r>
                </w:p>
              </w:tc>
              <w:tc>
                <w:tcPr>
                  <w:tcW w:w="467" w:type="pct"/>
                  <w:vAlign w:val="bottom"/>
                </w:tcPr>
                <w:p w:rsidR="00AC2131" w:rsidRDefault="00AC2131" w:rsidP="00AC2131">
                  <w:pPr>
                    <w:pStyle w:val="TableBodyText"/>
                    <w:spacing w:after="0"/>
                    <w:ind w:left="0" w:right="57"/>
                  </w:pPr>
                  <w:r>
                    <w:t>55.9</w:t>
                  </w:r>
                </w:p>
              </w:tc>
              <w:tc>
                <w:tcPr>
                  <w:tcW w:w="467" w:type="pct"/>
                  <w:shd w:val="clear" w:color="auto" w:fill="auto"/>
                  <w:vAlign w:val="bottom"/>
                </w:tcPr>
                <w:p w:rsidR="00AC2131" w:rsidRDefault="00AC2131" w:rsidP="00AC2131">
                  <w:pPr>
                    <w:pStyle w:val="TableBodyText"/>
                    <w:spacing w:after="0"/>
                    <w:ind w:left="0" w:right="57"/>
                  </w:pPr>
                  <w:r>
                    <w:t>62.8</w:t>
                  </w:r>
                </w:p>
              </w:tc>
              <w:tc>
                <w:tcPr>
                  <w:tcW w:w="465" w:type="pct"/>
                  <w:shd w:val="clear" w:color="auto" w:fill="auto"/>
                  <w:vAlign w:val="bottom"/>
                </w:tcPr>
                <w:p w:rsidR="00AC2131" w:rsidRDefault="00AC2131" w:rsidP="00AC2131">
                  <w:pPr>
                    <w:pStyle w:val="TableBodyText"/>
                    <w:spacing w:after="0"/>
                    <w:ind w:left="0" w:right="57"/>
                  </w:pPr>
                  <w:r>
                    <w:t>68.6</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sidRPr="005B640C">
                    <w:rPr>
                      <w:rFonts w:ascii="Arial" w:hAnsi="Arial" w:cs="Arial"/>
                      <w:color w:val="000000"/>
                      <w:sz w:val="18"/>
                      <w:szCs w:val="18"/>
                    </w:rPr>
                    <w:t>Harvesting Productivity Initiative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sidRPr="005B640C">
                    <w:rPr>
                      <w:rFonts w:ascii="Arial" w:hAnsi="Arial" w:cs="Arial"/>
                      <w:color w:val="000000"/>
                      <w:sz w:val="18"/>
                      <w:szCs w:val="18"/>
                    </w:rPr>
                    <w:t>Meat and Livestock Australia R</w:t>
                  </w:r>
                  <w:r>
                    <w:rPr>
                      <w:rFonts w:ascii="Arial" w:hAnsi="Arial" w:cs="Arial"/>
                      <w:color w:val="000000"/>
                      <w:sz w:val="18"/>
                      <w:szCs w:val="18"/>
                    </w:rPr>
                    <w:t>&amp;</w:t>
                  </w:r>
                  <w:r w:rsidRPr="005B640C">
                    <w:rPr>
                      <w:rFonts w:ascii="Arial" w:hAnsi="Arial" w:cs="Arial"/>
                      <w:color w:val="000000"/>
                      <w:sz w:val="18"/>
                      <w:szCs w:val="18"/>
                    </w:rPr>
                    <w:t>D</w:t>
                  </w:r>
                </w:p>
              </w:tc>
              <w:tc>
                <w:tcPr>
                  <w:tcW w:w="467" w:type="pct"/>
                  <w:vAlign w:val="bottom"/>
                </w:tcPr>
                <w:p w:rsidR="00AC2131" w:rsidRDefault="00AC2131" w:rsidP="00AC2131">
                  <w:pPr>
                    <w:pStyle w:val="TableBodyText"/>
                    <w:spacing w:after="0"/>
                    <w:ind w:left="0" w:right="57"/>
                  </w:pPr>
                  <w:r>
                    <w:t>31.4</w:t>
                  </w:r>
                </w:p>
              </w:tc>
              <w:tc>
                <w:tcPr>
                  <w:tcW w:w="467" w:type="pct"/>
                  <w:vAlign w:val="bottom"/>
                </w:tcPr>
                <w:p w:rsidR="00AC2131" w:rsidRDefault="00AC2131" w:rsidP="00AC2131">
                  <w:pPr>
                    <w:pStyle w:val="TableBodyText"/>
                    <w:spacing w:after="0"/>
                    <w:ind w:left="0" w:right="57"/>
                  </w:pPr>
                  <w:r>
                    <w:t>38.1</w:t>
                  </w:r>
                </w:p>
              </w:tc>
              <w:tc>
                <w:tcPr>
                  <w:tcW w:w="467" w:type="pct"/>
                  <w:vAlign w:val="bottom"/>
                </w:tcPr>
                <w:p w:rsidR="00AC2131" w:rsidRDefault="00AC2131" w:rsidP="00AC2131">
                  <w:pPr>
                    <w:pStyle w:val="TableBodyText"/>
                    <w:spacing w:after="0"/>
                    <w:ind w:left="0" w:right="57"/>
                  </w:pPr>
                  <w:r>
                    <w:t>35.6</w:t>
                  </w:r>
                </w:p>
              </w:tc>
              <w:tc>
                <w:tcPr>
                  <w:tcW w:w="467" w:type="pct"/>
                  <w:vAlign w:val="bottom"/>
                </w:tcPr>
                <w:p w:rsidR="00AC2131" w:rsidRDefault="00AC2131" w:rsidP="00AC2131">
                  <w:pPr>
                    <w:pStyle w:val="TableBodyText"/>
                    <w:spacing w:after="0"/>
                    <w:ind w:left="0" w:right="57"/>
                  </w:pPr>
                  <w:r>
                    <w:t>37.1</w:t>
                  </w:r>
                </w:p>
              </w:tc>
              <w:tc>
                <w:tcPr>
                  <w:tcW w:w="467" w:type="pct"/>
                  <w:shd w:val="clear" w:color="auto" w:fill="auto"/>
                  <w:vAlign w:val="bottom"/>
                </w:tcPr>
                <w:p w:rsidR="00AC2131" w:rsidRDefault="00AC2131" w:rsidP="00AC2131">
                  <w:pPr>
                    <w:pStyle w:val="TableBodyText"/>
                    <w:spacing w:after="0"/>
                    <w:ind w:left="0" w:right="57"/>
                  </w:pPr>
                  <w:r>
                    <w:t>38.3</w:t>
                  </w:r>
                </w:p>
              </w:tc>
              <w:tc>
                <w:tcPr>
                  <w:tcW w:w="465" w:type="pct"/>
                  <w:shd w:val="clear" w:color="auto" w:fill="auto"/>
                  <w:vAlign w:val="bottom"/>
                </w:tcPr>
                <w:p w:rsidR="00AC2131" w:rsidRDefault="00AC2131" w:rsidP="00AC2131">
                  <w:pPr>
                    <w:pStyle w:val="TableBodyText"/>
                    <w:spacing w:after="0"/>
                    <w:ind w:left="0" w:right="57"/>
                  </w:pPr>
                  <w:r>
                    <w:t>46.7</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sidRPr="005B640C">
                    <w:rPr>
                      <w:rFonts w:ascii="Arial" w:hAnsi="Arial" w:cs="Arial"/>
                      <w:color w:val="000000"/>
                      <w:sz w:val="18"/>
                      <w:szCs w:val="18"/>
                    </w:rPr>
                    <w:t>Rural Industries R</w:t>
                  </w:r>
                  <w:r>
                    <w:rPr>
                      <w:rFonts w:ascii="Arial" w:hAnsi="Arial" w:cs="Arial"/>
                      <w:color w:val="000000"/>
                      <w:sz w:val="18"/>
                      <w:szCs w:val="18"/>
                    </w:rPr>
                    <w:t xml:space="preserve">&amp;D </w:t>
                  </w:r>
                  <w:r w:rsidRPr="005B640C">
                    <w:rPr>
                      <w:rFonts w:ascii="Arial" w:hAnsi="Arial" w:cs="Arial"/>
                      <w:color w:val="000000"/>
                      <w:sz w:val="18"/>
                      <w:szCs w:val="18"/>
                    </w:rPr>
                    <w:t>Corporation</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1.0</w:t>
                  </w:r>
                </w:p>
              </w:tc>
              <w:tc>
                <w:tcPr>
                  <w:tcW w:w="467" w:type="pct"/>
                  <w:shd w:val="clear" w:color="auto" w:fill="auto"/>
                  <w:vAlign w:val="bottom"/>
                </w:tcPr>
                <w:p w:rsidR="00AC2131" w:rsidRDefault="00AC2131" w:rsidP="00AC2131">
                  <w:pPr>
                    <w:pStyle w:val="TableBodyText"/>
                    <w:spacing w:after="0"/>
                    <w:ind w:left="0" w:right="57"/>
                  </w:pPr>
                  <w:r>
                    <w:t>2.5</w:t>
                  </w:r>
                </w:p>
              </w:tc>
              <w:tc>
                <w:tcPr>
                  <w:tcW w:w="465" w:type="pct"/>
                  <w:shd w:val="clear" w:color="auto" w:fill="auto"/>
                  <w:vAlign w:val="bottom"/>
                </w:tcPr>
                <w:p w:rsidR="00AC2131" w:rsidRDefault="00AC2131" w:rsidP="00AC2131">
                  <w:pPr>
                    <w:pStyle w:val="TableBodyText"/>
                    <w:spacing w:after="0"/>
                    <w:ind w:left="0" w:right="57"/>
                  </w:pPr>
                  <w:r>
                    <w:t>3.8</w:t>
                  </w:r>
                </w:p>
              </w:tc>
            </w:tr>
            <w:tr w:rsidR="00AC2131" w:rsidTr="00AC2131">
              <w:tc>
                <w:tcPr>
                  <w:tcW w:w="2200" w:type="pct"/>
                </w:tcPr>
                <w:p w:rsidR="00AC2131" w:rsidRPr="00906AFF" w:rsidRDefault="00AC2131" w:rsidP="00AC2131">
                  <w:pPr>
                    <w:pStyle w:val="TableUnitsRow"/>
                    <w:spacing w:after="0"/>
                    <w:ind w:left="113"/>
                    <w:jc w:val="left"/>
                    <w:rPr>
                      <w:i/>
                    </w:rPr>
                  </w:pPr>
                  <w:r w:rsidRPr="00906AFF">
                    <w:rPr>
                      <w:i/>
                    </w:rPr>
                    <w:t>General export measures</w:t>
                  </w: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5" w:type="pct"/>
                </w:tcPr>
                <w:p w:rsidR="00AC2131" w:rsidRDefault="00AC2131" w:rsidP="00AC2131">
                  <w:pPr>
                    <w:pStyle w:val="TableUnitsRow"/>
                    <w:spacing w:after="0"/>
                    <w:ind w:left="113" w:right="28"/>
                  </w:pP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sidRPr="00906AFF">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0.4</w:t>
                  </w:r>
                </w:p>
              </w:tc>
              <w:tc>
                <w:tcPr>
                  <w:tcW w:w="465" w:type="pct"/>
                  <w:shd w:val="clear" w:color="auto" w:fill="auto"/>
                  <w:vAlign w:val="bottom"/>
                </w:tcPr>
                <w:p w:rsidR="00AC2131" w:rsidRDefault="00AC2131" w:rsidP="00AC2131">
                  <w:pPr>
                    <w:pStyle w:val="TableBodyText"/>
                    <w:spacing w:after="0"/>
                    <w:ind w:left="0" w:right="57"/>
                  </w:pPr>
                  <w:r>
                    <w:t>0.5</w:t>
                  </w:r>
                </w:p>
              </w:tc>
            </w:tr>
            <w:tr w:rsidR="00AC2131" w:rsidTr="00AC2131">
              <w:tc>
                <w:tcPr>
                  <w:tcW w:w="2200" w:type="pct"/>
                  <w:shd w:val="clear" w:color="auto" w:fill="auto"/>
                </w:tcPr>
                <w:p w:rsidR="00AC2131" w:rsidRPr="00906AFF" w:rsidRDefault="00AC2131" w:rsidP="00AC2131">
                  <w:pPr>
                    <w:pStyle w:val="TableBodyText"/>
                    <w:spacing w:before="40" w:after="0"/>
                    <w:ind w:left="113"/>
                    <w:jc w:val="left"/>
                    <w:rPr>
                      <w:i/>
                    </w:rPr>
                  </w:pPr>
                  <w:r w:rsidRPr="00906AFF">
                    <w:rPr>
                      <w:i/>
                    </w:rPr>
                    <w:t>General R&amp;D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sidRPr="00906AFF">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sidRPr="00906AFF">
                    <w:rPr>
                      <w:rFonts w:ascii="Arial" w:hAnsi="Arial" w:cs="Arial"/>
                      <w:color w:val="000000"/>
                      <w:sz w:val="18"/>
                      <w:szCs w:val="18"/>
                    </w:rPr>
                    <w:t>Cooperative Research Centres</w:t>
                  </w:r>
                </w:p>
              </w:tc>
              <w:tc>
                <w:tcPr>
                  <w:tcW w:w="467" w:type="pct"/>
                  <w:vAlign w:val="bottom"/>
                </w:tcPr>
                <w:p w:rsidR="00AC2131" w:rsidRDefault="00AC2131" w:rsidP="00AC2131">
                  <w:pPr>
                    <w:pStyle w:val="TableBodyText"/>
                    <w:spacing w:after="0"/>
                    <w:ind w:left="0" w:right="57"/>
                  </w:pPr>
                  <w:r>
                    <w:t>12.1</w:t>
                  </w:r>
                </w:p>
              </w:tc>
              <w:tc>
                <w:tcPr>
                  <w:tcW w:w="467" w:type="pct"/>
                  <w:vAlign w:val="bottom"/>
                </w:tcPr>
                <w:p w:rsidR="00AC2131" w:rsidRDefault="00AC2131" w:rsidP="00AC2131">
                  <w:pPr>
                    <w:pStyle w:val="TableBodyText"/>
                    <w:spacing w:after="0"/>
                    <w:ind w:left="0" w:right="57"/>
                  </w:pPr>
                  <w:r>
                    <w:t>11.5</w:t>
                  </w:r>
                </w:p>
              </w:tc>
              <w:tc>
                <w:tcPr>
                  <w:tcW w:w="467" w:type="pct"/>
                  <w:vAlign w:val="bottom"/>
                </w:tcPr>
                <w:p w:rsidR="00AC2131" w:rsidRDefault="00AC2131" w:rsidP="00AC2131">
                  <w:pPr>
                    <w:pStyle w:val="TableBodyText"/>
                    <w:spacing w:after="0"/>
                    <w:ind w:left="0" w:right="57"/>
                  </w:pPr>
                  <w:r>
                    <w:t>9.8</w:t>
                  </w:r>
                </w:p>
              </w:tc>
              <w:tc>
                <w:tcPr>
                  <w:tcW w:w="467" w:type="pct"/>
                  <w:vAlign w:val="bottom"/>
                </w:tcPr>
                <w:p w:rsidR="00AC2131" w:rsidRDefault="00AC2131" w:rsidP="00AC2131">
                  <w:pPr>
                    <w:pStyle w:val="TableBodyText"/>
                    <w:spacing w:after="0"/>
                    <w:ind w:left="0" w:right="57"/>
                  </w:pPr>
                  <w:r>
                    <w:t>6.1</w:t>
                  </w:r>
                </w:p>
              </w:tc>
              <w:tc>
                <w:tcPr>
                  <w:tcW w:w="467" w:type="pct"/>
                  <w:shd w:val="clear" w:color="auto" w:fill="auto"/>
                  <w:vAlign w:val="bottom"/>
                </w:tcPr>
                <w:p w:rsidR="00AC2131" w:rsidRDefault="00AC2131" w:rsidP="00AC2131">
                  <w:pPr>
                    <w:pStyle w:val="TableBodyText"/>
                    <w:spacing w:after="0"/>
                    <w:ind w:left="0" w:right="57"/>
                  </w:pPr>
                  <w:r>
                    <w:t>3.7</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sidRPr="00906AFF">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44.3</w:t>
                  </w:r>
                </w:p>
              </w:tc>
              <w:tc>
                <w:tcPr>
                  <w:tcW w:w="467" w:type="pct"/>
                  <w:vAlign w:val="bottom"/>
                </w:tcPr>
                <w:p w:rsidR="00AC2131" w:rsidRDefault="00AC2131" w:rsidP="00AC2131">
                  <w:pPr>
                    <w:pStyle w:val="TableBodyText"/>
                    <w:spacing w:after="0"/>
                    <w:ind w:left="0" w:right="57"/>
                  </w:pPr>
                  <w:r>
                    <w:t>47.8</w:t>
                  </w:r>
                </w:p>
              </w:tc>
              <w:tc>
                <w:tcPr>
                  <w:tcW w:w="467" w:type="pct"/>
                  <w:vAlign w:val="bottom"/>
                </w:tcPr>
                <w:p w:rsidR="00AC2131" w:rsidRDefault="00AC2131" w:rsidP="00AC2131">
                  <w:pPr>
                    <w:pStyle w:val="TableBodyText"/>
                    <w:spacing w:after="0"/>
                    <w:ind w:left="0" w:right="57"/>
                  </w:pPr>
                  <w:r>
                    <w:t>48.9</w:t>
                  </w:r>
                </w:p>
              </w:tc>
              <w:tc>
                <w:tcPr>
                  <w:tcW w:w="467" w:type="pct"/>
                  <w:vAlign w:val="bottom"/>
                </w:tcPr>
                <w:p w:rsidR="00AC2131" w:rsidRDefault="00AC2131" w:rsidP="00AC2131">
                  <w:pPr>
                    <w:pStyle w:val="TableBodyText"/>
                    <w:spacing w:after="0"/>
                    <w:ind w:left="0" w:right="57"/>
                  </w:pPr>
                  <w:r>
                    <w:t>81.9</w:t>
                  </w:r>
                </w:p>
              </w:tc>
              <w:tc>
                <w:tcPr>
                  <w:tcW w:w="467" w:type="pct"/>
                  <w:shd w:val="clear" w:color="auto" w:fill="auto"/>
                  <w:vAlign w:val="bottom"/>
                </w:tcPr>
                <w:p w:rsidR="00AC2131" w:rsidRDefault="00AC2131" w:rsidP="00AC2131">
                  <w:pPr>
                    <w:pStyle w:val="TableBodyText"/>
                    <w:spacing w:after="0"/>
                    <w:ind w:left="0" w:right="57"/>
                  </w:pPr>
                  <w:r>
                    <w:t>70.7</w:t>
                  </w:r>
                </w:p>
              </w:tc>
              <w:tc>
                <w:tcPr>
                  <w:tcW w:w="465" w:type="pct"/>
                  <w:shd w:val="clear" w:color="auto" w:fill="auto"/>
                  <w:vAlign w:val="bottom"/>
                </w:tcPr>
                <w:p w:rsidR="00AC2131" w:rsidRDefault="00AC2131" w:rsidP="00AC2131">
                  <w:pPr>
                    <w:pStyle w:val="TableBodyText"/>
                    <w:spacing w:after="0"/>
                    <w:ind w:left="0" w:right="57"/>
                  </w:pPr>
                  <w:r>
                    <w:t>81.4</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sidRPr="00906AFF">
                    <w:rPr>
                      <w:rFonts w:ascii="Arial" w:hAnsi="Arial" w:cs="Arial"/>
                      <w:color w:val="000000"/>
                      <w:sz w:val="18"/>
                      <w:szCs w:val="18"/>
                    </w:rPr>
                    <w:t>New Industries Development Program</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sidRPr="00906AFF">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2.8</w:t>
                  </w:r>
                </w:p>
              </w:tc>
              <w:tc>
                <w:tcPr>
                  <w:tcW w:w="467" w:type="pct"/>
                  <w:vAlign w:val="bottom"/>
                </w:tcPr>
                <w:p w:rsidR="00AC2131" w:rsidRDefault="00AC2131" w:rsidP="00AC2131">
                  <w:pPr>
                    <w:pStyle w:val="TableBodyText"/>
                    <w:spacing w:after="0"/>
                    <w:ind w:left="0" w:right="57"/>
                  </w:pPr>
                  <w:r>
                    <w:t>2.8</w:t>
                  </w:r>
                </w:p>
              </w:tc>
              <w:tc>
                <w:tcPr>
                  <w:tcW w:w="467" w:type="pct"/>
                  <w:vAlign w:val="bottom"/>
                </w:tcPr>
                <w:p w:rsidR="00AC2131" w:rsidRDefault="00AC2131" w:rsidP="00AC2131">
                  <w:pPr>
                    <w:pStyle w:val="TableBodyText"/>
                    <w:spacing w:after="0"/>
                    <w:ind w:left="0" w:right="57"/>
                  </w:pPr>
                  <w:r>
                    <w:t>2.4</w:t>
                  </w:r>
                </w:p>
              </w:tc>
              <w:tc>
                <w:tcPr>
                  <w:tcW w:w="467" w:type="pct"/>
                  <w:shd w:val="clear" w:color="auto" w:fill="auto"/>
                  <w:vAlign w:val="bottom"/>
                </w:tcPr>
                <w:p w:rsidR="00AC2131" w:rsidRDefault="00AC2131" w:rsidP="00AC2131">
                  <w:pPr>
                    <w:pStyle w:val="TableBodyText"/>
                    <w:spacing w:after="0"/>
                    <w:ind w:left="0" w:right="57"/>
                  </w:pPr>
                  <w:r>
                    <w:t>1.1</w:t>
                  </w:r>
                </w:p>
              </w:tc>
              <w:tc>
                <w:tcPr>
                  <w:tcW w:w="465" w:type="pct"/>
                  <w:shd w:val="clear" w:color="auto" w:fill="auto"/>
                  <w:vAlign w:val="bottom"/>
                </w:tcPr>
                <w:p w:rsidR="00AC2131" w:rsidRDefault="00AC2131" w:rsidP="00AC2131">
                  <w:pPr>
                    <w:pStyle w:val="TableBodyText"/>
                    <w:spacing w:after="0"/>
                    <w:ind w:left="0" w:right="57"/>
                  </w:pPr>
                  <w:r>
                    <w:t>0.4</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-1.4</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6.4</w:t>
                  </w:r>
                </w:p>
              </w:tc>
              <w:tc>
                <w:tcPr>
                  <w:tcW w:w="465" w:type="pct"/>
                  <w:shd w:val="clear" w:color="auto" w:fill="auto"/>
                  <w:vAlign w:val="bottom"/>
                </w:tcPr>
                <w:p w:rsidR="00AC2131" w:rsidRDefault="00AC2131" w:rsidP="00AC2131">
                  <w:pPr>
                    <w:pStyle w:val="TableBodyText"/>
                    <w:spacing w:after="0"/>
                    <w:ind w:left="0" w:right="57"/>
                  </w:pPr>
                  <w:r>
                    <w:t>5.3</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2.6</w:t>
                  </w:r>
                </w:p>
              </w:tc>
              <w:tc>
                <w:tcPr>
                  <w:tcW w:w="465" w:type="pct"/>
                  <w:shd w:val="clear" w:color="auto" w:fill="auto"/>
                  <w:vAlign w:val="bottom"/>
                </w:tcPr>
                <w:p w:rsidR="00AC2131" w:rsidRDefault="00AC2131" w:rsidP="00AC2131">
                  <w:pPr>
                    <w:pStyle w:val="TableBodyText"/>
                    <w:spacing w:after="0"/>
                    <w:ind w:left="0" w:right="57"/>
                  </w:pPr>
                  <w:r>
                    <w:t>4.7</w:t>
                  </w:r>
                </w:p>
              </w:tc>
            </w:tr>
            <w:tr w:rsidR="00AC2131" w:rsidTr="00AC2131">
              <w:tc>
                <w:tcPr>
                  <w:tcW w:w="2200" w:type="pct"/>
                  <w:shd w:val="clear" w:color="auto" w:fill="auto"/>
                  <w:vAlign w:val="bottom"/>
                </w:tcPr>
                <w:p w:rsidR="00AC2131" w:rsidRPr="00906AFF"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7.2</w:t>
                  </w:r>
                </w:p>
              </w:tc>
              <w:tc>
                <w:tcPr>
                  <w:tcW w:w="467" w:type="pct"/>
                  <w:vAlign w:val="bottom"/>
                </w:tcPr>
                <w:p w:rsidR="00AC2131" w:rsidRDefault="00AC2131" w:rsidP="00AC2131">
                  <w:pPr>
                    <w:pStyle w:val="TableBodyText"/>
                    <w:spacing w:after="0"/>
                    <w:ind w:left="0" w:right="57"/>
                  </w:pPr>
                  <w:r>
                    <w:t>3.0</w:t>
                  </w:r>
                </w:p>
              </w:tc>
              <w:tc>
                <w:tcPr>
                  <w:tcW w:w="467" w:type="pct"/>
                  <w:vAlign w:val="bottom"/>
                </w:tcPr>
                <w:p w:rsidR="00AC2131" w:rsidRDefault="00AC2131" w:rsidP="00AC2131">
                  <w:pPr>
                    <w:pStyle w:val="TableBodyText"/>
                    <w:spacing w:after="0"/>
                    <w:ind w:left="0" w:right="57"/>
                  </w:pPr>
                  <w:r>
                    <w:t>3.4</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5A46FC" w:rsidRDefault="00AC2131" w:rsidP="00AC2131">
                  <w:pPr>
                    <w:pStyle w:val="TableBodyText"/>
                    <w:spacing w:before="40" w:after="0"/>
                    <w:ind w:left="113"/>
                    <w:jc w:val="left"/>
                    <w:rPr>
                      <w:i/>
                    </w:rPr>
                  </w:pPr>
                  <w:r w:rsidRPr="005A46FC">
                    <w:rPr>
                      <w:i/>
                    </w:rPr>
                    <w:t>Other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5A46FC" w:rsidRDefault="00AC2131" w:rsidP="00AC2131">
                  <w:pPr>
                    <w:ind w:left="227"/>
                    <w:rPr>
                      <w:rFonts w:ascii="Arial" w:hAnsi="Arial" w:cs="Arial"/>
                      <w:color w:val="000000"/>
                      <w:sz w:val="18"/>
                      <w:szCs w:val="18"/>
                    </w:rPr>
                  </w:pPr>
                  <w:r w:rsidRPr="005A46FC">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1.6</w:t>
                  </w:r>
                </w:p>
              </w:tc>
              <w:tc>
                <w:tcPr>
                  <w:tcW w:w="467" w:type="pct"/>
                  <w:shd w:val="clear" w:color="auto" w:fill="auto"/>
                  <w:vAlign w:val="bottom"/>
                </w:tcPr>
                <w:p w:rsidR="00AC2131" w:rsidRDefault="00AC2131" w:rsidP="00AC2131">
                  <w:pPr>
                    <w:pStyle w:val="TableBodyText"/>
                    <w:spacing w:after="0"/>
                    <w:ind w:left="0" w:right="57"/>
                  </w:pPr>
                  <w:r>
                    <w:t>1.3</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A46FC" w:rsidRDefault="00AC2131" w:rsidP="00AC2131">
                  <w:pPr>
                    <w:ind w:left="227"/>
                    <w:rPr>
                      <w:rFonts w:ascii="Arial" w:hAnsi="Arial" w:cs="Arial"/>
                      <w:color w:val="000000"/>
                      <w:sz w:val="18"/>
                      <w:szCs w:val="18"/>
                    </w:rPr>
                  </w:pPr>
                  <w:r w:rsidRPr="005A46FC">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5A46FC" w:rsidRDefault="00AC2131" w:rsidP="00AC2131">
                  <w:pPr>
                    <w:ind w:left="227"/>
                    <w:rPr>
                      <w:rFonts w:ascii="Arial" w:hAnsi="Arial" w:cs="Arial"/>
                      <w:color w:val="000000"/>
                      <w:sz w:val="18"/>
                      <w:szCs w:val="18"/>
                    </w:rPr>
                  </w:pPr>
                  <w:r w:rsidRPr="005A46FC">
                    <w:rPr>
                      <w:rFonts w:ascii="Arial" w:hAnsi="Arial" w:cs="Arial"/>
                      <w:color w:val="000000"/>
                      <w:sz w:val="18"/>
                      <w:szCs w:val="18"/>
                    </w:rPr>
                    <w:t>Live Animal Exports Business Assistance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13.3</w:t>
                  </w:r>
                </w:p>
              </w:tc>
              <w:tc>
                <w:tcPr>
                  <w:tcW w:w="467" w:type="pct"/>
                  <w:shd w:val="clear" w:color="auto" w:fill="auto"/>
                  <w:vAlign w:val="bottom"/>
                </w:tcPr>
                <w:p w:rsidR="00AC2131" w:rsidRDefault="00AC2131" w:rsidP="00AC2131">
                  <w:pPr>
                    <w:pStyle w:val="TableBodyText"/>
                    <w:spacing w:after="0"/>
                    <w:ind w:left="0" w:right="57"/>
                  </w:pPr>
                  <w:r>
                    <w:t>2.3</w:t>
                  </w:r>
                </w:p>
              </w:tc>
              <w:tc>
                <w:tcPr>
                  <w:tcW w:w="465" w:type="pct"/>
                  <w:shd w:val="clear" w:color="auto" w:fill="auto"/>
                  <w:vAlign w:val="bottom"/>
                </w:tcPr>
                <w:p w:rsidR="00AC2131" w:rsidRDefault="00AC2131" w:rsidP="00AC2131">
                  <w:pPr>
                    <w:pStyle w:val="TableBodyText"/>
                    <w:spacing w:after="0"/>
                    <w:ind w:left="0" w:right="57"/>
                  </w:pPr>
                  <w:r>
                    <w:t>3.1</w:t>
                  </w:r>
                </w:p>
              </w:tc>
            </w:tr>
            <w:tr w:rsidR="00AC2131" w:rsidTr="00AC2131">
              <w:tc>
                <w:tcPr>
                  <w:tcW w:w="2200" w:type="pct"/>
                  <w:shd w:val="clear" w:color="auto" w:fill="auto"/>
                  <w:vAlign w:val="bottom"/>
                </w:tcPr>
                <w:p w:rsidR="00AC2131" w:rsidRPr="005A46FC"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0" w:right="57"/>
                  </w:pPr>
                  <w:r>
                    <w:t>3.1</w:t>
                  </w:r>
                </w:p>
              </w:tc>
              <w:tc>
                <w:tcPr>
                  <w:tcW w:w="467" w:type="pct"/>
                  <w:vAlign w:val="bottom"/>
                </w:tcPr>
                <w:p w:rsidR="00AC2131" w:rsidRDefault="00AC2131" w:rsidP="00AC2131">
                  <w:pPr>
                    <w:pStyle w:val="TableBodyText"/>
                    <w:spacing w:after="0"/>
                    <w:ind w:left="0" w:right="57"/>
                  </w:pPr>
                  <w:r>
                    <w:t>4.1</w:t>
                  </w:r>
                </w:p>
              </w:tc>
              <w:tc>
                <w:tcPr>
                  <w:tcW w:w="467" w:type="pct"/>
                  <w:vAlign w:val="bottom"/>
                </w:tcPr>
                <w:p w:rsidR="00AC2131" w:rsidRDefault="00AC2131" w:rsidP="00AC2131">
                  <w:pPr>
                    <w:pStyle w:val="TableBodyText"/>
                    <w:spacing w:after="0"/>
                    <w:ind w:left="0" w:right="57"/>
                  </w:pPr>
                  <w:r>
                    <w:t>6.7</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-2.1</w:t>
                  </w:r>
                </w:p>
              </w:tc>
              <w:tc>
                <w:tcPr>
                  <w:tcW w:w="465" w:type="pct"/>
                  <w:shd w:val="clear" w:color="auto" w:fill="auto"/>
                  <w:vAlign w:val="bottom"/>
                </w:tcPr>
                <w:p w:rsidR="00AC2131" w:rsidRDefault="00AC2131" w:rsidP="00AC2131">
                  <w:pPr>
                    <w:pStyle w:val="TableBodyText"/>
                    <w:spacing w:after="0"/>
                    <w:ind w:left="0" w:right="57"/>
                  </w:pPr>
                  <w:r>
                    <w:t>73.1</w:t>
                  </w:r>
                </w:p>
              </w:tc>
            </w:tr>
            <w:tr w:rsidR="00AC2131" w:rsidTr="00AC2131">
              <w:tc>
                <w:tcPr>
                  <w:tcW w:w="2200" w:type="pct"/>
                  <w:shd w:val="clear" w:color="auto" w:fill="auto"/>
                  <w:vAlign w:val="bottom"/>
                </w:tcPr>
                <w:p w:rsidR="00AC2131" w:rsidRPr="005A46FC" w:rsidRDefault="00AC2131" w:rsidP="00AC2131">
                  <w:pPr>
                    <w:ind w:left="227"/>
                    <w:rPr>
                      <w:rFonts w:ascii="Arial" w:hAnsi="Arial" w:cs="Arial"/>
                      <w:color w:val="000000"/>
                      <w:sz w:val="18"/>
                      <w:szCs w:val="18"/>
                    </w:rPr>
                  </w:pPr>
                  <w:r w:rsidRPr="005A46FC">
                    <w:rPr>
                      <w:rFonts w:ascii="Arial" w:hAnsi="Arial" w:cs="Arial"/>
                      <w:color w:val="000000"/>
                      <w:sz w:val="18"/>
                      <w:szCs w:val="18"/>
                    </w:rPr>
                    <w:t xml:space="preserve">Small business </w:t>
                  </w:r>
                  <w:r>
                    <w:rPr>
                      <w:rFonts w:ascii="Arial" w:hAnsi="Arial" w:cs="Arial"/>
                      <w:color w:val="000000"/>
                      <w:sz w:val="18"/>
                      <w:szCs w:val="18"/>
                    </w:rPr>
                    <w:t>capital gains tax</w:t>
                  </w:r>
                  <w:r w:rsidRPr="005A46FC">
                    <w:rPr>
                      <w:rFonts w:ascii="Arial" w:hAnsi="Arial" w:cs="Arial"/>
                      <w:color w:val="000000"/>
                      <w:sz w:val="18"/>
                      <w:szCs w:val="18"/>
                    </w:rPr>
                    <w:t xml:space="preserve"> asset exemption</w:t>
                  </w:r>
                </w:p>
              </w:tc>
              <w:tc>
                <w:tcPr>
                  <w:tcW w:w="467" w:type="pct"/>
                  <w:vAlign w:val="bottom"/>
                </w:tcPr>
                <w:p w:rsidR="00AC2131" w:rsidRDefault="00AC2131" w:rsidP="00AC2131">
                  <w:pPr>
                    <w:pStyle w:val="TableBodyText"/>
                    <w:spacing w:after="0"/>
                    <w:ind w:left="0" w:right="57"/>
                  </w:pPr>
                  <w:r>
                    <w:t>18.8</w:t>
                  </w:r>
                </w:p>
              </w:tc>
              <w:tc>
                <w:tcPr>
                  <w:tcW w:w="467" w:type="pct"/>
                  <w:vAlign w:val="bottom"/>
                </w:tcPr>
                <w:p w:rsidR="00AC2131" w:rsidRDefault="00AC2131" w:rsidP="00AC2131">
                  <w:pPr>
                    <w:pStyle w:val="TableBodyText"/>
                    <w:spacing w:after="0"/>
                    <w:ind w:left="0" w:right="57"/>
                  </w:pPr>
                  <w:r>
                    <w:t>10.8</w:t>
                  </w:r>
                </w:p>
              </w:tc>
              <w:tc>
                <w:tcPr>
                  <w:tcW w:w="467" w:type="pct"/>
                  <w:vAlign w:val="bottom"/>
                </w:tcPr>
                <w:p w:rsidR="00AC2131" w:rsidRDefault="00AC2131" w:rsidP="00AC2131">
                  <w:pPr>
                    <w:pStyle w:val="TableBodyText"/>
                    <w:spacing w:after="0"/>
                    <w:ind w:left="0" w:right="57"/>
                  </w:pPr>
                  <w:r>
                    <w:t>3.6</w:t>
                  </w:r>
                </w:p>
              </w:tc>
              <w:tc>
                <w:tcPr>
                  <w:tcW w:w="467" w:type="pct"/>
                  <w:vAlign w:val="bottom"/>
                </w:tcPr>
                <w:p w:rsidR="00AC2131" w:rsidRDefault="00AC2131" w:rsidP="00AC2131">
                  <w:pPr>
                    <w:pStyle w:val="TableBodyText"/>
                    <w:spacing w:after="0"/>
                    <w:ind w:left="0" w:right="57"/>
                  </w:pPr>
                  <w:r>
                    <w:t>12.7</w:t>
                  </w:r>
                </w:p>
              </w:tc>
              <w:tc>
                <w:tcPr>
                  <w:tcW w:w="467" w:type="pct"/>
                  <w:shd w:val="clear" w:color="auto" w:fill="auto"/>
                  <w:vAlign w:val="bottom"/>
                </w:tcPr>
                <w:p w:rsidR="00AC2131" w:rsidRDefault="00AC2131" w:rsidP="00AC2131">
                  <w:pPr>
                    <w:pStyle w:val="TableBodyText"/>
                    <w:spacing w:after="0"/>
                    <w:ind w:left="0" w:right="57"/>
                  </w:pPr>
                  <w:r>
                    <w:t>13.3</w:t>
                  </w:r>
                </w:p>
              </w:tc>
              <w:tc>
                <w:tcPr>
                  <w:tcW w:w="465" w:type="pct"/>
                  <w:shd w:val="clear" w:color="auto" w:fill="auto"/>
                  <w:vAlign w:val="bottom"/>
                </w:tcPr>
                <w:p w:rsidR="00AC2131" w:rsidRDefault="00AC2131" w:rsidP="00AC2131">
                  <w:pPr>
                    <w:pStyle w:val="TableBodyText"/>
                    <w:spacing w:after="0"/>
                    <w:ind w:left="0" w:right="57"/>
                  </w:pPr>
                  <w:r>
                    <w:t>16.3</w:t>
                  </w:r>
                </w:p>
              </w:tc>
            </w:tr>
            <w:tr w:rsidR="00AC2131" w:rsidTr="00AC2131">
              <w:tc>
                <w:tcPr>
                  <w:tcW w:w="2200" w:type="pct"/>
                  <w:shd w:val="clear" w:color="auto" w:fill="auto"/>
                  <w:vAlign w:val="bottom"/>
                </w:tcPr>
                <w:p w:rsidR="00AC2131" w:rsidRPr="005A46FC" w:rsidRDefault="00AC2131" w:rsidP="00AC2131">
                  <w:pPr>
                    <w:ind w:left="227"/>
                    <w:rPr>
                      <w:rFonts w:ascii="Arial" w:hAnsi="Arial" w:cs="Arial"/>
                      <w:color w:val="000000"/>
                      <w:sz w:val="18"/>
                      <w:szCs w:val="18"/>
                    </w:rPr>
                  </w:pPr>
                  <w:r w:rsidRPr="005A46FC">
                    <w:rPr>
                      <w:rFonts w:ascii="Arial" w:hAnsi="Arial" w:cs="Arial"/>
                      <w:color w:val="000000"/>
                      <w:sz w:val="18"/>
                      <w:szCs w:val="18"/>
                    </w:rPr>
                    <w:t xml:space="preserve">Small business </w:t>
                  </w:r>
                  <w:r>
                    <w:rPr>
                      <w:rFonts w:ascii="Arial" w:hAnsi="Arial" w:cs="Arial"/>
                      <w:color w:val="000000"/>
                      <w:sz w:val="18"/>
                      <w:szCs w:val="18"/>
                    </w:rPr>
                    <w:t>capital gains tax</w:t>
                  </w:r>
                  <w:r w:rsidRPr="005A46FC">
                    <w:rPr>
                      <w:rFonts w:ascii="Arial" w:hAnsi="Arial" w:cs="Arial"/>
                      <w:color w:val="000000"/>
                      <w:sz w:val="18"/>
                      <w:szCs w:val="18"/>
                    </w:rPr>
                    <w:t xml:space="preserve"> 50 per cent reduction</w:t>
                  </w:r>
                </w:p>
              </w:tc>
              <w:tc>
                <w:tcPr>
                  <w:tcW w:w="467" w:type="pct"/>
                  <w:vAlign w:val="bottom"/>
                </w:tcPr>
                <w:p w:rsidR="00AC2131" w:rsidRDefault="00AC2131" w:rsidP="00AC2131">
                  <w:pPr>
                    <w:pStyle w:val="TableBodyText"/>
                    <w:spacing w:after="0"/>
                    <w:ind w:left="0" w:right="57"/>
                  </w:pPr>
                  <w:r>
                    <w:t>79.6</w:t>
                  </w:r>
                </w:p>
              </w:tc>
              <w:tc>
                <w:tcPr>
                  <w:tcW w:w="467" w:type="pct"/>
                  <w:vAlign w:val="bottom"/>
                </w:tcPr>
                <w:p w:rsidR="00AC2131" w:rsidRDefault="00AC2131" w:rsidP="00AC2131">
                  <w:pPr>
                    <w:pStyle w:val="TableBodyText"/>
                    <w:spacing w:after="0"/>
                    <w:ind w:left="0" w:right="57"/>
                  </w:pPr>
                  <w:r>
                    <w:t>43.7</w:t>
                  </w:r>
                </w:p>
              </w:tc>
              <w:tc>
                <w:tcPr>
                  <w:tcW w:w="467" w:type="pct"/>
                  <w:vAlign w:val="bottom"/>
                </w:tcPr>
                <w:p w:rsidR="00AC2131" w:rsidRDefault="00AC2131" w:rsidP="00AC2131">
                  <w:pPr>
                    <w:pStyle w:val="TableBodyText"/>
                    <w:spacing w:after="0"/>
                    <w:ind w:left="0" w:right="57"/>
                  </w:pPr>
                  <w:r>
                    <w:t>21.1</w:t>
                  </w:r>
                </w:p>
              </w:tc>
              <w:tc>
                <w:tcPr>
                  <w:tcW w:w="467" w:type="pct"/>
                  <w:vAlign w:val="bottom"/>
                </w:tcPr>
                <w:p w:rsidR="00AC2131" w:rsidRDefault="00AC2131" w:rsidP="00AC2131">
                  <w:pPr>
                    <w:pStyle w:val="TableBodyText"/>
                    <w:spacing w:after="0"/>
                    <w:ind w:left="0" w:right="57"/>
                  </w:pPr>
                  <w:r>
                    <w:t>18.8</w:t>
                  </w:r>
                </w:p>
              </w:tc>
              <w:tc>
                <w:tcPr>
                  <w:tcW w:w="467" w:type="pct"/>
                  <w:shd w:val="clear" w:color="auto" w:fill="auto"/>
                  <w:vAlign w:val="bottom"/>
                </w:tcPr>
                <w:p w:rsidR="00AC2131" w:rsidRDefault="00AC2131" w:rsidP="00AC2131">
                  <w:pPr>
                    <w:pStyle w:val="TableBodyText"/>
                    <w:spacing w:after="0"/>
                    <w:ind w:left="0" w:right="57"/>
                  </w:pPr>
                  <w:r>
                    <w:t>19.5</w:t>
                  </w:r>
                </w:p>
              </w:tc>
              <w:tc>
                <w:tcPr>
                  <w:tcW w:w="465" w:type="pct"/>
                  <w:shd w:val="clear" w:color="auto" w:fill="auto"/>
                  <w:vAlign w:val="bottom"/>
                </w:tcPr>
                <w:p w:rsidR="00AC2131" w:rsidRDefault="00AC2131" w:rsidP="00AC2131">
                  <w:pPr>
                    <w:pStyle w:val="TableBodyText"/>
                    <w:spacing w:after="0"/>
                    <w:ind w:left="0" w:right="57"/>
                  </w:pPr>
                  <w:r>
                    <w:t>20.5</w:t>
                  </w:r>
                </w:p>
              </w:tc>
            </w:tr>
            <w:tr w:rsidR="00AC2131" w:rsidTr="00AC2131">
              <w:tc>
                <w:tcPr>
                  <w:tcW w:w="2200" w:type="pct"/>
                  <w:shd w:val="clear" w:color="auto" w:fill="auto"/>
                  <w:vAlign w:val="bottom"/>
                </w:tcPr>
                <w:p w:rsidR="00AC2131" w:rsidRPr="005A46FC" w:rsidRDefault="00AC2131" w:rsidP="00AC2131">
                  <w:pPr>
                    <w:ind w:left="227"/>
                    <w:rPr>
                      <w:rFonts w:ascii="Arial" w:hAnsi="Arial" w:cs="Arial"/>
                      <w:color w:val="000000"/>
                      <w:sz w:val="18"/>
                      <w:szCs w:val="18"/>
                    </w:rPr>
                  </w:pPr>
                  <w:r w:rsidRPr="005A46FC">
                    <w:rPr>
                      <w:rFonts w:ascii="Arial" w:hAnsi="Arial" w:cs="Arial"/>
                      <w:color w:val="000000"/>
                      <w:sz w:val="18"/>
                      <w:szCs w:val="18"/>
                    </w:rPr>
                    <w:t xml:space="preserve">Small business </w:t>
                  </w:r>
                  <w:r>
                    <w:rPr>
                      <w:rFonts w:ascii="Arial" w:hAnsi="Arial" w:cs="Arial"/>
                      <w:color w:val="000000"/>
                      <w:sz w:val="18"/>
                      <w:szCs w:val="18"/>
                    </w:rPr>
                    <w:t>capital gains tax</w:t>
                  </w:r>
                  <w:r w:rsidRPr="005A46FC">
                    <w:rPr>
                      <w:rFonts w:ascii="Arial" w:hAnsi="Arial" w:cs="Arial"/>
                      <w:color w:val="000000"/>
                      <w:sz w:val="18"/>
                      <w:szCs w:val="18"/>
                    </w:rPr>
                    <w:t xml:space="preserve"> retirement exemption</w:t>
                  </w:r>
                </w:p>
              </w:tc>
              <w:tc>
                <w:tcPr>
                  <w:tcW w:w="467" w:type="pct"/>
                  <w:vAlign w:val="bottom"/>
                </w:tcPr>
                <w:p w:rsidR="00AC2131" w:rsidRDefault="00AC2131" w:rsidP="00AC2131">
                  <w:pPr>
                    <w:pStyle w:val="TableBodyText"/>
                    <w:spacing w:after="0"/>
                    <w:ind w:left="0" w:right="57"/>
                  </w:pPr>
                  <w:r>
                    <w:t>30.3</w:t>
                  </w:r>
                </w:p>
              </w:tc>
              <w:tc>
                <w:tcPr>
                  <w:tcW w:w="467" w:type="pct"/>
                  <w:vAlign w:val="bottom"/>
                </w:tcPr>
                <w:p w:rsidR="00AC2131" w:rsidRDefault="00AC2131" w:rsidP="00AC2131">
                  <w:pPr>
                    <w:pStyle w:val="TableBodyText"/>
                    <w:spacing w:after="0"/>
                    <w:ind w:left="0" w:right="57"/>
                  </w:pPr>
                  <w:r>
                    <w:t>22.8</w:t>
                  </w:r>
                </w:p>
              </w:tc>
              <w:tc>
                <w:tcPr>
                  <w:tcW w:w="467" w:type="pct"/>
                  <w:vAlign w:val="bottom"/>
                </w:tcPr>
                <w:p w:rsidR="00AC2131" w:rsidRDefault="00AC2131" w:rsidP="00AC2131">
                  <w:pPr>
                    <w:pStyle w:val="TableBodyText"/>
                    <w:spacing w:after="0"/>
                    <w:ind w:left="0" w:right="57"/>
                  </w:pPr>
                  <w:r>
                    <w:t>14.8</w:t>
                  </w:r>
                </w:p>
              </w:tc>
              <w:tc>
                <w:tcPr>
                  <w:tcW w:w="467" w:type="pct"/>
                  <w:vAlign w:val="bottom"/>
                </w:tcPr>
                <w:p w:rsidR="00AC2131" w:rsidRDefault="00AC2131" w:rsidP="00AC2131">
                  <w:pPr>
                    <w:pStyle w:val="TableBodyText"/>
                    <w:spacing w:after="0"/>
                    <w:ind w:left="0" w:right="57"/>
                  </w:pPr>
                  <w:r>
                    <w:t>12.2</w:t>
                  </w:r>
                </w:p>
              </w:tc>
              <w:tc>
                <w:tcPr>
                  <w:tcW w:w="467" w:type="pct"/>
                  <w:shd w:val="clear" w:color="auto" w:fill="auto"/>
                  <w:vAlign w:val="bottom"/>
                </w:tcPr>
                <w:p w:rsidR="00AC2131" w:rsidRDefault="00AC2131" w:rsidP="00AC2131">
                  <w:pPr>
                    <w:pStyle w:val="TableBodyText"/>
                    <w:spacing w:after="0"/>
                    <w:ind w:left="0" w:right="57"/>
                  </w:pPr>
                  <w:r>
                    <w:t>12.2</w:t>
                  </w:r>
                </w:p>
              </w:tc>
              <w:tc>
                <w:tcPr>
                  <w:tcW w:w="465" w:type="pct"/>
                  <w:shd w:val="clear" w:color="auto" w:fill="auto"/>
                  <w:vAlign w:val="bottom"/>
                </w:tcPr>
                <w:p w:rsidR="00AC2131" w:rsidRDefault="00AC2131" w:rsidP="00AC2131">
                  <w:pPr>
                    <w:pStyle w:val="TableBodyText"/>
                    <w:spacing w:after="0"/>
                    <w:ind w:left="0" w:right="57"/>
                  </w:pPr>
                  <w:r>
                    <w:t>12.8</w:t>
                  </w:r>
                </w:p>
              </w:tc>
            </w:tr>
            <w:tr w:rsidR="00AC2131" w:rsidTr="00AC2131">
              <w:tc>
                <w:tcPr>
                  <w:tcW w:w="2200" w:type="pct"/>
                  <w:shd w:val="clear" w:color="auto" w:fill="auto"/>
                  <w:vAlign w:val="bottom"/>
                </w:tcPr>
                <w:p w:rsidR="00AC2131" w:rsidRPr="005A46FC" w:rsidRDefault="00AC2131" w:rsidP="00AC2131">
                  <w:pPr>
                    <w:ind w:left="227"/>
                    <w:rPr>
                      <w:rFonts w:ascii="Arial" w:hAnsi="Arial" w:cs="Arial"/>
                      <w:color w:val="000000"/>
                      <w:sz w:val="18"/>
                      <w:szCs w:val="18"/>
                    </w:rPr>
                  </w:pPr>
                  <w:r w:rsidRPr="005A46FC">
                    <w:rPr>
                      <w:rFonts w:ascii="Arial" w:hAnsi="Arial" w:cs="Arial"/>
                      <w:color w:val="000000"/>
                      <w:sz w:val="18"/>
                      <w:szCs w:val="18"/>
                    </w:rPr>
                    <w:t xml:space="preserve">Small business </w:t>
                  </w:r>
                  <w:r>
                    <w:rPr>
                      <w:rFonts w:ascii="Arial" w:hAnsi="Arial" w:cs="Arial"/>
                      <w:color w:val="000000"/>
                      <w:sz w:val="18"/>
                      <w:szCs w:val="18"/>
                    </w:rPr>
                    <w:t>capital gains tax</w:t>
                  </w:r>
                  <w:r w:rsidRPr="005A46FC">
                    <w:rPr>
                      <w:rFonts w:ascii="Arial" w:hAnsi="Arial" w:cs="Arial"/>
                      <w:color w:val="000000"/>
                      <w:sz w:val="18"/>
                      <w:szCs w:val="18"/>
                    </w:rPr>
                    <w:t xml:space="preserve"> rollover deferral</w:t>
                  </w:r>
                </w:p>
              </w:tc>
              <w:tc>
                <w:tcPr>
                  <w:tcW w:w="467" w:type="pct"/>
                  <w:vAlign w:val="bottom"/>
                </w:tcPr>
                <w:p w:rsidR="00AC2131" w:rsidRDefault="00AC2131" w:rsidP="00AC2131">
                  <w:pPr>
                    <w:pStyle w:val="TableBodyText"/>
                    <w:spacing w:after="0"/>
                    <w:ind w:left="0" w:right="57"/>
                  </w:pPr>
                  <w:r>
                    <w:t>35.0</w:t>
                  </w:r>
                </w:p>
              </w:tc>
              <w:tc>
                <w:tcPr>
                  <w:tcW w:w="467" w:type="pct"/>
                  <w:vAlign w:val="bottom"/>
                </w:tcPr>
                <w:p w:rsidR="00AC2131" w:rsidRDefault="00AC2131" w:rsidP="00AC2131">
                  <w:pPr>
                    <w:pStyle w:val="TableBodyText"/>
                    <w:spacing w:after="0"/>
                    <w:ind w:left="0" w:right="57"/>
                  </w:pPr>
                  <w:r>
                    <w:t>17.8</w:t>
                  </w:r>
                </w:p>
              </w:tc>
              <w:tc>
                <w:tcPr>
                  <w:tcW w:w="467" w:type="pct"/>
                  <w:vAlign w:val="bottom"/>
                </w:tcPr>
                <w:p w:rsidR="00AC2131" w:rsidRDefault="00AC2131" w:rsidP="00AC2131">
                  <w:pPr>
                    <w:pStyle w:val="TableBodyText"/>
                    <w:spacing w:after="0"/>
                    <w:ind w:left="0" w:right="57"/>
                  </w:pPr>
                  <w:r>
                    <w:t>9.6</w:t>
                  </w:r>
                </w:p>
              </w:tc>
              <w:tc>
                <w:tcPr>
                  <w:tcW w:w="467" w:type="pct"/>
                  <w:vAlign w:val="bottom"/>
                </w:tcPr>
                <w:p w:rsidR="00AC2131" w:rsidRDefault="00AC2131" w:rsidP="00AC2131">
                  <w:pPr>
                    <w:pStyle w:val="TableBodyText"/>
                    <w:spacing w:after="0"/>
                    <w:ind w:left="0" w:right="57"/>
                  </w:pPr>
                  <w:r>
                    <w:t>7.8</w:t>
                  </w:r>
                </w:p>
              </w:tc>
              <w:tc>
                <w:tcPr>
                  <w:tcW w:w="467" w:type="pct"/>
                  <w:shd w:val="clear" w:color="auto" w:fill="auto"/>
                  <w:vAlign w:val="bottom"/>
                </w:tcPr>
                <w:p w:rsidR="00AC2131" w:rsidRDefault="00AC2131" w:rsidP="00AC2131">
                  <w:pPr>
                    <w:pStyle w:val="TableBodyText"/>
                    <w:spacing w:after="0"/>
                    <w:ind w:left="0" w:right="57"/>
                  </w:pPr>
                  <w:r>
                    <w:t>9.2</w:t>
                  </w:r>
                </w:p>
              </w:tc>
              <w:tc>
                <w:tcPr>
                  <w:tcW w:w="465" w:type="pct"/>
                  <w:shd w:val="clear" w:color="auto" w:fill="auto"/>
                  <w:vAlign w:val="bottom"/>
                </w:tcPr>
                <w:p w:rsidR="00AC2131" w:rsidRDefault="00AC2131" w:rsidP="00AC2131">
                  <w:pPr>
                    <w:pStyle w:val="TableBodyText"/>
                    <w:spacing w:after="0"/>
                    <w:ind w:left="0" w:right="57"/>
                  </w:pPr>
                  <w:r>
                    <w:t>10.2</w:t>
                  </w:r>
                </w:p>
              </w:tc>
            </w:tr>
            <w:tr w:rsidR="00AC2131" w:rsidTr="00AC2131">
              <w:tc>
                <w:tcPr>
                  <w:tcW w:w="2200" w:type="pct"/>
                  <w:shd w:val="clear" w:color="auto" w:fill="auto"/>
                  <w:vAlign w:val="bottom"/>
                </w:tcPr>
                <w:p w:rsidR="00AC2131" w:rsidRPr="005A46FC" w:rsidRDefault="00AC2131" w:rsidP="00AC2131">
                  <w:pPr>
                    <w:ind w:left="227"/>
                    <w:rPr>
                      <w:rFonts w:ascii="Arial" w:hAnsi="Arial" w:cs="Arial"/>
                      <w:color w:val="000000"/>
                      <w:sz w:val="18"/>
                      <w:szCs w:val="18"/>
                    </w:rPr>
                  </w:pPr>
                  <w:r w:rsidRPr="005A46FC">
                    <w:rPr>
                      <w:rFonts w:ascii="Arial" w:hAnsi="Arial" w:cs="Arial"/>
                      <w:color w:val="000000"/>
                      <w:sz w:val="18"/>
                      <w:szCs w:val="18"/>
                    </w:rPr>
                    <w:t>Tasmanian Freight Equalisation Scheme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0.9</w:t>
                  </w:r>
                </w:p>
              </w:tc>
              <w:tc>
                <w:tcPr>
                  <w:tcW w:w="465" w:type="pct"/>
                  <w:shd w:val="clear" w:color="auto" w:fill="auto"/>
                  <w:vAlign w:val="bottom"/>
                </w:tcPr>
                <w:p w:rsidR="00AC2131" w:rsidRDefault="00AC2131" w:rsidP="00AC2131">
                  <w:pPr>
                    <w:pStyle w:val="TableBodyText"/>
                    <w:spacing w:after="0"/>
                    <w:ind w:left="0" w:right="57"/>
                  </w:pPr>
                  <w:r>
                    <w:t>0.9</w:t>
                  </w:r>
                </w:p>
              </w:tc>
            </w:tr>
            <w:tr w:rsidR="00AC2131" w:rsidTr="00AC2131">
              <w:tc>
                <w:tcPr>
                  <w:tcW w:w="2200" w:type="pct"/>
                  <w:shd w:val="clear" w:color="auto" w:fill="auto"/>
                  <w:vAlign w:val="bottom"/>
                </w:tcPr>
                <w:p w:rsidR="00AC2131" w:rsidRPr="005A46FC" w:rsidRDefault="00AC2131" w:rsidP="00AC2131">
                  <w:pPr>
                    <w:ind w:left="227"/>
                    <w:rPr>
                      <w:rFonts w:ascii="Arial" w:hAnsi="Arial" w:cs="Arial"/>
                      <w:color w:val="000000"/>
                      <w:sz w:val="18"/>
                      <w:szCs w:val="18"/>
                    </w:rPr>
                  </w:pPr>
                  <w:r w:rsidRPr="005A46FC">
                    <w:rPr>
                      <w:rFonts w:ascii="Arial" w:hAnsi="Arial" w:cs="Arial"/>
                      <w:color w:val="000000"/>
                      <w:sz w:val="18"/>
                      <w:szCs w:val="18"/>
                    </w:rPr>
                    <w:t>Temporary Assistance for Tasmanian Exporters</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A46FC" w:rsidRDefault="00AC2131" w:rsidP="00AC2131">
                  <w:pPr>
                    <w:ind w:left="227"/>
                    <w:rPr>
                      <w:rFonts w:ascii="Arial" w:hAnsi="Arial" w:cs="Arial"/>
                      <w:color w:val="000000"/>
                      <w:sz w:val="18"/>
                      <w:szCs w:val="18"/>
                    </w:rPr>
                  </w:pPr>
                  <w:r w:rsidRPr="005A46FC">
                    <w:rPr>
                      <w:rFonts w:ascii="Arial" w:hAnsi="Arial" w:cs="Arial"/>
                      <w:color w:val="000000"/>
                      <w:sz w:val="18"/>
                      <w:szCs w:val="18"/>
                    </w:rPr>
                    <w:t>The Small Business and General Business Tax Break</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116.0</w:t>
                  </w:r>
                </w:p>
              </w:tc>
              <w:tc>
                <w:tcPr>
                  <w:tcW w:w="467" w:type="pct"/>
                  <w:vAlign w:val="bottom"/>
                </w:tcPr>
                <w:p w:rsidR="00AC2131" w:rsidRDefault="00AC2131" w:rsidP="00AC2131">
                  <w:pPr>
                    <w:pStyle w:val="TableBodyText"/>
                    <w:spacing w:after="0"/>
                    <w:ind w:left="0" w:right="57"/>
                  </w:pPr>
                  <w:r>
                    <w:t>112.5</w:t>
                  </w:r>
                </w:p>
              </w:tc>
              <w:tc>
                <w:tcPr>
                  <w:tcW w:w="467" w:type="pct"/>
                  <w:vAlign w:val="bottom"/>
                </w:tcPr>
                <w:p w:rsidR="00AC2131" w:rsidRDefault="00AC2131" w:rsidP="00AC2131">
                  <w:pPr>
                    <w:pStyle w:val="TableBodyText"/>
                    <w:spacing w:after="0"/>
                    <w:ind w:left="0" w:right="57"/>
                  </w:pPr>
                  <w:r>
                    <w:t>57.7</w:t>
                  </w:r>
                </w:p>
              </w:tc>
              <w:tc>
                <w:tcPr>
                  <w:tcW w:w="467" w:type="pct"/>
                  <w:shd w:val="clear" w:color="auto" w:fill="auto"/>
                  <w:vAlign w:val="bottom"/>
                </w:tcPr>
                <w:p w:rsidR="00AC2131" w:rsidRDefault="00AC2131" w:rsidP="00AC2131">
                  <w:pPr>
                    <w:pStyle w:val="TableBodyText"/>
                    <w:spacing w:after="0"/>
                    <w:ind w:left="0" w:right="57"/>
                  </w:pPr>
                  <w:r>
                    <w:t>20.0</w:t>
                  </w:r>
                </w:p>
              </w:tc>
              <w:tc>
                <w:tcPr>
                  <w:tcW w:w="465" w:type="pct"/>
                  <w:shd w:val="clear" w:color="auto" w:fill="auto"/>
                  <w:vAlign w:val="bottom"/>
                </w:tcPr>
                <w:p w:rsidR="00AC2131" w:rsidRDefault="00AC2131" w:rsidP="00AC2131">
                  <w:pPr>
                    <w:pStyle w:val="TableBodyText"/>
                    <w:spacing w:after="0"/>
                    <w:ind w:left="0" w:right="57"/>
                  </w:pPr>
                  <w:r>
                    <w:t>2.4</w:t>
                  </w:r>
                </w:p>
              </w:tc>
            </w:tr>
            <w:tr w:rsidR="00AC2131" w:rsidTr="00AC2131">
              <w:tc>
                <w:tcPr>
                  <w:tcW w:w="2200" w:type="pct"/>
                  <w:shd w:val="clear" w:color="auto" w:fill="auto"/>
                </w:tcPr>
                <w:p w:rsidR="00AC2131" w:rsidRPr="00AC6C50" w:rsidRDefault="00AC2131" w:rsidP="00AC2131">
                  <w:pPr>
                    <w:pStyle w:val="TableBodyText"/>
                    <w:spacing w:before="20" w:after="20"/>
                    <w:jc w:val="left"/>
                    <w:rPr>
                      <w:i/>
                    </w:rPr>
                  </w:pPr>
                  <w:r w:rsidRPr="00AC6C50">
                    <w:rPr>
                      <w:i/>
                    </w:rPr>
                    <w:t>Total</w:t>
                  </w:r>
                </w:p>
              </w:tc>
              <w:tc>
                <w:tcPr>
                  <w:tcW w:w="467" w:type="pct"/>
                  <w:vAlign w:val="bottom"/>
                </w:tcPr>
                <w:p w:rsidR="00AC2131" w:rsidRPr="00700621" w:rsidRDefault="00AC2131" w:rsidP="00AC2131">
                  <w:pPr>
                    <w:pStyle w:val="TableBodyText"/>
                    <w:spacing w:before="20" w:after="20"/>
                    <w:ind w:left="0" w:right="57"/>
                    <w:rPr>
                      <w:i/>
                    </w:rPr>
                  </w:pPr>
                  <w:r w:rsidRPr="00700621">
                    <w:rPr>
                      <w:i/>
                    </w:rPr>
                    <w:t>1057.8</w:t>
                  </w:r>
                </w:p>
              </w:tc>
              <w:tc>
                <w:tcPr>
                  <w:tcW w:w="467" w:type="pct"/>
                  <w:vAlign w:val="bottom"/>
                </w:tcPr>
                <w:p w:rsidR="00AC2131" w:rsidRPr="00700621" w:rsidRDefault="00AC2131" w:rsidP="00AC2131">
                  <w:pPr>
                    <w:pStyle w:val="TableBodyText"/>
                    <w:spacing w:before="20" w:after="20"/>
                    <w:ind w:left="0" w:right="57"/>
                    <w:rPr>
                      <w:i/>
                    </w:rPr>
                  </w:pPr>
                  <w:r w:rsidRPr="00700621">
                    <w:rPr>
                      <w:i/>
                    </w:rPr>
                    <w:t>938.2</w:t>
                  </w:r>
                </w:p>
              </w:tc>
              <w:tc>
                <w:tcPr>
                  <w:tcW w:w="467" w:type="pct"/>
                  <w:vAlign w:val="bottom"/>
                </w:tcPr>
                <w:p w:rsidR="00AC2131" w:rsidRPr="00700621" w:rsidRDefault="00AC2131" w:rsidP="00AC2131">
                  <w:pPr>
                    <w:pStyle w:val="TableBodyText"/>
                    <w:spacing w:before="20" w:after="20"/>
                    <w:ind w:left="0" w:right="57"/>
                    <w:rPr>
                      <w:i/>
                    </w:rPr>
                  </w:pPr>
                  <w:r w:rsidRPr="00700621">
                    <w:rPr>
                      <w:i/>
                    </w:rPr>
                    <w:t>760.6</w:t>
                  </w:r>
                </w:p>
              </w:tc>
              <w:tc>
                <w:tcPr>
                  <w:tcW w:w="467" w:type="pct"/>
                  <w:vAlign w:val="bottom"/>
                </w:tcPr>
                <w:p w:rsidR="00AC2131" w:rsidRPr="00700621" w:rsidRDefault="00AC2131" w:rsidP="00AC2131">
                  <w:pPr>
                    <w:pStyle w:val="TableBodyText"/>
                    <w:spacing w:before="20" w:after="20"/>
                    <w:ind w:left="0" w:right="57"/>
                    <w:rPr>
                      <w:i/>
                    </w:rPr>
                  </w:pPr>
                  <w:r w:rsidRPr="00700621">
                    <w:rPr>
                      <w:i/>
                    </w:rPr>
                    <w:t>660.1</w:t>
                  </w:r>
                </w:p>
              </w:tc>
              <w:tc>
                <w:tcPr>
                  <w:tcW w:w="467" w:type="pct"/>
                  <w:shd w:val="clear" w:color="auto" w:fill="auto"/>
                  <w:vAlign w:val="bottom"/>
                </w:tcPr>
                <w:p w:rsidR="00AC2131" w:rsidRPr="00700621" w:rsidRDefault="00AC2131" w:rsidP="00AC2131">
                  <w:pPr>
                    <w:pStyle w:val="TableBodyText"/>
                    <w:spacing w:before="20" w:after="20"/>
                    <w:ind w:left="0" w:right="57"/>
                    <w:rPr>
                      <w:i/>
                    </w:rPr>
                  </w:pPr>
                  <w:r w:rsidRPr="00700621">
                    <w:rPr>
                      <w:i/>
                    </w:rPr>
                    <w:t>523.0</w:t>
                  </w:r>
                </w:p>
              </w:tc>
              <w:tc>
                <w:tcPr>
                  <w:tcW w:w="465" w:type="pct"/>
                  <w:shd w:val="clear" w:color="auto" w:fill="auto"/>
                  <w:vAlign w:val="bottom"/>
                </w:tcPr>
                <w:p w:rsidR="00AC2131" w:rsidRPr="00700621" w:rsidRDefault="00AC2131" w:rsidP="00AC2131">
                  <w:pPr>
                    <w:pStyle w:val="TableBodyText"/>
                    <w:spacing w:before="20" w:after="20"/>
                    <w:ind w:left="0" w:right="57"/>
                    <w:rPr>
                      <w:i/>
                    </w:rPr>
                  </w:pPr>
                  <w:r w:rsidRPr="00700621">
                    <w:rPr>
                      <w:i/>
                    </w:rPr>
                    <w:t>609.1</w:t>
                  </w:r>
                </w:p>
              </w:tc>
            </w:tr>
            <w:tr w:rsidR="00AC2131" w:rsidTr="00AC2131">
              <w:tc>
                <w:tcPr>
                  <w:tcW w:w="2200" w:type="pct"/>
                  <w:shd w:val="clear" w:color="auto" w:fill="auto"/>
                </w:tcPr>
                <w:p w:rsidR="00AC2131" w:rsidRPr="008E4F0C" w:rsidRDefault="00AC2131" w:rsidP="00AC2131">
                  <w:pPr>
                    <w:pStyle w:val="TableBodyText"/>
                    <w:spacing w:before="40"/>
                    <w:jc w:val="left"/>
                    <w:rPr>
                      <w:b/>
                    </w:rPr>
                  </w:pPr>
                  <w:r w:rsidRPr="008E4F0C">
                    <w:rPr>
                      <w:b/>
                    </w:rPr>
                    <w:t>Other crop growing</w:t>
                  </w:r>
                </w:p>
              </w:tc>
              <w:tc>
                <w:tcPr>
                  <w:tcW w:w="467" w:type="pct"/>
                </w:tcPr>
                <w:p w:rsidR="00AC2131" w:rsidRPr="00AC6C50" w:rsidRDefault="00AC2131" w:rsidP="00AC2131">
                  <w:pPr>
                    <w:pStyle w:val="TableBodyText"/>
                    <w:spacing w:before="40"/>
                    <w:rPr>
                      <w:szCs w:val="18"/>
                    </w:rPr>
                  </w:pPr>
                </w:p>
              </w:tc>
              <w:tc>
                <w:tcPr>
                  <w:tcW w:w="467" w:type="pct"/>
                </w:tcPr>
                <w:p w:rsidR="00AC2131" w:rsidRPr="00AC6C50" w:rsidRDefault="00AC2131" w:rsidP="00AC2131">
                  <w:pPr>
                    <w:pStyle w:val="TableBodyText"/>
                    <w:spacing w:before="40"/>
                    <w:rPr>
                      <w:szCs w:val="18"/>
                    </w:rPr>
                  </w:pPr>
                </w:p>
              </w:tc>
              <w:tc>
                <w:tcPr>
                  <w:tcW w:w="467" w:type="pct"/>
                </w:tcPr>
                <w:p w:rsidR="00AC2131" w:rsidRPr="00AC6C50" w:rsidRDefault="00AC2131" w:rsidP="00AC2131">
                  <w:pPr>
                    <w:pStyle w:val="TableBodyText"/>
                    <w:spacing w:before="40"/>
                    <w:rPr>
                      <w:szCs w:val="18"/>
                    </w:rPr>
                  </w:pPr>
                </w:p>
              </w:tc>
              <w:tc>
                <w:tcPr>
                  <w:tcW w:w="467" w:type="pct"/>
                </w:tcPr>
                <w:p w:rsidR="00AC2131" w:rsidRPr="00AC6C50" w:rsidRDefault="00AC2131" w:rsidP="00AC2131">
                  <w:pPr>
                    <w:pStyle w:val="TableBodyText"/>
                    <w:spacing w:before="40"/>
                    <w:rPr>
                      <w:szCs w:val="18"/>
                    </w:rPr>
                  </w:pPr>
                </w:p>
              </w:tc>
              <w:tc>
                <w:tcPr>
                  <w:tcW w:w="467" w:type="pct"/>
                  <w:shd w:val="clear" w:color="auto" w:fill="auto"/>
                </w:tcPr>
                <w:p w:rsidR="00AC2131" w:rsidRPr="00AC6C50" w:rsidRDefault="00AC2131" w:rsidP="00AC2131">
                  <w:pPr>
                    <w:pStyle w:val="TableBodyText"/>
                    <w:spacing w:before="40"/>
                    <w:rPr>
                      <w:szCs w:val="18"/>
                    </w:rPr>
                  </w:pPr>
                </w:p>
              </w:tc>
              <w:tc>
                <w:tcPr>
                  <w:tcW w:w="465" w:type="pct"/>
                  <w:shd w:val="clear" w:color="auto" w:fill="auto"/>
                </w:tcPr>
                <w:p w:rsidR="00AC2131" w:rsidRPr="00AC6C50" w:rsidRDefault="00AC2131" w:rsidP="00AC2131">
                  <w:pPr>
                    <w:pStyle w:val="TableBodyText"/>
                    <w:spacing w:before="40"/>
                    <w:ind w:right="28"/>
                    <w:rPr>
                      <w:szCs w:val="18"/>
                    </w:rPr>
                  </w:pPr>
                </w:p>
              </w:tc>
            </w:tr>
            <w:tr w:rsidR="00AC2131" w:rsidTr="00AC2131">
              <w:tc>
                <w:tcPr>
                  <w:tcW w:w="2200" w:type="pct"/>
                  <w:shd w:val="clear" w:color="auto" w:fill="auto"/>
                </w:tcPr>
                <w:p w:rsidR="00AC2131" w:rsidRPr="00AC6C50" w:rsidRDefault="00AC2131" w:rsidP="00AC2131">
                  <w:pPr>
                    <w:pStyle w:val="TableBodyText"/>
                    <w:spacing w:before="40" w:after="0"/>
                    <w:ind w:left="113"/>
                    <w:jc w:val="left"/>
                    <w:rPr>
                      <w:i/>
                    </w:rPr>
                  </w:pPr>
                  <w:r w:rsidRPr="00AC6C50">
                    <w:rPr>
                      <w:i/>
                    </w:rPr>
                    <w:t>Industry-specific measures</w:t>
                  </w:r>
                </w:p>
              </w:tc>
              <w:tc>
                <w:tcPr>
                  <w:tcW w:w="467" w:type="pct"/>
                </w:tcPr>
                <w:p w:rsidR="00AC2131" w:rsidRPr="00AC6C50" w:rsidRDefault="00AC2131" w:rsidP="00AC2131">
                  <w:pPr>
                    <w:pStyle w:val="TableBodyText"/>
                    <w:spacing w:before="40" w:after="0"/>
                    <w:ind w:left="113"/>
                    <w:rPr>
                      <w:szCs w:val="18"/>
                    </w:rPr>
                  </w:pPr>
                </w:p>
              </w:tc>
              <w:tc>
                <w:tcPr>
                  <w:tcW w:w="467" w:type="pct"/>
                </w:tcPr>
                <w:p w:rsidR="00AC2131" w:rsidRPr="00AC6C50" w:rsidRDefault="00AC2131" w:rsidP="00AC2131">
                  <w:pPr>
                    <w:pStyle w:val="TableBodyText"/>
                    <w:spacing w:before="40" w:after="0"/>
                    <w:ind w:left="113"/>
                    <w:rPr>
                      <w:szCs w:val="18"/>
                    </w:rPr>
                  </w:pPr>
                </w:p>
              </w:tc>
              <w:tc>
                <w:tcPr>
                  <w:tcW w:w="467" w:type="pct"/>
                </w:tcPr>
                <w:p w:rsidR="00AC2131" w:rsidRPr="00AC6C50" w:rsidRDefault="00AC2131" w:rsidP="00AC2131">
                  <w:pPr>
                    <w:pStyle w:val="TableBodyText"/>
                    <w:spacing w:before="40" w:after="0"/>
                    <w:ind w:left="113"/>
                    <w:rPr>
                      <w:szCs w:val="18"/>
                    </w:rPr>
                  </w:pPr>
                </w:p>
              </w:tc>
              <w:tc>
                <w:tcPr>
                  <w:tcW w:w="467" w:type="pct"/>
                </w:tcPr>
                <w:p w:rsidR="00AC2131" w:rsidRPr="00AC6C50" w:rsidRDefault="00AC2131" w:rsidP="00AC2131">
                  <w:pPr>
                    <w:pStyle w:val="TableBodyText"/>
                    <w:spacing w:before="40" w:after="0"/>
                    <w:ind w:left="113"/>
                    <w:rPr>
                      <w:szCs w:val="18"/>
                    </w:rPr>
                  </w:pPr>
                </w:p>
              </w:tc>
              <w:tc>
                <w:tcPr>
                  <w:tcW w:w="467" w:type="pct"/>
                  <w:shd w:val="clear" w:color="auto" w:fill="auto"/>
                </w:tcPr>
                <w:p w:rsidR="00AC2131" w:rsidRPr="00AC6C50" w:rsidRDefault="00AC2131" w:rsidP="00AC2131">
                  <w:pPr>
                    <w:pStyle w:val="TableBodyText"/>
                    <w:spacing w:before="40" w:after="0"/>
                    <w:ind w:left="113"/>
                    <w:rPr>
                      <w:szCs w:val="18"/>
                    </w:rPr>
                  </w:pPr>
                </w:p>
              </w:tc>
              <w:tc>
                <w:tcPr>
                  <w:tcW w:w="465" w:type="pct"/>
                  <w:shd w:val="clear" w:color="auto" w:fill="auto"/>
                </w:tcPr>
                <w:p w:rsidR="00AC2131" w:rsidRPr="00AC6C50" w:rsidRDefault="00AC2131" w:rsidP="00AC2131">
                  <w:pPr>
                    <w:pStyle w:val="TableBodyText"/>
                    <w:spacing w:before="40" w:after="0"/>
                    <w:ind w:left="113" w:right="28"/>
                    <w:rPr>
                      <w:szCs w:val="18"/>
                    </w:rPr>
                  </w:pPr>
                </w:p>
              </w:tc>
            </w:tr>
            <w:tr w:rsidR="00AC2131" w:rsidTr="00AC2131">
              <w:tc>
                <w:tcPr>
                  <w:tcW w:w="2200" w:type="pct"/>
                  <w:shd w:val="clear" w:color="auto" w:fill="auto"/>
                  <w:vAlign w:val="bottom"/>
                </w:tcPr>
                <w:p w:rsidR="00AC2131" w:rsidRPr="00AC6C50" w:rsidRDefault="00AC2131" w:rsidP="00AC2131">
                  <w:pPr>
                    <w:ind w:left="227"/>
                    <w:rPr>
                      <w:rFonts w:ascii="Arial" w:hAnsi="Arial" w:cs="Arial"/>
                      <w:color w:val="000000"/>
                      <w:sz w:val="18"/>
                      <w:szCs w:val="18"/>
                    </w:rPr>
                  </w:pPr>
                  <w:r w:rsidRPr="00AC6C50">
                    <w:rPr>
                      <w:rFonts w:ascii="Arial" w:hAnsi="Arial" w:cs="Arial"/>
                      <w:color w:val="000000"/>
                      <w:sz w:val="18"/>
                      <w:szCs w:val="18"/>
                    </w:rPr>
                    <w:t>Sugar Industry Reform Program - 2004</w:t>
                  </w:r>
                </w:p>
              </w:tc>
              <w:tc>
                <w:tcPr>
                  <w:tcW w:w="467" w:type="pct"/>
                  <w:vAlign w:val="bottom"/>
                </w:tcPr>
                <w:p w:rsidR="00AC2131" w:rsidRDefault="00AC2131" w:rsidP="00AC2131">
                  <w:pPr>
                    <w:pStyle w:val="TableBodyText"/>
                    <w:spacing w:after="0"/>
                    <w:ind w:left="0" w:right="57"/>
                  </w:pPr>
                  <w:r>
                    <w:t>4.5</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tcBorders>
                    <w:bottom w:val="single" w:sz="6" w:space="0" w:color="BFBFBF"/>
                  </w:tcBorders>
                  <w:shd w:val="clear" w:color="auto" w:fill="auto"/>
                  <w:vAlign w:val="bottom"/>
                </w:tcPr>
                <w:p w:rsidR="00AC2131" w:rsidRPr="00AC6C50" w:rsidRDefault="00AC2131" w:rsidP="00AC2131">
                  <w:pPr>
                    <w:ind w:left="227"/>
                    <w:rPr>
                      <w:rFonts w:ascii="Arial" w:hAnsi="Arial" w:cs="Arial"/>
                      <w:color w:val="000000"/>
                      <w:sz w:val="18"/>
                      <w:szCs w:val="18"/>
                    </w:rPr>
                  </w:pPr>
                  <w:r w:rsidRPr="00AC6C50">
                    <w:rPr>
                      <w:rFonts w:ascii="Arial" w:hAnsi="Arial" w:cs="Arial"/>
                      <w:color w:val="000000"/>
                      <w:sz w:val="18"/>
                      <w:szCs w:val="18"/>
                    </w:rPr>
                    <w:t>Tobacco Grower Adjustment Assistance</w:t>
                  </w:r>
                </w:p>
              </w:tc>
              <w:tc>
                <w:tcPr>
                  <w:tcW w:w="467" w:type="pct"/>
                  <w:tcBorders>
                    <w:bottom w:val="single" w:sz="6" w:space="0" w:color="BFBFBF"/>
                  </w:tcBorders>
                  <w:vAlign w:val="bottom"/>
                </w:tcPr>
                <w:p w:rsidR="00AC2131" w:rsidRDefault="00AC2131" w:rsidP="00AC2131">
                  <w:pPr>
                    <w:pStyle w:val="TableBodyText"/>
                    <w:spacing w:after="0"/>
                    <w:ind w:left="0" w:right="57"/>
                  </w:pPr>
                  <w:r>
                    <w:t>0.3</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0.1</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jc w:val="right"/>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A.10</w:t>
            </w:r>
            <w:r>
              <w:tab/>
            </w:r>
            <w:r w:rsidRPr="006B64DF">
              <w:rPr>
                <w:b w:val="0"/>
                <w:sz w:val="18"/>
                <w:szCs w:val="18"/>
              </w:rPr>
              <w:t>(continued)</w:t>
            </w:r>
          </w:p>
        </w:tc>
      </w:tr>
      <w:tr w:rsidR="00AC2131" w:rsidTr="00AC2131">
        <w:trPr>
          <w:cantSplit/>
        </w:trPr>
        <w:tc>
          <w:tcPr>
            <w:tcW w:w="8767" w:type="dxa"/>
            <w:tcBorders>
              <w:top w:val="nil"/>
              <w:left w:val="nil"/>
              <w:bottom w:val="nil"/>
              <w:right w:val="nil"/>
            </w:tcBorders>
            <w:shd w:val="clear" w:color="auto" w:fill="auto"/>
          </w:tcPr>
          <w:tbl>
            <w:tblPr>
              <w:tblW w:w="8510" w:type="dxa"/>
              <w:tblLayout w:type="fixed"/>
              <w:tblCellMar>
                <w:top w:w="28" w:type="dxa"/>
                <w:left w:w="0" w:type="dxa"/>
                <w:right w:w="0" w:type="dxa"/>
              </w:tblCellMar>
              <w:tblLook w:val="0000" w:firstRow="0" w:lastRow="0" w:firstColumn="0" w:lastColumn="0" w:noHBand="0" w:noVBand="0"/>
            </w:tblPr>
            <w:tblGrid>
              <w:gridCol w:w="3744"/>
              <w:gridCol w:w="795"/>
              <w:gridCol w:w="795"/>
              <w:gridCol w:w="795"/>
              <w:gridCol w:w="795"/>
              <w:gridCol w:w="795"/>
              <w:gridCol w:w="791"/>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B15491" w:rsidRDefault="00AC2131" w:rsidP="00AC2131">
                  <w:pPr>
                    <w:pStyle w:val="TableUnitsRow"/>
                    <w:spacing w:after="0"/>
                    <w:ind w:left="113"/>
                    <w:jc w:val="left"/>
                    <w:rPr>
                      <w:i/>
                    </w:rPr>
                  </w:pPr>
                  <w:r w:rsidRPr="00AC6C50">
                    <w:rPr>
                      <w:i/>
                    </w:rPr>
                    <w:t>Sector-specific measures</w:t>
                  </w: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5"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shd w:val="clear" w:color="auto" w:fill="auto"/>
                  <w:vAlign w:val="bottom"/>
                </w:tcPr>
                <w:p w:rsidR="00AC2131" w:rsidRPr="00AC6C50" w:rsidRDefault="00AC2131" w:rsidP="00AC2131">
                  <w:pPr>
                    <w:ind w:left="227"/>
                    <w:rPr>
                      <w:rFonts w:ascii="Arial" w:hAnsi="Arial" w:cs="Arial"/>
                      <w:color w:val="000000"/>
                      <w:sz w:val="18"/>
                      <w:szCs w:val="18"/>
                    </w:rPr>
                  </w:pPr>
                  <w:r w:rsidRPr="00AC6C50">
                    <w:rPr>
                      <w:rFonts w:ascii="Arial" w:hAnsi="Arial" w:cs="Arial"/>
                      <w:color w:val="000000"/>
                      <w:sz w:val="18"/>
                      <w:szCs w:val="18"/>
                    </w:rPr>
                    <w:t>Carbon Farming Futures</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3.1</w:t>
                  </w:r>
                </w:p>
              </w:tc>
              <w:tc>
                <w:tcPr>
                  <w:tcW w:w="467" w:type="pct"/>
                  <w:shd w:val="clear" w:color="auto" w:fill="auto"/>
                  <w:vAlign w:val="bottom"/>
                </w:tcPr>
                <w:p w:rsidR="00AC2131" w:rsidRDefault="00AC2131" w:rsidP="00AC2131">
                  <w:pPr>
                    <w:pStyle w:val="TableBodyText"/>
                    <w:spacing w:after="0"/>
                    <w:ind w:left="0" w:right="57"/>
                  </w:pPr>
                  <w:r>
                    <w:t>1.7</w:t>
                  </w:r>
                </w:p>
              </w:tc>
              <w:tc>
                <w:tcPr>
                  <w:tcW w:w="465" w:type="pct"/>
                  <w:shd w:val="clear" w:color="auto" w:fill="auto"/>
                  <w:vAlign w:val="bottom"/>
                </w:tcPr>
                <w:p w:rsidR="00AC2131" w:rsidRDefault="00AC2131" w:rsidP="00AC2131">
                  <w:pPr>
                    <w:pStyle w:val="TableBodyText"/>
                    <w:spacing w:after="0"/>
                    <w:ind w:left="0" w:right="57"/>
                  </w:pPr>
                  <w:r>
                    <w:t>3.4</w:t>
                  </w:r>
                </w:p>
              </w:tc>
            </w:tr>
            <w:tr w:rsidR="00AC2131" w:rsidTr="00AC2131">
              <w:tc>
                <w:tcPr>
                  <w:tcW w:w="2200" w:type="pct"/>
                  <w:shd w:val="clear" w:color="auto" w:fill="auto"/>
                  <w:vAlign w:val="bottom"/>
                </w:tcPr>
                <w:p w:rsidR="00AC2131" w:rsidRPr="00AC6C50"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interest rate subsidies</w:t>
                  </w:r>
                </w:p>
              </w:tc>
              <w:tc>
                <w:tcPr>
                  <w:tcW w:w="467" w:type="pct"/>
                  <w:vAlign w:val="bottom"/>
                </w:tcPr>
                <w:p w:rsidR="00AC2131" w:rsidRDefault="00AC2131" w:rsidP="00AC2131">
                  <w:pPr>
                    <w:pStyle w:val="TableBodyText"/>
                    <w:spacing w:after="0"/>
                    <w:ind w:left="0" w:right="57"/>
                  </w:pPr>
                  <w:r>
                    <w:t>7.8</w:t>
                  </w:r>
                </w:p>
              </w:tc>
              <w:tc>
                <w:tcPr>
                  <w:tcW w:w="467" w:type="pct"/>
                  <w:vAlign w:val="bottom"/>
                </w:tcPr>
                <w:p w:rsidR="00AC2131" w:rsidRDefault="00AC2131" w:rsidP="00AC2131">
                  <w:pPr>
                    <w:pStyle w:val="TableBodyText"/>
                    <w:spacing w:after="0"/>
                    <w:ind w:left="0" w:right="57"/>
                  </w:pPr>
                  <w:r>
                    <w:t>31.8</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C6C50"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relief payments</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C6C50" w:rsidRDefault="00AC2131" w:rsidP="00AC2131">
                  <w:pPr>
                    <w:ind w:left="227"/>
                    <w:rPr>
                      <w:rFonts w:ascii="Arial" w:hAnsi="Arial" w:cs="Arial"/>
                      <w:color w:val="000000"/>
                      <w:sz w:val="18"/>
                      <w:szCs w:val="18"/>
                    </w:rPr>
                  </w:pPr>
                  <w:r w:rsidRPr="00AC6C50">
                    <w:rPr>
                      <w:rFonts w:ascii="Arial" w:hAnsi="Arial" w:cs="Arial"/>
                      <w:color w:val="000000"/>
                      <w:sz w:val="18"/>
                      <w:szCs w:val="18"/>
                    </w:rPr>
                    <w:t>Farm Help</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C6C50" w:rsidRDefault="00AC2131" w:rsidP="00AC2131">
                  <w:pPr>
                    <w:ind w:left="227"/>
                    <w:rPr>
                      <w:rFonts w:ascii="Arial" w:hAnsi="Arial" w:cs="Arial"/>
                      <w:color w:val="000000"/>
                      <w:sz w:val="18"/>
                      <w:szCs w:val="18"/>
                    </w:rPr>
                  </w:pPr>
                  <w:r w:rsidRPr="00AC6C50">
                    <w:rPr>
                      <w:rFonts w:ascii="Arial" w:hAnsi="Arial" w:cs="Arial"/>
                      <w:color w:val="000000"/>
                      <w:sz w:val="18"/>
                      <w:szCs w:val="18"/>
                    </w:rPr>
                    <w:t>Farm Management Deposits Scheme</w:t>
                  </w:r>
                </w:p>
              </w:tc>
              <w:tc>
                <w:tcPr>
                  <w:tcW w:w="467" w:type="pct"/>
                  <w:vAlign w:val="bottom"/>
                </w:tcPr>
                <w:p w:rsidR="00AC2131" w:rsidRDefault="00AC2131" w:rsidP="00AC2131">
                  <w:pPr>
                    <w:pStyle w:val="TableBodyText"/>
                    <w:spacing w:after="0"/>
                    <w:ind w:left="0" w:right="57"/>
                  </w:pPr>
                  <w:r>
                    <w:t>9.0</w:t>
                  </w:r>
                </w:p>
              </w:tc>
              <w:tc>
                <w:tcPr>
                  <w:tcW w:w="467" w:type="pct"/>
                  <w:vAlign w:val="bottom"/>
                </w:tcPr>
                <w:p w:rsidR="00AC2131" w:rsidRDefault="00AC2131" w:rsidP="00AC2131">
                  <w:pPr>
                    <w:pStyle w:val="TableBodyText"/>
                    <w:spacing w:after="0"/>
                    <w:ind w:left="0" w:right="57"/>
                  </w:pPr>
                  <w:r>
                    <w:t>6.5</w:t>
                  </w:r>
                </w:p>
              </w:tc>
              <w:tc>
                <w:tcPr>
                  <w:tcW w:w="467" w:type="pct"/>
                  <w:vAlign w:val="bottom"/>
                </w:tcPr>
                <w:p w:rsidR="00AC2131" w:rsidRDefault="00AC2131" w:rsidP="00AC2131">
                  <w:pPr>
                    <w:pStyle w:val="TableBodyText"/>
                    <w:spacing w:after="0"/>
                    <w:ind w:left="0" w:right="57"/>
                  </w:pPr>
                  <w:r>
                    <w:t>1.9</w:t>
                  </w:r>
                </w:p>
              </w:tc>
              <w:tc>
                <w:tcPr>
                  <w:tcW w:w="467" w:type="pct"/>
                  <w:vAlign w:val="bottom"/>
                </w:tcPr>
                <w:p w:rsidR="00AC2131" w:rsidRDefault="00AC2131" w:rsidP="00AC2131">
                  <w:pPr>
                    <w:pStyle w:val="TableBodyText"/>
                    <w:spacing w:after="0"/>
                    <w:ind w:left="0" w:right="57"/>
                  </w:pPr>
                  <w:r>
                    <w:t>11.9</w:t>
                  </w:r>
                </w:p>
              </w:tc>
              <w:tc>
                <w:tcPr>
                  <w:tcW w:w="467" w:type="pct"/>
                  <w:shd w:val="clear" w:color="auto" w:fill="auto"/>
                  <w:vAlign w:val="bottom"/>
                </w:tcPr>
                <w:p w:rsidR="00AC2131" w:rsidRDefault="00AC2131" w:rsidP="00AC2131">
                  <w:pPr>
                    <w:pStyle w:val="TableBodyText"/>
                    <w:spacing w:after="0"/>
                    <w:ind w:left="0" w:right="57"/>
                  </w:pPr>
                  <w:r>
                    <w:t>9.0</w:t>
                  </w:r>
                </w:p>
              </w:tc>
              <w:tc>
                <w:tcPr>
                  <w:tcW w:w="465" w:type="pct"/>
                  <w:shd w:val="clear" w:color="auto" w:fill="auto"/>
                  <w:vAlign w:val="bottom"/>
                </w:tcPr>
                <w:p w:rsidR="00AC2131" w:rsidRDefault="00AC2131" w:rsidP="00AC2131">
                  <w:pPr>
                    <w:pStyle w:val="TableBodyText"/>
                    <w:spacing w:after="0"/>
                    <w:ind w:left="0" w:right="57"/>
                  </w:pPr>
                  <w:r>
                    <w:t>10.1</w:t>
                  </w:r>
                </w:p>
              </w:tc>
            </w:tr>
            <w:tr w:rsidR="00AC2131" w:rsidTr="00AC2131">
              <w:tc>
                <w:tcPr>
                  <w:tcW w:w="2200" w:type="pct"/>
                  <w:shd w:val="clear" w:color="auto" w:fill="auto"/>
                  <w:vAlign w:val="bottom"/>
                </w:tcPr>
                <w:p w:rsidR="00AC2131" w:rsidRPr="00AC6C50" w:rsidRDefault="00AC2131" w:rsidP="00AC2131">
                  <w:pPr>
                    <w:ind w:left="227"/>
                    <w:rPr>
                      <w:rFonts w:ascii="Arial" w:hAnsi="Arial" w:cs="Arial"/>
                      <w:color w:val="000000"/>
                      <w:sz w:val="18"/>
                      <w:szCs w:val="18"/>
                    </w:rPr>
                  </w:pPr>
                  <w:r w:rsidRPr="00AC6C50">
                    <w:rPr>
                      <w:rFonts w:ascii="Arial" w:hAnsi="Arial" w:cs="Arial"/>
                      <w:color w:val="000000"/>
                      <w:sz w:val="18"/>
                      <w:szCs w:val="18"/>
                    </w:rPr>
                    <w:t>Income tax averaging provisions</w:t>
                  </w:r>
                </w:p>
              </w:tc>
              <w:tc>
                <w:tcPr>
                  <w:tcW w:w="467" w:type="pct"/>
                  <w:vAlign w:val="bottom"/>
                </w:tcPr>
                <w:p w:rsidR="00AC2131" w:rsidRDefault="00AC2131" w:rsidP="00AC2131">
                  <w:pPr>
                    <w:pStyle w:val="TableBodyText"/>
                    <w:spacing w:after="0"/>
                    <w:ind w:left="0" w:right="57"/>
                  </w:pPr>
                  <w:r>
                    <w:t>3.4</w:t>
                  </w:r>
                </w:p>
              </w:tc>
              <w:tc>
                <w:tcPr>
                  <w:tcW w:w="467" w:type="pct"/>
                  <w:vAlign w:val="bottom"/>
                </w:tcPr>
                <w:p w:rsidR="00AC2131" w:rsidRDefault="00AC2131" w:rsidP="00AC2131">
                  <w:pPr>
                    <w:pStyle w:val="TableBodyText"/>
                    <w:spacing w:after="0"/>
                    <w:ind w:left="0" w:right="57"/>
                  </w:pPr>
                  <w:r>
                    <w:t>6.7</w:t>
                  </w:r>
                </w:p>
              </w:tc>
              <w:tc>
                <w:tcPr>
                  <w:tcW w:w="467" w:type="pct"/>
                  <w:vAlign w:val="bottom"/>
                </w:tcPr>
                <w:p w:rsidR="00AC2131" w:rsidRDefault="00AC2131" w:rsidP="00AC2131">
                  <w:pPr>
                    <w:pStyle w:val="TableBodyText"/>
                    <w:spacing w:after="0"/>
                    <w:ind w:left="0" w:right="57"/>
                  </w:pPr>
                  <w:r>
                    <w:t>4.2</w:t>
                  </w:r>
                </w:p>
              </w:tc>
              <w:tc>
                <w:tcPr>
                  <w:tcW w:w="467" w:type="pct"/>
                  <w:vAlign w:val="bottom"/>
                </w:tcPr>
                <w:p w:rsidR="00AC2131" w:rsidRDefault="00AC2131" w:rsidP="00AC2131">
                  <w:pPr>
                    <w:pStyle w:val="TableBodyText"/>
                    <w:spacing w:after="0"/>
                    <w:ind w:left="0" w:right="57"/>
                  </w:pPr>
                  <w:r>
                    <w:t>5.7</w:t>
                  </w:r>
                </w:p>
              </w:tc>
              <w:tc>
                <w:tcPr>
                  <w:tcW w:w="467" w:type="pct"/>
                  <w:shd w:val="clear" w:color="auto" w:fill="auto"/>
                  <w:vAlign w:val="bottom"/>
                </w:tcPr>
                <w:p w:rsidR="00AC2131" w:rsidRDefault="00AC2131" w:rsidP="00AC2131">
                  <w:pPr>
                    <w:pStyle w:val="TableBodyText"/>
                    <w:spacing w:after="0"/>
                    <w:ind w:left="0" w:right="57"/>
                  </w:pPr>
                  <w:r>
                    <w:t>6.8</w:t>
                  </w:r>
                </w:p>
              </w:tc>
              <w:tc>
                <w:tcPr>
                  <w:tcW w:w="465" w:type="pct"/>
                  <w:shd w:val="clear" w:color="auto" w:fill="auto"/>
                  <w:vAlign w:val="bottom"/>
                </w:tcPr>
                <w:p w:rsidR="00AC2131" w:rsidRDefault="00AC2131" w:rsidP="00AC2131">
                  <w:pPr>
                    <w:pStyle w:val="TableBodyText"/>
                    <w:spacing w:after="0"/>
                    <w:ind w:left="0" w:right="57"/>
                  </w:pPr>
                  <w:r>
                    <w:t>6.8</w:t>
                  </w:r>
                </w:p>
              </w:tc>
            </w:tr>
            <w:tr w:rsidR="00AC2131" w:rsidTr="00AC2131">
              <w:tc>
                <w:tcPr>
                  <w:tcW w:w="2200" w:type="pct"/>
                  <w:shd w:val="clear" w:color="auto" w:fill="auto"/>
                  <w:vAlign w:val="bottom"/>
                </w:tcPr>
                <w:p w:rsidR="00AC2131" w:rsidRPr="00AC6C50" w:rsidRDefault="00AC2131" w:rsidP="00AC2131">
                  <w:pPr>
                    <w:ind w:left="227"/>
                    <w:rPr>
                      <w:rFonts w:ascii="Arial" w:hAnsi="Arial" w:cs="Arial"/>
                      <w:color w:val="000000"/>
                      <w:sz w:val="18"/>
                      <w:szCs w:val="18"/>
                    </w:rPr>
                  </w:pPr>
                  <w:r w:rsidRPr="00AC6C50">
                    <w:rPr>
                      <w:rFonts w:ascii="Arial" w:hAnsi="Arial" w:cs="Arial"/>
                      <w:color w:val="000000"/>
                      <w:sz w:val="18"/>
                      <w:szCs w:val="18"/>
                    </w:rPr>
                    <w:t>Interim Income Support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C6C50" w:rsidRDefault="00AC2131" w:rsidP="00AC2131">
                  <w:pPr>
                    <w:ind w:left="227"/>
                    <w:rPr>
                      <w:rFonts w:ascii="Arial" w:hAnsi="Arial" w:cs="Arial"/>
                      <w:color w:val="000000"/>
                      <w:sz w:val="18"/>
                      <w:szCs w:val="18"/>
                    </w:rPr>
                  </w:pPr>
                  <w:r w:rsidRPr="00AC6C50">
                    <w:rPr>
                      <w:rFonts w:ascii="Arial" w:hAnsi="Arial" w:cs="Arial"/>
                      <w:color w:val="000000"/>
                      <w:sz w:val="18"/>
                      <w:szCs w:val="18"/>
                    </w:rPr>
                    <w:t>Rural Financial Counselling Service</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0.6</w:t>
                  </w:r>
                </w:p>
              </w:tc>
              <w:tc>
                <w:tcPr>
                  <w:tcW w:w="465" w:type="pct"/>
                  <w:shd w:val="clear" w:color="auto" w:fill="auto"/>
                  <w:vAlign w:val="bottom"/>
                </w:tcPr>
                <w:p w:rsidR="00AC2131" w:rsidRDefault="00AC2131" w:rsidP="00AC2131">
                  <w:pPr>
                    <w:pStyle w:val="TableBodyText"/>
                    <w:spacing w:after="0"/>
                    <w:ind w:left="0" w:right="57"/>
                  </w:pPr>
                  <w:r>
                    <w:t>0.8</w:t>
                  </w:r>
                </w:p>
              </w:tc>
            </w:tr>
            <w:tr w:rsidR="00AC2131" w:rsidTr="00AC2131">
              <w:tc>
                <w:tcPr>
                  <w:tcW w:w="2200" w:type="pct"/>
                  <w:shd w:val="clear" w:color="auto" w:fill="auto"/>
                  <w:vAlign w:val="bottom"/>
                </w:tcPr>
                <w:p w:rsidR="00AC2131" w:rsidRPr="00AC6C50" w:rsidRDefault="00AC2131" w:rsidP="00AC2131">
                  <w:pPr>
                    <w:ind w:left="227"/>
                    <w:rPr>
                      <w:rFonts w:ascii="Arial" w:hAnsi="Arial" w:cs="Arial"/>
                      <w:color w:val="000000"/>
                      <w:sz w:val="18"/>
                      <w:szCs w:val="18"/>
                    </w:rPr>
                  </w:pPr>
                  <w:r w:rsidRPr="00AC6C50">
                    <w:rPr>
                      <w:rFonts w:ascii="Arial" w:hAnsi="Arial" w:cs="Arial"/>
                      <w:color w:val="000000"/>
                      <w:sz w:val="18"/>
                      <w:szCs w:val="18"/>
                    </w:rPr>
                    <w:t>Tax deduction for conserving or conveying water</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1.5</w:t>
                  </w:r>
                </w:p>
              </w:tc>
              <w:tc>
                <w:tcPr>
                  <w:tcW w:w="467" w:type="pct"/>
                  <w:vAlign w:val="bottom"/>
                </w:tcPr>
                <w:p w:rsidR="00AC2131" w:rsidRDefault="00AC2131" w:rsidP="00AC2131">
                  <w:pPr>
                    <w:pStyle w:val="TableBodyText"/>
                    <w:spacing w:after="0"/>
                    <w:ind w:left="0" w:right="57"/>
                  </w:pPr>
                  <w:r>
                    <w:t>3.5</w:t>
                  </w:r>
                </w:p>
              </w:tc>
              <w:tc>
                <w:tcPr>
                  <w:tcW w:w="467" w:type="pct"/>
                  <w:vAlign w:val="bottom"/>
                </w:tcPr>
                <w:p w:rsidR="00AC2131" w:rsidRDefault="00AC2131" w:rsidP="00AC2131">
                  <w:pPr>
                    <w:pStyle w:val="TableBodyText"/>
                    <w:spacing w:after="0"/>
                    <w:ind w:left="0" w:right="57"/>
                  </w:pPr>
                  <w:r>
                    <w:t>20.5</w:t>
                  </w:r>
                </w:p>
              </w:tc>
              <w:tc>
                <w:tcPr>
                  <w:tcW w:w="467" w:type="pct"/>
                  <w:shd w:val="clear" w:color="auto" w:fill="auto"/>
                  <w:vAlign w:val="bottom"/>
                </w:tcPr>
                <w:p w:rsidR="00AC2131" w:rsidRDefault="00AC2131" w:rsidP="00AC2131">
                  <w:pPr>
                    <w:pStyle w:val="TableBodyText"/>
                    <w:spacing w:after="0"/>
                    <w:ind w:left="0" w:right="57"/>
                  </w:pPr>
                  <w:r>
                    <w:t>23.4</w:t>
                  </w:r>
                </w:p>
              </w:tc>
              <w:tc>
                <w:tcPr>
                  <w:tcW w:w="465" w:type="pct"/>
                  <w:shd w:val="clear" w:color="auto" w:fill="auto"/>
                  <w:vAlign w:val="bottom"/>
                </w:tcPr>
                <w:p w:rsidR="00AC2131" w:rsidRDefault="00AC2131" w:rsidP="00AC2131">
                  <w:pPr>
                    <w:pStyle w:val="TableBodyText"/>
                    <w:spacing w:after="0"/>
                    <w:ind w:left="0" w:right="57"/>
                  </w:pPr>
                  <w:r>
                    <w:t>2.2</w:t>
                  </w:r>
                </w:p>
              </w:tc>
            </w:tr>
            <w:tr w:rsidR="00AC2131" w:rsidTr="00AC2131">
              <w:tc>
                <w:tcPr>
                  <w:tcW w:w="2200" w:type="pct"/>
                </w:tcPr>
                <w:p w:rsidR="00AC2131" w:rsidRPr="00B15491" w:rsidRDefault="00AC2131" w:rsidP="00AC2131">
                  <w:pPr>
                    <w:pStyle w:val="TableUnitsRow"/>
                    <w:spacing w:after="0"/>
                    <w:ind w:left="113"/>
                    <w:jc w:val="left"/>
                    <w:rPr>
                      <w:i/>
                    </w:rPr>
                  </w:pPr>
                  <w:r w:rsidRPr="00B15491">
                    <w:rPr>
                      <w:i/>
                    </w:rPr>
                    <w:t>Rural R&amp;D measures</w:t>
                  </w: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5" w:type="pct"/>
                </w:tcPr>
                <w:p w:rsidR="00AC2131" w:rsidRDefault="00AC2131" w:rsidP="00AC2131">
                  <w:pPr>
                    <w:pStyle w:val="TableUnitsRow"/>
                    <w:spacing w:after="0"/>
                    <w:ind w:left="113" w:right="28"/>
                  </w:pPr>
                </w:p>
              </w:tc>
            </w:tr>
            <w:tr w:rsidR="00AC2131" w:rsidTr="00AC2131">
              <w:tc>
                <w:tcPr>
                  <w:tcW w:w="2200" w:type="pct"/>
                  <w:vAlign w:val="bottom"/>
                </w:tcPr>
                <w:p w:rsidR="00AC2131" w:rsidRPr="00B15491" w:rsidRDefault="00AC2131" w:rsidP="00AC2131">
                  <w:pPr>
                    <w:ind w:left="227"/>
                    <w:rPr>
                      <w:rFonts w:ascii="Arial" w:hAnsi="Arial" w:cs="Arial"/>
                      <w:color w:val="000000"/>
                      <w:sz w:val="18"/>
                      <w:szCs w:val="18"/>
                    </w:rPr>
                  </w:pPr>
                  <w:r w:rsidRPr="00B15491">
                    <w:rPr>
                      <w:rFonts w:ascii="Arial" w:hAnsi="Arial" w:cs="Arial"/>
                      <w:color w:val="000000"/>
                      <w:sz w:val="18"/>
                      <w:szCs w:val="18"/>
                    </w:rPr>
                    <w:t>Cotton R</w:t>
                  </w:r>
                  <w:r>
                    <w:rPr>
                      <w:rFonts w:ascii="Arial" w:hAnsi="Arial" w:cs="Arial"/>
                      <w:color w:val="000000"/>
                      <w:sz w:val="18"/>
                      <w:szCs w:val="18"/>
                    </w:rPr>
                    <w:t>&amp;</w:t>
                  </w:r>
                  <w:r w:rsidRPr="00B15491">
                    <w:rPr>
                      <w:rFonts w:ascii="Arial" w:hAnsi="Arial" w:cs="Arial"/>
                      <w:color w:val="000000"/>
                      <w:sz w:val="18"/>
                      <w:szCs w:val="18"/>
                    </w:rPr>
                    <w:t>D</w:t>
                  </w:r>
                  <w:r>
                    <w:rPr>
                      <w:rFonts w:ascii="Arial" w:hAnsi="Arial" w:cs="Arial"/>
                      <w:color w:val="000000"/>
                      <w:sz w:val="18"/>
                      <w:szCs w:val="18"/>
                    </w:rPr>
                    <w:t xml:space="preserve"> </w:t>
                  </w:r>
                  <w:r w:rsidRPr="00B15491">
                    <w:rPr>
                      <w:rFonts w:ascii="Arial" w:hAnsi="Arial" w:cs="Arial"/>
                      <w:color w:val="000000"/>
                      <w:sz w:val="18"/>
                      <w:szCs w:val="18"/>
                    </w:rPr>
                    <w:t>Corporation</w:t>
                  </w:r>
                </w:p>
              </w:tc>
              <w:tc>
                <w:tcPr>
                  <w:tcW w:w="467" w:type="pct"/>
                  <w:vAlign w:val="bottom"/>
                </w:tcPr>
                <w:p w:rsidR="00AC2131" w:rsidRDefault="00AC2131" w:rsidP="00AC2131">
                  <w:pPr>
                    <w:pStyle w:val="TableBodyText"/>
                    <w:spacing w:after="0"/>
                    <w:ind w:left="227" w:right="57"/>
                  </w:pPr>
                  <w:r>
                    <w:t>2.4</w:t>
                  </w:r>
                </w:p>
              </w:tc>
              <w:tc>
                <w:tcPr>
                  <w:tcW w:w="467" w:type="pct"/>
                  <w:vAlign w:val="bottom"/>
                </w:tcPr>
                <w:p w:rsidR="00AC2131" w:rsidRDefault="00AC2131" w:rsidP="00AC2131">
                  <w:pPr>
                    <w:pStyle w:val="TableBodyText"/>
                    <w:spacing w:after="0"/>
                    <w:ind w:left="227" w:right="57"/>
                  </w:pPr>
                  <w:r>
                    <w:t>3.0</w:t>
                  </w:r>
                </w:p>
              </w:tc>
              <w:tc>
                <w:tcPr>
                  <w:tcW w:w="467" w:type="pct"/>
                  <w:vAlign w:val="bottom"/>
                </w:tcPr>
                <w:p w:rsidR="00AC2131" w:rsidRDefault="00AC2131" w:rsidP="00AC2131">
                  <w:pPr>
                    <w:pStyle w:val="TableBodyText"/>
                    <w:spacing w:after="0"/>
                    <w:ind w:left="227" w:right="57"/>
                  </w:pPr>
                  <w:r>
                    <w:t>5.7</w:t>
                  </w:r>
                </w:p>
              </w:tc>
              <w:tc>
                <w:tcPr>
                  <w:tcW w:w="467" w:type="pct"/>
                  <w:vAlign w:val="bottom"/>
                </w:tcPr>
                <w:p w:rsidR="00AC2131" w:rsidRDefault="00AC2131" w:rsidP="00AC2131">
                  <w:pPr>
                    <w:pStyle w:val="TableBodyText"/>
                    <w:spacing w:after="0"/>
                    <w:ind w:left="227" w:right="57"/>
                  </w:pPr>
                  <w:r>
                    <w:t>9.5</w:t>
                  </w:r>
                </w:p>
              </w:tc>
              <w:tc>
                <w:tcPr>
                  <w:tcW w:w="467" w:type="pct"/>
                  <w:vAlign w:val="bottom"/>
                </w:tcPr>
                <w:p w:rsidR="00AC2131" w:rsidRDefault="00AC2131" w:rsidP="00AC2131">
                  <w:pPr>
                    <w:pStyle w:val="TableBodyText"/>
                    <w:spacing w:after="0"/>
                    <w:ind w:left="227" w:right="57"/>
                  </w:pPr>
                  <w:r>
                    <w:t>11.8</w:t>
                  </w:r>
                </w:p>
              </w:tc>
              <w:tc>
                <w:tcPr>
                  <w:tcW w:w="465" w:type="pct"/>
                  <w:vAlign w:val="bottom"/>
                </w:tcPr>
                <w:p w:rsidR="00AC2131" w:rsidRDefault="00AC2131" w:rsidP="00AC2131">
                  <w:pPr>
                    <w:pStyle w:val="TableBodyText"/>
                    <w:spacing w:after="0"/>
                    <w:ind w:left="227" w:right="57"/>
                  </w:pPr>
                  <w:r>
                    <w:t>11.2</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sidRPr="00B15491">
                    <w:rPr>
                      <w:rFonts w:ascii="Arial" w:hAnsi="Arial" w:cs="Arial"/>
                      <w:color w:val="000000"/>
                      <w:sz w:val="18"/>
                      <w:szCs w:val="18"/>
                    </w:rPr>
                    <w:t xml:space="preserve">Rural Industries </w:t>
                  </w:r>
                  <w:r>
                    <w:rPr>
                      <w:rFonts w:ascii="Arial" w:hAnsi="Arial" w:cs="Arial"/>
                      <w:color w:val="000000"/>
                      <w:sz w:val="18"/>
                      <w:szCs w:val="18"/>
                    </w:rPr>
                    <w:t xml:space="preserve">R&amp;D </w:t>
                  </w:r>
                  <w:r w:rsidRPr="00B15491">
                    <w:rPr>
                      <w:rFonts w:ascii="Arial" w:hAnsi="Arial" w:cs="Arial"/>
                      <w:color w:val="000000"/>
                      <w:sz w:val="18"/>
                      <w:szCs w:val="18"/>
                    </w:rPr>
                    <w:t>Corporation</w:t>
                  </w:r>
                </w:p>
              </w:tc>
              <w:tc>
                <w:tcPr>
                  <w:tcW w:w="467" w:type="pct"/>
                  <w:vAlign w:val="bottom"/>
                </w:tcPr>
                <w:p w:rsidR="00AC2131" w:rsidRDefault="00AC2131" w:rsidP="00AC2131">
                  <w:pPr>
                    <w:pStyle w:val="TableBodyText"/>
                    <w:spacing w:after="0"/>
                    <w:ind w:left="227" w:right="57"/>
                  </w:pPr>
                  <w:r>
                    <w:t>0.8</w:t>
                  </w:r>
                </w:p>
              </w:tc>
              <w:tc>
                <w:tcPr>
                  <w:tcW w:w="467" w:type="pct"/>
                  <w:vAlign w:val="bottom"/>
                </w:tcPr>
                <w:p w:rsidR="00AC2131" w:rsidRDefault="00AC2131" w:rsidP="00AC2131">
                  <w:pPr>
                    <w:pStyle w:val="TableBodyText"/>
                    <w:spacing w:after="0"/>
                    <w:ind w:left="227" w:right="57"/>
                  </w:pPr>
                  <w:r>
                    <w:t>1.4</w:t>
                  </w:r>
                </w:p>
              </w:tc>
              <w:tc>
                <w:tcPr>
                  <w:tcW w:w="467" w:type="pct"/>
                  <w:vAlign w:val="bottom"/>
                </w:tcPr>
                <w:p w:rsidR="00AC2131" w:rsidRDefault="00AC2131" w:rsidP="00AC2131">
                  <w:pPr>
                    <w:pStyle w:val="TableBodyText"/>
                    <w:spacing w:after="0"/>
                    <w:ind w:left="227" w:right="57"/>
                  </w:pPr>
                  <w:r>
                    <w:t>0.9</w:t>
                  </w:r>
                </w:p>
              </w:tc>
              <w:tc>
                <w:tcPr>
                  <w:tcW w:w="467" w:type="pct"/>
                  <w:vAlign w:val="bottom"/>
                </w:tcPr>
                <w:p w:rsidR="00AC2131" w:rsidRDefault="00AC2131" w:rsidP="00AC2131">
                  <w:pPr>
                    <w:pStyle w:val="TableBodyText"/>
                    <w:spacing w:after="0"/>
                    <w:ind w:left="227" w:right="57"/>
                  </w:pPr>
                  <w:r>
                    <w:t>0.8</w:t>
                  </w:r>
                </w:p>
              </w:tc>
              <w:tc>
                <w:tcPr>
                  <w:tcW w:w="467" w:type="pct"/>
                  <w:shd w:val="clear" w:color="auto" w:fill="auto"/>
                  <w:vAlign w:val="bottom"/>
                </w:tcPr>
                <w:p w:rsidR="00AC2131" w:rsidRDefault="00AC2131" w:rsidP="00AC2131">
                  <w:pPr>
                    <w:pStyle w:val="TableBodyText"/>
                    <w:spacing w:after="0"/>
                    <w:ind w:left="227" w:right="57"/>
                  </w:pPr>
                  <w:r>
                    <w:t>0.7</w:t>
                  </w:r>
                </w:p>
              </w:tc>
              <w:tc>
                <w:tcPr>
                  <w:tcW w:w="465" w:type="pct"/>
                  <w:shd w:val="clear" w:color="auto" w:fill="auto"/>
                  <w:vAlign w:val="bottom"/>
                </w:tcPr>
                <w:p w:rsidR="00AC2131" w:rsidRDefault="00AC2131" w:rsidP="00AC2131">
                  <w:pPr>
                    <w:pStyle w:val="TableBodyText"/>
                    <w:spacing w:after="0"/>
                    <w:ind w:left="227" w:right="57"/>
                  </w:pPr>
                  <w:r>
                    <w:t>0.7</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sidRPr="00B15491">
                    <w:rPr>
                      <w:rFonts w:ascii="Arial" w:hAnsi="Arial" w:cs="Arial"/>
                      <w:color w:val="000000"/>
                      <w:sz w:val="18"/>
                      <w:szCs w:val="18"/>
                    </w:rPr>
                    <w:t xml:space="preserve">Sugar </w:t>
                  </w:r>
                  <w:r>
                    <w:rPr>
                      <w:rFonts w:ascii="Arial" w:hAnsi="Arial" w:cs="Arial"/>
                      <w:color w:val="000000"/>
                      <w:sz w:val="18"/>
                      <w:szCs w:val="18"/>
                    </w:rPr>
                    <w:t xml:space="preserve">R&amp;D </w:t>
                  </w:r>
                  <w:r w:rsidRPr="00B15491">
                    <w:rPr>
                      <w:rFonts w:ascii="Arial" w:hAnsi="Arial" w:cs="Arial"/>
                      <w:color w:val="000000"/>
                      <w:sz w:val="18"/>
                      <w:szCs w:val="18"/>
                    </w:rPr>
                    <w:t>Corporation</w:t>
                  </w:r>
                </w:p>
              </w:tc>
              <w:tc>
                <w:tcPr>
                  <w:tcW w:w="467" w:type="pct"/>
                  <w:vAlign w:val="bottom"/>
                </w:tcPr>
                <w:p w:rsidR="00AC2131" w:rsidRDefault="00AC2131" w:rsidP="00AC2131">
                  <w:pPr>
                    <w:pStyle w:val="TableBodyText"/>
                    <w:spacing w:after="0"/>
                    <w:ind w:left="227" w:right="57"/>
                  </w:pPr>
                  <w:r>
                    <w:t>6.1</w:t>
                  </w:r>
                </w:p>
              </w:tc>
              <w:tc>
                <w:tcPr>
                  <w:tcW w:w="467" w:type="pct"/>
                  <w:vAlign w:val="bottom"/>
                </w:tcPr>
                <w:p w:rsidR="00AC2131" w:rsidRDefault="00AC2131" w:rsidP="00AC2131">
                  <w:pPr>
                    <w:pStyle w:val="TableBodyText"/>
                    <w:spacing w:after="0"/>
                    <w:ind w:left="227" w:right="57"/>
                  </w:pPr>
                  <w:r>
                    <w:t>5.8</w:t>
                  </w:r>
                </w:p>
              </w:tc>
              <w:tc>
                <w:tcPr>
                  <w:tcW w:w="467" w:type="pct"/>
                  <w:vAlign w:val="bottom"/>
                </w:tcPr>
                <w:p w:rsidR="00AC2131" w:rsidRDefault="00AC2131" w:rsidP="00AC2131">
                  <w:pPr>
                    <w:pStyle w:val="TableBodyText"/>
                    <w:spacing w:after="0"/>
                    <w:ind w:left="227" w:right="57"/>
                  </w:pPr>
                  <w:r>
                    <w:t>5.9</w:t>
                  </w:r>
                </w:p>
              </w:tc>
              <w:tc>
                <w:tcPr>
                  <w:tcW w:w="467" w:type="pct"/>
                  <w:vAlign w:val="bottom"/>
                </w:tcPr>
                <w:p w:rsidR="00AC2131" w:rsidRDefault="00AC2131" w:rsidP="00AC2131">
                  <w:pPr>
                    <w:pStyle w:val="TableBodyText"/>
                    <w:spacing w:after="0"/>
                    <w:ind w:left="227" w:right="57"/>
                  </w:pPr>
                  <w:r>
                    <w:t>5.4</w:t>
                  </w:r>
                </w:p>
              </w:tc>
              <w:tc>
                <w:tcPr>
                  <w:tcW w:w="467" w:type="pct"/>
                  <w:shd w:val="clear" w:color="auto" w:fill="auto"/>
                  <w:vAlign w:val="bottom"/>
                </w:tcPr>
                <w:p w:rsidR="00AC2131" w:rsidRDefault="00AC2131" w:rsidP="00AC2131">
                  <w:pPr>
                    <w:pStyle w:val="TableBodyText"/>
                    <w:spacing w:after="0"/>
                    <w:ind w:left="227" w:right="57"/>
                  </w:pPr>
                  <w:r>
                    <w:t>4.3</w:t>
                  </w:r>
                </w:p>
              </w:tc>
              <w:tc>
                <w:tcPr>
                  <w:tcW w:w="465" w:type="pct"/>
                  <w:shd w:val="clear" w:color="auto" w:fill="auto"/>
                  <w:vAlign w:val="bottom"/>
                </w:tcPr>
                <w:p w:rsidR="00AC2131" w:rsidRDefault="00AC2131" w:rsidP="00AC2131">
                  <w:pPr>
                    <w:pStyle w:val="TableBodyText"/>
                    <w:spacing w:after="0"/>
                    <w:ind w:left="227" w:right="57"/>
                  </w:pPr>
                  <w:r>
                    <w:t>6.7</w:t>
                  </w:r>
                </w:p>
              </w:tc>
            </w:tr>
            <w:tr w:rsidR="00AC2131" w:rsidTr="00AC2131">
              <w:tc>
                <w:tcPr>
                  <w:tcW w:w="2200" w:type="pct"/>
                  <w:shd w:val="clear" w:color="auto" w:fill="auto"/>
                </w:tcPr>
                <w:p w:rsidR="00AC2131" w:rsidRPr="00B15491" w:rsidRDefault="00AC2131" w:rsidP="00AC2131">
                  <w:pPr>
                    <w:pStyle w:val="TableBodyText"/>
                    <w:spacing w:before="40" w:after="0"/>
                    <w:ind w:left="113"/>
                    <w:jc w:val="left"/>
                    <w:rPr>
                      <w:i/>
                    </w:rPr>
                  </w:pPr>
                  <w:r w:rsidRPr="00B15491">
                    <w:rPr>
                      <w:i/>
                    </w:rPr>
                    <w:t>General export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Pr="00B15491" w:rsidRDefault="00AC2131" w:rsidP="00AC2131">
                  <w:pPr>
                    <w:pStyle w:val="TableBodyText"/>
                    <w:ind w:left="227"/>
                    <w:jc w:val="left"/>
                    <w:rPr>
                      <w:szCs w:val="18"/>
                    </w:rPr>
                  </w:pPr>
                  <w:r w:rsidRPr="00B15491">
                    <w:rPr>
                      <w:szCs w:val="18"/>
                    </w:rPr>
                    <w:t>Export Market Development Grants Scheme</w:t>
                  </w:r>
                </w:p>
              </w:tc>
              <w:tc>
                <w:tcPr>
                  <w:tcW w:w="467" w:type="pct"/>
                  <w:vAlign w:val="bottom"/>
                </w:tcPr>
                <w:p w:rsidR="00AC2131" w:rsidRDefault="00AC2131" w:rsidP="00AC2131">
                  <w:pPr>
                    <w:pStyle w:val="TableBodyText"/>
                    <w:spacing w:after="0"/>
                    <w:ind w:left="227" w:right="57"/>
                  </w:pPr>
                  <w:r>
                    <w:t>0.4</w:t>
                  </w:r>
                </w:p>
              </w:tc>
              <w:tc>
                <w:tcPr>
                  <w:tcW w:w="467" w:type="pct"/>
                  <w:vAlign w:val="bottom"/>
                </w:tcPr>
                <w:p w:rsidR="00AC2131" w:rsidRDefault="00AC2131" w:rsidP="00AC2131">
                  <w:pPr>
                    <w:pStyle w:val="TableBodyText"/>
                    <w:spacing w:after="0"/>
                    <w:ind w:left="227" w:right="57"/>
                  </w:pPr>
                  <w:r>
                    <w:t>0.6</w:t>
                  </w:r>
                </w:p>
              </w:tc>
              <w:tc>
                <w:tcPr>
                  <w:tcW w:w="467" w:type="pct"/>
                  <w:vAlign w:val="bottom"/>
                </w:tcPr>
                <w:p w:rsidR="00AC2131" w:rsidRDefault="00AC2131" w:rsidP="00AC2131">
                  <w:pPr>
                    <w:pStyle w:val="TableBodyText"/>
                    <w:spacing w:after="0"/>
                    <w:ind w:left="227" w:right="57"/>
                  </w:pPr>
                  <w:r>
                    <w:t>0.4</w:t>
                  </w:r>
                </w:p>
              </w:tc>
              <w:tc>
                <w:tcPr>
                  <w:tcW w:w="467" w:type="pct"/>
                  <w:vAlign w:val="bottom"/>
                </w:tcPr>
                <w:p w:rsidR="00AC2131" w:rsidRDefault="00AC2131" w:rsidP="00AC2131">
                  <w:pPr>
                    <w:pStyle w:val="TableBodyText"/>
                    <w:spacing w:after="0"/>
                    <w:ind w:left="227" w:right="57"/>
                  </w:pPr>
                  <w:r>
                    <w:t>0.5</w:t>
                  </w:r>
                </w:p>
              </w:tc>
              <w:tc>
                <w:tcPr>
                  <w:tcW w:w="467" w:type="pct"/>
                  <w:shd w:val="clear" w:color="auto" w:fill="auto"/>
                  <w:vAlign w:val="bottom"/>
                </w:tcPr>
                <w:p w:rsidR="00AC2131" w:rsidRDefault="00AC2131" w:rsidP="00AC2131">
                  <w:pPr>
                    <w:pStyle w:val="TableBodyText"/>
                    <w:spacing w:after="0"/>
                    <w:ind w:left="227" w:right="57"/>
                  </w:pPr>
                  <w:r>
                    <w:t>0.6</w:t>
                  </w:r>
                </w:p>
              </w:tc>
              <w:tc>
                <w:tcPr>
                  <w:tcW w:w="465" w:type="pct"/>
                  <w:shd w:val="clear" w:color="auto" w:fill="auto"/>
                  <w:vAlign w:val="bottom"/>
                </w:tcPr>
                <w:p w:rsidR="00AC2131" w:rsidRDefault="00AC2131" w:rsidP="00AC2131">
                  <w:pPr>
                    <w:pStyle w:val="TableBodyText"/>
                    <w:spacing w:after="0"/>
                    <w:ind w:left="227" w:right="57"/>
                  </w:pPr>
                  <w:r>
                    <w:t>0.6</w:t>
                  </w:r>
                </w:p>
              </w:tc>
            </w:tr>
            <w:tr w:rsidR="00AC2131" w:rsidTr="00AC2131">
              <w:tc>
                <w:tcPr>
                  <w:tcW w:w="2200" w:type="pct"/>
                  <w:shd w:val="clear" w:color="auto" w:fill="auto"/>
                </w:tcPr>
                <w:p w:rsidR="00AC2131" w:rsidRPr="00B15491" w:rsidRDefault="00AC2131" w:rsidP="00AC2131">
                  <w:pPr>
                    <w:pStyle w:val="TableBodyText"/>
                    <w:spacing w:before="40" w:after="0"/>
                    <w:ind w:left="113"/>
                    <w:jc w:val="left"/>
                    <w:rPr>
                      <w:i/>
                      <w:szCs w:val="18"/>
                    </w:rPr>
                  </w:pPr>
                  <w:r w:rsidRPr="00B15491">
                    <w:rPr>
                      <w:i/>
                      <w:szCs w:val="18"/>
                    </w:rPr>
                    <w:t>General R&amp;D measures</w:t>
                  </w:r>
                </w:p>
              </w:tc>
              <w:tc>
                <w:tcPr>
                  <w:tcW w:w="467" w:type="pct"/>
                </w:tcPr>
                <w:p w:rsidR="00AC2131" w:rsidRPr="00B15491" w:rsidRDefault="00AC2131" w:rsidP="00AC2131">
                  <w:pPr>
                    <w:pStyle w:val="TableBodyText"/>
                    <w:spacing w:before="40" w:after="0"/>
                    <w:ind w:left="113"/>
                    <w:rPr>
                      <w:szCs w:val="18"/>
                    </w:rPr>
                  </w:pPr>
                </w:p>
              </w:tc>
              <w:tc>
                <w:tcPr>
                  <w:tcW w:w="467" w:type="pct"/>
                </w:tcPr>
                <w:p w:rsidR="00AC2131" w:rsidRPr="00B15491" w:rsidRDefault="00AC2131" w:rsidP="00AC2131">
                  <w:pPr>
                    <w:pStyle w:val="TableBodyText"/>
                    <w:spacing w:before="40" w:after="0"/>
                    <w:ind w:left="113"/>
                    <w:rPr>
                      <w:szCs w:val="18"/>
                    </w:rPr>
                  </w:pPr>
                </w:p>
              </w:tc>
              <w:tc>
                <w:tcPr>
                  <w:tcW w:w="467" w:type="pct"/>
                </w:tcPr>
                <w:p w:rsidR="00AC2131" w:rsidRPr="00B15491" w:rsidRDefault="00AC2131" w:rsidP="00AC2131">
                  <w:pPr>
                    <w:pStyle w:val="TableBodyText"/>
                    <w:spacing w:before="40" w:after="0"/>
                    <w:ind w:left="113"/>
                    <w:rPr>
                      <w:szCs w:val="18"/>
                    </w:rPr>
                  </w:pPr>
                </w:p>
              </w:tc>
              <w:tc>
                <w:tcPr>
                  <w:tcW w:w="467" w:type="pct"/>
                </w:tcPr>
                <w:p w:rsidR="00AC2131" w:rsidRPr="00B15491" w:rsidRDefault="00AC2131" w:rsidP="00AC2131">
                  <w:pPr>
                    <w:pStyle w:val="TableBodyText"/>
                    <w:spacing w:before="40" w:after="0"/>
                    <w:ind w:left="113"/>
                    <w:rPr>
                      <w:szCs w:val="18"/>
                    </w:rPr>
                  </w:pPr>
                </w:p>
              </w:tc>
              <w:tc>
                <w:tcPr>
                  <w:tcW w:w="467" w:type="pct"/>
                  <w:shd w:val="clear" w:color="auto" w:fill="auto"/>
                </w:tcPr>
                <w:p w:rsidR="00AC2131" w:rsidRPr="00B15491" w:rsidRDefault="00AC2131" w:rsidP="00AC2131">
                  <w:pPr>
                    <w:pStyle w:val="TableBodyText"/>
                    <w:spacing w:before="40" w:after="0"/>
                    <w:ind w:left="113"/>
                    <w:rPr>
                      <w:szCs w:val="18"/>
                    </w:rPr>
                  </w:pPr>
                </w:p>
              </w:tc>
              <w:tc>
                <w:tcPr>
                  <w:tcW w:w="465" w:type="pct"/>
                  <w:shd w:val="clear" w:color="auto" w:fill="auto"/>
                </w:tcPr>
                <w:p w:rsidR="00AC2131" w:rsidRPr="00B15491" w:rsidRDefault="00AC2131" w:rsidP="00AC2131">
                  <w:pPr>
                    <w:pStyle w:val="TableBodyText"/>
                    <w:spacing w:before="40" w:after="0"/>
                    <w:ind w:left="113" w:right="28"/>
                    <w:rPr>
                      <w:szCs w:val="18"/>
                    </w:rPr>
                  </w:pP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sidRPr="00B15491">
                    <w:rPr>
                      <w:rFonts w:ascii="Arial" w:hAnsi="Arial" w:cs="Arial"/>
                      <w:color w:val="000000"/>
                      <w:sz w:val="18"/>
                      <w:szCs w:val="18"/>
                    </w:rPr>
                    <w:t xml:space="preserve">Clean Business Australia </w:t>
                  </w:r>
                  <w:r>
                    <w:rPr>
                      <w:rFonts w:ascii="Arial" w:hAnsi="Arial" w:cs="Arial"/>
                      <w:color w:val="000000"/>
                      <w:sz w:val="18"/>
                      <w:szCs w:val="18"/>
                    </w:rPr>
                    <w:t>–</w:t>
                  </w:r>
                  <w:r w:rsidRPr="00B15491">
                    <w:rPr>
                      <w:rFonts w:ascii="Arial" w:hAnsi="Arial" w:cs="Arial"/>
                      <w:color w:val="000000"/>
                      <w:sz w:val="18"/>
                      <w:szCs w:val="18"/>
                    </w:rPr>
                    <w:t xml:space="preserve"> Climate Ready Program</w:t>
                  </w:r>
                </w:p>
              </w:tc>
              <w:tc>
                <w:tcPr>
                  <w:tcW w:w="467" w:type="pct"/>
                  <w:vAlign w:val="bottom"/>
                </w:tcPr>
                <w:p w:rsidR="00AC2131" w:rsidRDefault="00AC2131" w:rsidP="00AC2131">
                  <w:pPr>
                    <w:pStyle w:val="TableBodyText"/>
                    <w:spacing w:after="0"/>
                    <w:ind w:left="227" w:right="57"/>
                  </w:pPr>
                  <w:r>
                    <w:t>0.1</w:t>
                  </w:r>
                </w:p>
              </w:tc>
              <w:tc>
                <w:tcPr>
                  <w:tcW w:w="467" w:type="pct"/>
                  <w:vAlign w:val="bottom"/>
                </w:tcPr>
                <w:p w:rsidR="00AC2131" w:rsidRDefault="00AC2131" w:rsidP="00AC2131">
                  <w:pPr>
                    <w:pStyle w:val="TableBodyText"/>
                    <w:spacing w:after="0"/>
                    <w:ind w:left="227" w:right="57"/>
                  </w:pPr>
                  <w:r>
                    <w:t>0.5</w:t>
                  </w:r>
                </w:p>
              </w:tc>
              <w:tc>
                <w:tcPr>
                  <w:tcW w:w="467" w:type="pct"/>
                  <w:vAlign w:val="bottom"/>
                </w:tcPr>
                <w:p w:rsidR="00AC2131" w:rsidRDefault="00AC2131" w:rsidP="00AC2131">
                  <w:pPr>
                    <w:pStyle w:val="TableBodyText"/>
                    <w:spacing w:after="0"/>
                    <w:ind w:left="227" w:right="57"/>
                  </w:pPr>
                  <w:r>
                    <w:t>0.3</w:t>
                  </w:r>
                </w:p>
              </w:tc>
              <w:tc>
                <w:tcPr>
                  <w:tcW w:w="467" w:type="pct"/>
                  <w:vAlign w:val="bottom"/>
                </w:tcPr>
                <w:p w:rsidR="00AC2131" w:rsidRDefault="00AC2131" w:rsidP="00AC2131">
                  <w:pPr>
                    <w:pStyle w:val="TableBodyText"/>
                    <w:spacing w:after="0"/>
                    <w:ind w:left="227" w:right="57"/>
                  </w:pPr>
                  <w:r>
                    <w:t>&lt;0.1</w:t>
                  </w:r>
                </w:p>
              </w:tc>
              <w:tc>
                <w:tcPr>
                  <w:tcW w:w="467" w:type="pct"/>
                  <w:shd w:val="clear" w:color="auto" w:fill="auto"/>
                  <w:vAlign w:val="bottom"/>
                </w:tcPr>
                <w:p w:rsidR="00AC2131" w:rsidRDefault="00AC2131" w:rsidP="00AC2131">
                  <w:pPr>
                    <w:pStyle w:val="TableBodyText"/>
                    <w:spacing w:after="0"/>
                    <w:ind w:left="227" w:right="57"/>
                  </w:pPr>
                  <w:r>
                    <w:t>–</w:t>
                  </w:r>
                </w:p>
              </w:tc>
              <w:tc>
                <w:tcPr>
                  <w:tcW w:w="465" w:type="pct"/>
                  <w:shd w:val="clear" w:color="auto" w:fill="auto"/>
                  <w:vAlign w:val="bottom"/>
                </w:tcPr>
                <w:p w:rsidR="00AC2131" w:rsidRDefault="00AC2131" w:rsidP="00AC2131">
                  <w:pPr>
                    <w:pStyle w:val="TableBodyText"/>
                    <w:spacing w:after="0"/>
                    <w:ind w:left="227" w:right="57"/>
                  </w:pPr>
                  <w:r>
                    <w:t>–</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sidRPr="00B15491">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227" w:right="57"/>
                  </w:pPr>
                  <w:r>
                    <w:t>0.2</w:t>
                  </w:r>
                </w:p>
              </w:tc>
              <w:tc>
                <w:tcPr>
                  <w:tcW w:w="467" w:type="pct"/>
                  <w:vAlign w:val="bottom"/>
                </w:tcPr>
                <w:p w:rsidR="00AC2131" w:rsidRDefault="00AC2131" w:rsidP="00AC2131">
                  <w:pPr>
                    <w:pStyle w:val="TableBodyText"/>
                    <w:spacing w:after="0"/>
                    <w:ind w:left="227" w:right="57"/>
                  </w:pPr>
                  <w:r>
                    <w:t>&lt;0.1</w:t>
                  </w:r>
                </w:p>
              </w:tc>
              <w:tc>
                <w:tcPr>
                  <w:tcW w:w="467" w:type="pct"/>
                  <w:vAlign w:val="bottom"/>
                </w:tcPr>
                <w:p w:rsidR="00AC2131" w:rsidRDefault="00AC2131" w:rsidP="00AC2131">
                  <w:pPr>
                    <w:pStyle w:val="TableBodyText"/>
                    <w:spacing w:after="0"/>
                    <w:ind w:left="227" w:right="57"/>
                  </w:pPr>
                  <w:r>
                    <w:t>&lt;0.1</w:t>
                  </w:r>
                </w:p>
              </w:tc>
              <w:tc>
                <w:tcPr>
                  <w:tcW w:w="467" w:type="pct"/>
                  <w:vAlign w:val="bottom"/>
                </w:tcPr>
                <w:p w:rsidR="00AC2131" w:rsidRDefault="00AC2131" w:rsidP="00AC2131">
                  <w:pPr>
                    <w:pStyle w:val="TableBodyText"/>
                    <w:spacing w:after="0"/>
                    <w:ind w:left="227" w:right="57"/>
                  </w:pPr>
                  <w:r>
                    <w:t>–</w:t>
                  </w:r>
                </w:p>
              </w:tc>
              <w:tc>
                <w:tcPr>
                  <w:tcW w:w="467" w:type="pct"/>
                  <w:shd w:val="clear" w:color="auto" w:fill="auto"/>
                  <w:vAlign w:val="bottom"/>
                </w:tcPr>
                <w:p w:rsidR="00AC2131" w:rsidRDefault="00AC2131" w:rsidP="00AC2131">
                  <w:pPr>
                    <w:pStyle w:val="TableBodyText"/>
                    <w:spacing w:after="0"/>
                    <w:ind w:left="227" w:right="57"/>
                  </w:pPr>
                  <w:r>
                    <w:t>–</w:t>
                  </w:r>
                </w:p>
              </w:tc>
              <w:tc>
                <w:tcPr>
                  <w:tcW w:w="465" w:type="pct"/>
                  <w:shd w:val="clear" w:color="auto" w:fill="auto"/>
                  <w:vAlign w:val="bottom"/>
                </w:tcPr>
                <w:p w:rsidR="00AC2131" w:rsidRDefault="00AC2131" w:rsidP="00AC2131">
                  <w:pPr>
                    <w:pStyle w:val="TableBodyText"/>
                    <w:spacing w:after="0"/>
                    <w:ind w:left="227" w:right="57"/>
                  </w:pPr>
                  <w:r>
                    <w:t>–</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sidRPr="00B15491">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shd w:val="clear" w:color="auto" w:fill="auto"/>
                  <w:vAlign w:val="bottom"/>
                </w:tcPr>
                <w:p w:rsidR="00AC2131" w:rsidRDefault="00AC2131" w:rsidP="00AC2131">
                  <w:pPr>
                    <w:pStyle w:val="TableBodyText"/>
                    <w:spacing w:after="0"/>
                    <w:ind w:left="227" w:right="57"/>
                  </w:pPr>
                  <w:r>
                    <w:t>0.1</w:t>
                  </w:r>
                </w:p>
              </w:tc>
              <w:tc>
                <w:tcPr>
                  <w:tcW w:w="465" w:type="pct"/>
                  <w:shd w:val="clear" w:color="auto" w:fill="auto"/>
                  <w:vAlign w:val="bottom"/>
                </w:tcPr>
                <w:p w:rsidR="00AC2131" w:rsidRDefault="00AC2131" w:rsidP="00AC2131">
                  <w:pPr>
                    <w:pStyle w:val="TableBodyText"/>
                    <w:spacing w:after="0"/>
                    <w:ind w:left="227" w:right="57"/>
                  </w:pPr>
                  <w:r>
                    <w:t>0.1</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sidRPr="00B15491">
                    <w:rPr>
                      <w:rFonts w:ascii="Arial" w:hAnsi="Arial" w:cs="Arial"/>
                      <w:color w:val="000000"/>
                      <w:sz w:val="18"/>
                      <w:szCs w:val="18"/>
                    </w:rPr>
                    <w:t>Cooperative Research Centres</w:t>
                  </w:r>
                </w:p>
              </w:tc>
              <w:tc>
                <w:tcPr>
                  <w:tcW w:w="467" w:type="pct"/>
                  <w:vAlign w:val="bottom"/>
                </w:tcPr>
                <w:p w:rsidR="00AC2131" w:rsidRDefault="00AC2131" w:rsidP="00AC2131">
                  <w:pPr>
                    <w:pStyle w:val="TableBodyText"/>
                    <w:spacing w:after="0"/>
                    <w:ind w:left="227" w:right="57"/>
                  </w:pPr>
                  <w:r>
                    <w:t>8.3</w:t>
                  </w:r>
                </w:p>
              </w:tc>
              <w:tc>
                <w:tcPr>
                  <w:tcW w:w="467" w:type="pct"/>
                  <w:vAlign w:val="bottom"/>
                </w:tcPr>
                <w:p w:rsidR="00AC2131" w:rsidRDefault="00AC2131" w:rsidP="00AC2131">
                  <w:pPr>
                    <w:pStyle w:val="TableBodyText"/>
                    <w:spacing w:after="0"/>
                    <w:ind w:left="227" w:right="57"/>
                  </w:pPr>
                  <w:r>
                    <w:t>6.5</w:t>
                  </w:r>
                </w:p>
              </w:tc>
              <w:tc>
                <w:tcPr>
                  <w:tcW w:w="467" w:type="pct"/>
                  <w:vAlign w:val="bottom"/>
                </w:tcPr>
                <w:p w:rsidR="00AC2131" w:rsidRDefault="00AC2131" w:rsidP="00AC2131">
                  <w:pPr>
                    <w:pStyle w:val="TableBodyText"/>
                    <w:spacing w:after="0"/>
                    <w:ind w:left="227" w:right="57"/>
                  </w:pPr>
                  <w:r>
                    <w:t>3.5</w:t>
                  </w:r>
                </w:p>
              </w:tc>
              <w:tc>
                <w:tcPr>
                  <w:tcW w:w="467" w:type="pct"/>
                  <w:vAlign w:val="bottom"/>
                </w:tcPr>
                <w:p w:rsidR="00AC2131" w:rsidRDefault="00AC2131" w:rsidP="00AC2131">
                  <w:pPr>
                    <w:pStyle w:val="TableBodyText"/>
                    <w:spacing w:after="0"/>
                    <w:ind w:left="227" w:right="57"/>
                  </w:pPr>
                  <w:r>
                    <w:t>3.0</w:t>
                  </w:r>
                </w:p>
              </w:tc>
              <w:tc>
                <w:tcPr>
                  <w:tcW w:w="467" w:type="pct"/>
                  <w:shd w:val="clear" w:color="auto" w:fill="auto"/>
                  <w:vAlign w:val="bottom"/>
                </w:tcPr>
                <w:p w:rsidR="00AC2131" w:rsidRDefault="00AC2131" w:rsidP="00AC2131">
                  <w:pPr>
                    <w:pStyle w:val="TableBodyText"/>
                    <w:spacing w:after="0"/>
                    <w:ind w:left="227" w:right="57"/>
                  </w:pPr>
                  <w:r>
                    <w:t>–</w:t>
                  </w:r>
                </w:p>
              </w:tc>
              <w:tc>
                <w:tcPr>
                  <w:tcW w:w="465" w:type="pct"/>
                  <w:shd w:val="clear" w:color="auto" w:fill="auto"/>
                  <w:vAlign w:val="bottom"/>
                </w:tcPr>
                <w:p w:rsidR="00AC2131" w:rsidRDefault="00AC2131" w:rsidP="00AC2131">
                  <w:pPr>
                    <w:pStyle w:val="TableBodyText"/>
                    <w:spacing w:after="0"/>
                    <w:ind w:left="227" w:right="57"/>
                  </w:pPr>
                  <w:r>
                    <w:t>–</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sidRPr="00B15491">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227" w:right="57"/>
                  </w:pPr>
                  <w:r>
                    <w:t>7.0</w:t>
                  </w:r>
                </w:p>
              </w:tc>
              <w:tc>
                <w:tcPr>
                  <w:tcW w:w="467" w:type="pct"/>
                  <w:vAlign w:val="bottom"/>
                </w:tcPr>
                <w:p w:rsidR="00AC2131" w:rsidRDefault="00AC2131" w:rsidP="00AC2131">
                  <w:pPr>
                    <w:pStyle w:val="TableBodyText"/>
                    <w:spacing w:after="0"/>
                    <w:ind w:left="227" w:right="57"/>
                  </w:pPr>
                  <w:r>
                    <w:t>7.5</w:t>
                  </w:r>
                </w:p>
              </w:tc>
              <w:tc>
                <w:tcPr>
                  <w:tcW w:w="467" w:type="pct"/>
                  <w:vAlign w:val="bottom"/>
                </w:tcPr>
                <w:p w:rsidR="00AC2131" w:rsidRDefault="00AC2131" w:rsidP="00AC2131">
                  <w:pPr>
                    <w:pStyle w:val="TableBodyText"/>
                    <w:spacing w:after="0"/>
                    <w:ind w:left="227" w:right="57"/>
                  </w:pPr>
                  <w:r>
                    <w:t>7.7</w:t>
                  </w:r>
                </w:p>
              </w:tc>
              <w:tc>
                <w:tcPr>
                  <w:tcW w:w="467" w:type="pct"/>
                  <w:vAlign w:val="bottom"/>
                </w:tcPr>
                <w:p w:rsidR="00AC2131" w:rsidRDefault="00AC2131" w:rsidP="00AC2131">
                  <w:pPr>
                    <w:pStyle w:val="TableBodyText"/>
                    <w:spacing w:after="0"/>
                    <w:ind w:left="227" w:right="57"/>
                  </w:pPr>
                  <w:r>
                    <w:t>23.0</w:t>
                  </w:r>
                </w:p>
              </w:tc>
              <w:tc>
                <w:tcPr>
                  <w:tcW w:w="467" w:type="pct"/>
                  <w:shd w:val="clear" w:color="auto" w:fill="auto"/>
                  <w:vAlign w:val="bottom"/>
                </w:tcPr>
                <w:p w:rsidR="00AC2131" w:rsidRDefault="00AC2131" w:rsidP="00AC2131">
                  <w:pPr>
                    <w:pStyle w:val="TableBodyText"/>
                    <w:spacing w:after="0"/>
                    <w:ind w:left="227" w:right="57"/>
                  </w:pPr>
                  <w:r>
                    <w:t>23.2</w:t>
                  </w:r>
                </w:p>
              </w:tc>
              <w:tc>
                <w:tcPr>
                  <w:tcW w:w="465" w:type="pct"/>
                  <w:shd w:val="clear" w:color="auto" w:fill="auto"/>
                  <w:vAlign w:val="bottom"/>
                </w:tcPr>
                <w:p w:rsidR="00AC2131" w:rsidRDefault="00AC2131" w:rsidP="00AC2131">
                  <w:pPr>
                    <w:pStyle w:val="TableBodyText"/>
                    <w:spacing w:after="0"/>
                    <w:ind w:left="227" w:right="57"/>
                  </w:pPr>
                  <w:r>
                    <w:t>27.0</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sidRPr="00B15491">
                    <w:rPr>
                      <w:rFonts w:ascii="Arial" w:hAnsi="Arial" w:cs="Arial"/>
                      <w:color w:val="000000"/>
                      <w:sz w:val="18"/>
                      <w:szCs w:val="18"/>
                    </w:rPr>
                    <w:t>New Industries Development Program</w:t>
                  </w:r>
                </w:p>
              </w:tc>
              <w:tc>
                <w:tcPr>
                  <w:tcW w:w="467" w:type="pct"/>
                  <w:vAlign w:val="bottom"/>
                </w:tcPr>
                <w:p w:rsidR="00AC2131" w:rsidRDefault="00AC2131" w:rsidP="00AC2131">
                  <w:pPr>
                    <w:pStyle w:val="TableBodyText"/>
                    <w:spacing w:after="0"/>
                    <w:ind w:left="227" w:right="57"/>
                  </w:pPr>
                  <w:r>
                    <w:t>&lt;0.1</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shd w:val="clear" w:color="auto" w:fill="auto"/>
                  <w:vAlign w:val="bottom"/>
                </w:tcPr>
                <w:p w:rsidR="00AC2131" w:rsidRDefault="00AC2131" w:rsidP="00AC2131">
                  <w:pPr>
                    <w:pStyle w:val="TableBodyText"/>
                    <w:spacing w:after="0"/>
                    <w:ind w:left="227" w:right="57"/>
                  </w:pPr>
                  <w:r>
                    <w:t>–</w:t>
                  </w:r>
                </w:p>
              </w:tc>
              <w:tc>
                <w:tcPr>
                  <w:tcW w:w="465" w:type="pct"/>
                  <w:shd w:val="clear" w:color="auto" w:fill="auto"/>
                  <w:vAlign w:val="bottom"/>
                </w:tcPr>
                <w:p w:rsidR="00AC2131" w:rsidRDefault="00AC2131" w:rsidP="00AC2131">
                  <w:pPr>
                    <w:pStyle w:val="TableBodyText"/>
                    <w:spacing w:after="0"/>
                    <w:ind w:left="227" w:right="57"/>
                  </w:pPr>
                  <w:r>
                    <w:t>–</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sidRPr="00B15491">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227" w:right="57"/>
                  </w:pPr>
                  <w:r>
                    <w:t>0.6</w:t>
                  </w:r>
                </w:p>
              </w:tc>
              <w:tc>
                <w:tcPr>
                  <w:tcW w:w="467" w:type="pct"/>
                  <w:vAlign w:val="bottom"/>
                </w:tcPr>
                <w:p w:rsidR="00AC2131" w:rsidRDefault="00AC2131" w:rsidP="00AC2131">
                  <w:pPr>
                    <w:pStyle w:val="TableBodyText"/>
                    <w:spacing w:after="0"/>
                    <w:ind w:left="227" w:right="57"/>
                  </w:pPr>
                  <w:r>
                    <w:t>1.1</w:t>
                  </w:r>
                </w:p>
              </w:tc>
              <w:tc>
                <w:tcPr>
                  <w:tcW w:w="467" w:type="pct"/>
                  <w:vAlign w:val="bottom"/>
                </w:tcPr>
                <w:p w:rsidR="00AC2131" w:rsidRDefault="00AC2131" w:rsidP="00AC2131">
                  <w:pPr>
                    <w:pStyle w:val="TableBodyText"/>
                    <w:spacing w:after="0"/>
                    <w:ind w:left="227" w:right="57"/>
                  </w:pPr>
                  <w:r>
                    <w:t>1.1</w:t>
                  </w:r>
                </w:p>
              </w:tc>
              <w:tc>
                <w:tcPr>
                  <w:tcW w:w="467" w:type="pct"/>
                  <w:vAlign w:val="bottom"/>
                </w:tcPr>
                <w:p w:rsidR="00AC2131" w:rsidRDefault="00AC2131" w:rsidP="00AC2131">
                  <w:pPr>
                    <w:pStyle w:val="TableBodyText"/>
                    <w:spacing w:after="0"/>
                    <w:ind w:left="227" w:right="57"/>
                  </w:pPr>
                  <w:r>
                    <w:t>0.7</w:t>
                  </w:r>
                </w:p>
              </w:tc>
              <w:tc>
                <w:tcPr>
                  <w:tcW w:w="467" w:type="pct"/>
                  <w:shd w:val="clear" w:color="auto" w:fill="auto"/>
                  <w:vAlign w:val="bottom"/>
                </w:tcPr>
                <w:p w:rsidR="00AC2131" w:rsidRDefault="00AC2131" w:rsidP="00AC2131">
                  <w:pPr>
                    <w:pStyle w:val="TableBodyText"/>
                    <w:spacing w:after="0"/>
                    <w:ind w:left="227" w:right="57"/>
                  </w:pPr>
                  <w:r>
                    <w:t>0.3</w:t>
                  </w:r>
                </w:p>
              </w:tc>
              <w:tc>
                <w:tcPr>
                  <w:tcW w:w="465" w:type="pct"/>
                  <w:shd w:val="clear" w:color="auto" w:fill="auto"/>
                  <w:vAlign w:val="bottom"/>
                </w:tcPr>
                <w:p w:rsidR="00AC2131" w:rsidRDefault="00AC2131" w:rsidP="00AC2131">
                  <w:pPr>
                    <w:pStyle w:val="TableBodyText"/>
                    <w:spacing w:after="0"/>
                    <w:ind w:left="227" w:right="57"/>
                  </w:pPr>
                  <w:r>
                    <w:t>0.1</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shd w:val="clear" w:color="auto" w:fill="auto"/>
                  <w:vAlign w:val="bottom"/>
                </w:tcPr>
                <w:p w:rsidR="00AC2131" w:rsidRDefault="00AC2131" w:rsidP="00AC2131">
                  <w:pPr>
                    <w:pStyle w:val="TableBodyText"/>
                    <w:spacing w:after="0"/>
                    <w:ind w:left="227" w:right="57"/>
                  </w:pPr>
                  <w:r>
                    <w:t>–</w:t>
                  </w:r>
                </w:p>
              </w:tc>
              <w:tc>
                <w:tcPr>
                  <w:tcW w:w="465" w:type="pct"/>
                  <w:shd w:val="clear" w:color="auto" w:fill="auto"/>
                  <w:vAlign w:val="bottom"/>
                </w:tcPr>
                <w:p w:rsidR="00AC2131" w:rsidRDefault="00AC2131" w:rsidP="00AC2131">
                  <w:pPr>
                    <w:pStyle w:val="TableBodyText"/>
                    <w:spacing w:after="0"/>
                    <w:ind w:left="227" w:right="57"/>
                  </w:pPr>
                  <w:r>
                    <w:t>-0.3</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shd w:val="clear" w:color="auto" w:fill="auto"/>
                  <w:vAlign w:val="bottom"/>
                </w:tcPr>
                <w:p w:rsidR="00AC2131" w:rsidRDefault="00AC2131" w:rsidP="00AC2131">
                  <w:pPr>
                    <w:pStyle w:val="TableBodyText"/>
                    <w:spacing w:after="0"/>
                    <w:ind w:left="227" w:right="57"/>
                  </w:pPr>
                  <w:r>
                    <w:t>–</w:t>
                  </w:r>
                </w:p>
              </w:tc>
              <w:tc>
                <w:tcPr>
                  <w:tcW w:w="465" w:type="pct"/>
                  <w:shd w:val="clear" w:color="auto" w:fill="auto"/>
                  <w:vAlign w:val="bottom"/>
                </w:tcPr>
                <w:p w:rsidR="00AC2131" w:rsidRDefault="00AC2131" w:rsidP="00AC2131">
                  <w:pPr>
                    <w:pStyle w:val="TableBodyText"/>
                    <w:spacing w:after="0"/>
                    <w:ind w:left="227" w:right="57"/>
                  </w:pPr>
                  <w:r>
                    <w:t>1.0</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shd w:val="clear" w:color="auto" w:fill="auto"/>
                  <w:vAlign w:val="bottom"/>
                </w:tcPr>
                <w:p w:rsidR="00AC2131" w:rsidRDefault="00AC2131" w:rsidP="00AC2131">
                  <w:pPr>
                    <w:pStyle w:val="TableBodyText"/>
                    <w:spacing w:after="0"/>
                    <w:ind w:left="227" w:right="57"/>
                  </w:pPr>
                  <w:r>
                    <w:t>0.5</w:t>
                  </w:r>
                </w:p>
              </w:tc>
              <w:tc>
                <w:tcPr>
                  <w:tcW w:w="465" w:type="pct"/>
                  <w:shd w:val="clear" w:color="auto" w:fill="auto"/>
                  <w:vAlign w:val="bottom"/>
                </w:tcPr>
                <w:p w:rsidR="00AC2131" w:rsidRDefault="00AC2131" w:rsidP="00AC2131">
                  <w:pPr>
                    <w:pStyle w:val="TableBodyText"/>
                    <w:spacing w:after="0"/>
                    <w:ind w:left="227" w:right="57"/>
                  </w:pPr>
                  <w:r>
                    <w:t>0.9</w:t>
                  </w:r>
                </w:p>
              </w:tc>
            </w:tr>
            <w:tr w:rsidR="00AC2131" w:rsidTr="00AC2131">
              <w:tc>
                <w:tcPr>
                  <w:tcW w:w="2200" w:type="pct"/>
                  <w:shd w:val="clear" w:color="auto" w:fill="auto"/>
                  <w:vAlign w:val="bottom"/>
                </w:tcPr>
                <w:p w:rsidR="00AC2131" w:rsidRPr="00B15491"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227" w:right="57"/>
                  </w:pPr>
                  <w:r>
                    <w:t>0.9</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0.6</w:t>
                  </w:r>
                </w:p>
              </w:tc>
              <w:tc>
                <w:tcPr>
                  <w:tcW w:w="467" w:type="pct"/>
                  <w:vAlign w:val="bottom"/>
                </w:tcPr>
                <w:p w:rsidR="00AC2131" w:rsidRDefault="00AC2131" w:rsidP="00AC2131">
                  <w:pPr>
                    <w:pStyle w:val="TableBodyText"/>
                    <w:spacing w:after="0"/>
                    <w:ind w:left="227" w:right="57"/>
                  </w:pPr>
                  <w:r>
                    <w:t>0.6</w:t>
                  </w:r>
                </w:p>
              </w:tc>
              <w:tc>
                <w:tcPr>
                  <w:tcW w:w="467" w:type="pct"/>
                  <w:shd w:val="clear" w:color="auto" w:fill="auto"/>
                  <w:vAlign w:val="bottom"/>
                </w:tcPr>
                <w:p w:rsidR="00AC2131" w:rsidRDefault="00AC2131" w:rsidP="00AC2131">
                  <w:pPr>
                    <w:pStyle w:val="TableBodyText"/>
                    <w:spacing w:after="0"/>
                    <w:ind w:left="227" w:right="57"/>
                  </w:pPr>
                  <w:r>
                    <w:t>–</w:t>
                  </w:r>
                </w:p>
              </w:tc>
              <w:tc>
                <w:tcPr>
                  <w:tcW w:w="465" w:type="pct"/>
                  <w:shd w:val="clear" w:color="auto" w:fill="auto"/>
                  <w:vAlign w:val="bottom"/>
                </w:tcPr>
                <w:p w:rsidR="00AC2131" w:rsidRDefault="00AC2131" w:rsidP="00AC2131">
                  <w:pPr>
                    <w:pStyle w:val="TableBodyText"/>
                    <w:spacing w:after="0"/>
                    <w:ind w:left="227" w:right="57"/>
                  </w:pPr>
                  <w:r>
                    <w:t>–</w:t>
                  </w:r>
                </w:p>
              </w:tc>
            </w:tr>
            <w:tr w:rsidR="00AC2131" w:rsidTr="00AC2131">
              <w:tc>
                <w:tcPr>
                  <w:tcW w:w="2200" w:type="pct"/>
                  <w:shd w:val="clear" w:color="auto" w:fill="auto"/>
                </w:tcPr>
                <w:p w:rsidR="00AC2131" w:rsidRPr="008E4F0C" w:rsidRDefault="00AC2131" w:rsidP="00AC2131">
                  <w:pPr>
                    <w:pStyle w:val="TableBodyText"/>
                    <w:spacing w:before="40" w:after="0"/>
                    <w:ind w:left="113"/>
                    <w:jc w:val="left"/>
                    <w:rPr>
                      <w:i/>
                    </w:rPr>
                  </w:pPr>
                  <w:r w:rsidRPr="008E4F0C">
                    <w:rPr>
                      <w:i/>
                    </w:rPr>
                    <w:t>Other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8E4F0C" w:rsidRDefault="00AC2131" w:rsidP="00AC2131">
                  <w:pPr>
                    <w:ind w:left="227"/>
                    <w:rPr>
                      <w:rFonts w:ascii="Arial" w:hAnsi="Arial" w:cs="Arial"/>
                      <w:color w:val="000000"/>
                      <w:sz w:val="18"/>
                      <w:szCs w:val="18"/>
                    </w:rPr>
                  </w:pPr>
                  <w:r w:rsidRPr="008E4F0C">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227" w:right="57"/>
                  </w:pPr>
                  <w:r>
                    <w:t>0.1</w:t>
                  </w:r>
                </w:p>
              </w:tc>
              <w:tc>
                <w:tcPr>
                  <w:tcW w:w="467" w:type="pct"/>
                  <w:vAlign w:val="bottom"/>
                </w:tcPr>
                <w:p w:rsidR="00AC2131" w:rsidRDefault="00AC2131" w:rsidP="00AC2131">
                  <w:pPr>
                    <w:pStyle w:val="TableBodyText"/>
                    <w:spacing w:after="0"/>
                    <w:ind w:left="227" w:right="57"/>
                  </w:pPr>
                  <w:r>
                    <w:t>0.1</w:t>
                  </w:r>
                </w:p>
              </w:tc>
              <w:tc>
                <w:tcPr>
                  <w:tcW w:w="467" w:type="pct"/>
                  <w:vAlign w:val="bottom"/>
                </w:tcPr>
                <w:p w:rsidR="00AC2131" w:rsidRDefault="00AC2131" w:rsidP="00AC2131">
                  <w:pPr>
                    <w:pStyle w:val="TableBodyText"/>
                    <w:spacing w:after="0"/>
                    <w:ind w:left="227" w:right="57"/>
                  </w:pPr>
                  <w:r>
                    <w:t>0.1</w:t>
                  </w:r>
                </w:p>
              </w:tc>
              <w:tc>
                <w:tcPr>
                  <w:tcW w:w="467" w:type="pct"/>
                  <w:vAlign w:val="bottom"/>
                </w:tcPr>
                <w:p w:rsidR="00AC2131" w:rsidRDefault="00AC2131" w:rsidP="00AC2131">
                  <w:pPr>
                    <w:pStyle w:val="TableBodyText"/>
                    <w:spacing w:after="0"/>
                    <w:ind w:left="227" w:right="57"/>
                  </w:pPr>
                  <w:r>
                    <w:t>0.1</w:t>
                  </w:r>
                </w:p>
              </w:tc>
              <w:tc>
                <w:tcPr>
                  <w:tcW w:w="467" w:type="pct"/>
                  <w:shd w:val="clear" w:color="auto" w:fill="auto"/>
                  <w:vAlign w:val="bottom"/>
                </w:tcPr>
                <w:p w:rsidR="00AC2131" w:rsidRDefault="00AC2131" w:rsidP="00AC2131">
                  <w:pPr>
                    <w:pStyle w:val="TableBodyText"/>
                    <w:spacing w:after="0"/>
                    <w:ind w:left="227" w:right="57"/>
                  </w:pPr>
                  <w:r>
                    <w:t>0.1</w:t>
                  </w:r>
                </w:p>
              </w:tc>
              <w:tc>
                <w:tcPr>
                  <w:tcW w:w="465" w:type="pct"/>
                  <w:shd w:val="clear" w:color="auto" w:fill="auto"/>
                  <w:vAlign w:val="bottom"/>
                </w:tcPr>
                <w:p w:rsidR="00AC2131" w:rsidRDefault="00AC2131" w:rsidP="00AC2131">
                  <w:pPr>
                    <w:pStyle w:val="TableBodyText"/>
                    <w:spacing w:after="0"/>
                    <w:ind w:left="227" w:right="57"/>
                  </w:pPr>
                  <w:r>
                    <w:t>–</w:t>
                  </w:r>
                </w:p>
              </w:tc>
            </w:tr>
            <w:tr w:rsidR="00AC2131" w:rsidTr="00AC2131">
              <w:tc>
                <w:tcPr>
                  <w:tcW w:w="2200" w:type="pct"/>
                  <w:shd w:val="clear" w:color="auto" w:fill="auto"/>
                  <w:vAlign w:val="bottom"/>
                </w:tcPr>
                <w:p w:rsidR="00AC2131" w:rsidRPr="008E4F0C"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227" w:right="57"/>
                  </w:pPr>
                  <w:r>
                    <w:t>0.3</w:t>
                  </w:r>
                </w:p>
              </w:tc>
              <w:tc>
                <w:tcPr>
                  <w:tcW w:w="467" w:type="pct"/>
                  <w:vAlign w:val="bottom"/>
                </w:tcPr>
                <w:p w:rsidR="00AC2131" w:rsidRDefault="00AC2131" w:rsidP="00AC2131">
                  <w:pPr>
                    <w:pStyle w:val="TableBodyText"/>
                    <w:spacing w:after="0"/>
                    <w:ind w:left="227" w:right="57"/>
                  </w:pPr>
                  <w:r>
                    <w:t>0.3</w:t>
                  </w:r>
                </w:p>
              </w:tc>
              <w:tc>
                <w:tcPr>
                  <w:tcW w:w="467" w:type="pct"/>
                  <w:vAlign w:val="bottom"/>
                </w:tcPr>
                <w:p w:rsidR="00AC2131" w:rsidRDefault="00AC2131" w:rsidP="00AC2131">
                  <w:pPr>
                    <w:pStyle w:val="TableBodyText"/>
                    <w:spacing w:after="0"/>
                    <w:ind w:left="227" w:right="57"/>
                  </w:pPr>
                  <w:r>
                    <w:t>0.5</w:t>
                  </w:r>
                </w:p>
              </w:tc>
              <w:tc>
                <w:tcPr>
                  <w:tcW w:w="467" w:type="pct"/>
                  <w:vAlign w:val="bottom"/>
                </w:tcPr>
                <w:p w:rsidR="00AC2131" w:rsidRDefault="00AC2131" w:rsidP="00AC2131">
                  <w:pPr>
                    <w:pStyle w:val="TableBodyText"/>
                    <w:spacing w:after="0"/>
                    <w:ind w:left="227" w:right="57"/>
                  </w:pPr>
                  <w:r>
                    <w:t>&lt;0.1</w:t>
                  </w:r>
                </w:p>
              </w:tc>
              <w:tc>
                <w:tcPr>
                  <w:tcW w:w="467" w:type="pct"/>
                  <w:shd w:val="clear" w:color="auto" w:fill="auto"/>
                  <w:vAlign w:val="bottom"/>
                </w:tcPr>
                <w:p w:rsidR="00AC2131" w:rsidRDefault="00AC2131" w:rsidP="00AC2131">
                  <w:pPr>
                    <w:pStyle w:val="TableBodyText"/>
                    <w:spacing w:after="0"/>
                    <w:ind w:left="227" w:right="57"/>
                  </w:pPr>
                  <w:r>
                    <w:t>-0.2</w:t>
                  </w:r>
                </w:p>
              </w:tc>
              <w:tc>
                <w:tcPr>
                  <w:tcW w:w="465" w:type="pct"/>
                  <w:shd w:val="clear" w:color="auto" w:fill="auto"/>
                  <w:vAlign w:val="bottom"/>
                </w:tcPr>
                <w:p w:rsidR="00AC2131" w:rsidRDefault="00AC2131" w:rsidP="00AC2131">
                  <w:pPr>
                    <w:pStyle w:val="TableBodyText"/>
                    <w:spacing w:after="0"/>
                    <w:ind w:left="227" w:right="57"/>
                  </w:pPr>
                  <w:r>
                    <w:t>6.0</w:t>
                  </w:r>
                </w:p>
              </w:tc>
            </w:tr>
            <w:tr w:rsidR="00AC2131" w:rsidTr="00AC2131">
              <w:tc>
                <w:tcPr>
                  <w:tcW w:w="2200" w:type="pct"/>
                  <w:shd w:val="clear" w:color="auto" w:fill="auto"/>
                  <w:vAlign w:val="bottom"/>
                </w:tcPr>
                <w:p w:rsidR="00AC2131" w:rsidRPr="008E4F0C"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0.5</w:t>
                  </w:r>
                </w:p>
              </w:tc>
              <w:tc>
                <w:tcPr>
                  <w:tcW w:w="467" w:type="pct"/>
                  <w:vAlign w:val="bottom"/>
                </w:tcPr>
                <w:p w:rsidR="00AC2131" w:rsidRDefault="00AC2131" w:rsidP="00AC2131">
                  <w:pPr>
                    <w:pStyle w:val="TableBodyText"/>
                    <w:spacing w:after="0"/>
                    <w:ind w:left="227" w:right="57"/>
                  </w:pPr>
                  <w:r>
                    <w:t>0.2</w:t>
                  </w:r>
                </w:p>
              </w:tc>
              <w:tc>
                <w:tcPr>
                  <w:tcW w:w="467" w:type="pct"/>
                  <w:vAlign w:val="bottom"/>
                </w:tcPr>
                <w:p w:rsidR="00AC2131" w:rsidRDefault="00AC2131" w:rsidP="00AC2131">
                  <w:pPr>
                    <w:pStyle w:val="TableBodyText"/>
                    <w:spacing w:after="0"/>
                    <w:ind w:left="227" w:right="57"/>
                  </w:pPr>
                  <w:r>
                    <w:t>0.5</w:t>
                  </w:r>
                </w:p>
              </w:tc>
              <w:tc>
                <w:tcPr>
                  <w:tcW w:w="467" w:type="pct"/>
                  <w:shd w:val="clear" w:color="auto" w:fill="auto"/>
                  <w:vAlign w:val="bottom"/>
                </w:tcPr>
                <w:p w:rsidR="00AC2131" w:rsidRDefault="00AC2131" w:rsidP="00AC2131">
                  <w:pPr>
                    <w:pStyle w:val="TableBodyText"/>
                    <w:spacing w:after="0"/>
                    <w:ind w:left="227" w:right="57"/>
                  </w:pPr>
                  <w:r>
                    <w:t>0.6</w:t>
                  </w:r>
                </w:p>
              </w:tc>
              <w:tc>
                <w:tcPr>
                  <w:tcW w:w="465" w:type="pct"/>
                  <w:shd w:val="clear" w:color="auto" w:fill="auto"/>
                  <w:vAlign w:val="bottom"/>
                </w:tcPr>
                <w:p w:rsidR="00AC2131" w:rsidRDefault="00AC2131" w:rsidP="00AC2131">
                  <w:pPr>
                    <w:pStyle w:val="TableBodyText"/>
                    <w:spacing w:after="0"/>
                    <w:ind w:left="227" w:right="57"/>
                  </w:pPr>
                  <w:r>
                    <w:t>0.7</w:t>
                  </w:r>
                </w:p>
              </w:tc>
            </w:tr>
            <w:tr w:rsidR="00AC2131" w:rsidTr="00AC2131">
              <w:tc>
                <w:tcPr>
                  <w:tcW w:w="2200" w:type="pct"/>
                  <w:shd w:val="clear" w:color="auto" w:fill="auto"/>
                  <w:vAlign w:val="bottom"/>
                </w:tcPr>
                <w:p w:rsidR="00AC2131" w:rsidRPr="008E4F0C" w:rsidRDefault="00AC2131" w:rsidP="00AC2131">
                  <w:pPr>
                    <w:ind w:left="227"/>
                    <w:rPr>
                      <w:rFonts w:ascii="Arial" w:hAnsi="Arial" w:cs="Arial"/>
                      <w:color w:val="000000"/>
                      <w:sz w:val="18"/>
                      <w:szCs w:val="18"/>
                    </w:rPr>
                  </w:pPr>
                  <w:r w:rsidRPr="008E4F0C">
                    <w:rPr>
                      <w:rFonts w:ascii="Arial" w:hAnsi="Arial" w:cs="Arial"/>
                      <w:color w:val="000000"/>
                      <w:sz w:val="18"/>
                      <w:szCs w:val="18"/>
                    </w:rPr>
                    <w:t xml:space="preserve">Small business </w:t>
                  </w:r>
                  <w:r>
                    <w:rPr>
                      <w:rFonts w:ascii="Arial" w:hAnsi="Arial" w:cs="Arial"/>
                      <w:color w:val="000000"/>
                      <w:sz w:val="18"/>
                      <w:szCs w:val="18"/>
                    </w:rPr>
                    <w:t>capital gains tax</w:t>
                  </w:r>
                  <w:r w:rsidRPr="008E4F0C">
                    <w:rPr>
                      <w:rFonts w:ascii="Arial" w:hAnsi="Arial" w:cs="Arial"/>
                      <w:color w:val="000000"/>
                      <w:sz w:val="18"/>
                      <w:szCs w:val="18"/>
                    </w:rPr>
                    <w:t xml:space="preserve"> 50 per cent reduction</w:t>
                  </w:r>
                </w:p>
              </w:tc>
              <w:tc>
                <w:tcPr>
                  <w:tcW w:w="467" w:type="pct"/>
                  <w:vAlign w:val="bottom"/>
                </w:tcPr>
                <w:p w:rsidR="00AC2131" w:rsidRDefault="00AC2131" w:rsidP="00AC2131">
                  <w:pPr>
                    <w:pStyle w:val="TableBodyText"/>
                    <w:spacing w:after="0"/>
                    <w:ind w:left="227" w:right="57"/>
                  </w:pPr>
                  <w:r>
                    <w:t>6.0</w:t>
                  </w:r>
                </w:p>
              </w:tc>
              <w:tc>
                <w:tcPr>
                  <w:tcW w:w="467" w:type="pct"/>
                  <w:vAlign w:val="bottom"/>
                </w:tcPr>
                <w:p w:rsidR="00AC2131" w:rsidRDefault="00AC2131" w:rsidP="00AC2131">
                  <w:pPr>
                    <w:pStyle w:val="TableBodyText"/>
                    <w:spacing w:after="0"/>
                    <w:ind w:left="227" w:right="57"/>
                  </w:pPr>
                  <w:r>
                    <w:t>5.3</w:t>
                  </w:r>
                </w:p>
              </w:tc>
              <w:tc>
                <w:tcPr>
                  <w:tcW w:w="467" w:type="pct"/>
                  <w:vAlign w:val="bottom"/>
                </w:tcPr>
                <w:p w:rsidR="00AC2131" w:rsidRDefault="00AC2131" w:rsidP="00AC2131">
                  <w:pPr>
                    <w:pStyle w:val="TableBodyText"/>
                    <w:spacing w:after="0"/>
                    <w:ind w:left="227" w:right="57"/>
                  </w:pPr>
                  <w:r>
                    <w:t>2.6</w:t>
                  </w:r>
                </w:p>
              </w:tc>
              <w:tc>
                <w:tcPr>
                  <w:tcW w:w="467" w:type="pct"/>
                  <w:vAlign w:val="bottom"/>
                </w:tcPr>
                <w:p w:rsidR="00AC2131" w:rsidRDefault="00AC2131" w:rsidP="00AC2131">
                  <w:pPr>
                    <w:pStyle w:val="TableBodyText"/>
                    <w:spacing w:after="0"/>
                    <w:ind w:left="227" w:right="57"/>
                  </w:pPr>
                  <w:r>
                    <w:t>2.3</w:t>
                  </w:r>
                </w:p>
              </w:tc>
              <w:tc>
                <w:tcPr>
                  <w:tcW w:w="467" w:type="pct"/>
                  <w:shd w:val="clear" w:color="auto" w:fill="auto"/>
                  <w:vAlign w:val="bottom"/>
                </w:tcPr>
                <w:p w:rsidR="00AC2131" w:rsidRDefault="00AC2131" w:rsidP="00AC2131">
                  <w:pPr>
                    <w:pStyle w:val="TableBodyText"/>
                    <w:spacing w:after="0"/>
                    <w:ind w:left="227" w:right="57"/>
                  </w:pPr>
                  <w:r>
                    <w:t>2.4</w:t>
                  </w:r>
                </w:p>
              </w:tc>
              <w:tc>
                <w:tcPr>
                  <w:tcW w:w="465" w:type="pct"/>
                  <w:shd w:val="clear" w:color="auto" w:fill="auto"/>
                  <w:vAlign w:val="bottom"/>
                </w:tcPr>
                <w:p w:rsidR="00AC2131" w:rsidRDefault="00AC2131" w:rsidP="00AC2131">
                  <w:pPr>
                    <w:pStyle w:val="TableBodyText"/>
                    <w:spacing w:after="0"/>
                    <w:ind w:left="227" w:right="57"/>
                  </w:pPr>
                  <w:r>
                    <w:t>2.5</w:t>
                  </w:r>
                </w:p>
              </w:tc>
            </w:tr>
            <w:tr w:rsidR="00AC2131" w:rsidTr="00AC2131">
              <w:tc>
                <w:tcPr>
                  <w:tcW w:w="2200" w:type="pct"/>
                  <w:shd w:val="clear" w:color="auto" w:fill="auto"/>
                  <w:vAlign w:val="bottom"/>
                </w:tcPr>
                <w:p w:rsidR="00AC2131" w:rsidRPr="008E4F0C" w:rsidRDefault="00AC2131" w:rsidP="00AC2131">
                  <w:pPr>
                    <w:ind w:left="227"/>
                    <w:rPr>
                      <w:rFonts w:ascii="Arial" w:hAnsi="Arial" w:cs="Arial"/>
                      <w:color w:val="000000"/>
                      <w:sz w:val="18"/>
                      <w:szCs w:val="18"/>
                    </w:rPr>
                  </w:pPr>
                  <w:r w:rsidRPr="008E4F0C">
                    <w:rPr>
                      <w:rFonts w:ascii="Arial" w:hAnsi="Arial" w:cs="Arial"/>
                      <w:color w:val="000000"/>
                      <w:sz w:val="18"/>
                      <w:szCs w:val="18"/>
                    </w:rPr>
                    <w:t xml:space="preserve">Small business </w:t>
                  </w:r>
                  <w:r>
                    <w:rPr>
                      <w:rFonts w:ascii="Arial" w:hAnsi="Arial" w:cs="Arial"/>
                      <w:color w:val="000000"/>
                      <w:sz w:val="18"/>
                      <w:szCs w:val="18"/>
                    </w:rPr>
                    <w:t>capital gains tax</w:t>
                  </w:r>
                  <w:r w:rsidRPr="008E4F0C">
                    <w:rPr>
                      <w:rFonts w:ascii="Arial" w:hAnsi="Arial" w:cs="Arial"/>
                      <w:color w:val="000000"/>
                      <w:sz w:val="18"/>
                      <w:szCs w:val="18"/>
                    </w:rPr>
                    <w:t xml:space="preserve"> retirement exemption</w:t>
                  </w:r>
                </w:p>
              </w:tc>
              <w:tc>
                <w:tcPr>
                  <w:tcW w:w="467" w:type="pct"/>
                  <w:vAlign w:val="bottom"/>
                </w:tcPr>
                <w:p w:rsidR="00AC2131" w:rsidRDefault="00AC2131" w:rsidP="00AC2131">
                  <w:pPr>
                    <w:pStyle w:val="TableBodyText"/>
                    <w:spacing w:after="0"/>
                    <w:ind w:left="227" w:right="57"/>
                  </w:pPr>
                  <w:r>
                    <w:t>2.1</w:t>
                  </w:r>
                </w:p>
              </w:tc>
              <w:tc>
                <w:tcPr>
                  <w:tcW w:w="467" w:type="pct"/>
                  <w:vAlign w:val="bottom"/>
                </w:tcPr>
                <w:p w:rsidR="00AC2131" w:rsidRDefault="00AC2131" w:rsidP="00AC2131">
                  <w:pPr>
                    <w:pStyle w:val="TableBodyText"/>
                    <w:spacing w:after="0"/>
                    <w:ind w:left="227" w:right="57"/>
                  </w:pPr>
                  <w:r>
                    <w:t>1.3</w:t>
                  </w:r>
                </w:p>
              </w:tc>
              <w:tc>
                <w:tcPr>
                  <w:tcW w:w="467" w:type="pct"/>
                  <w:vAlign w:val="bottom"/>
                </w:tcPr>
                <w:p w:rsidR="00AC2131" w:rsidRDefault="00AC2131" w:rsidP="00AC2131">
                  <w:pPr>
                    <w:pStyle w:val="TableBodyText"/>
                    <w:spacing w:after="0"/>
                    <w:ind w:left="227" w:right="57"/>
                  </w:pPr>
                  <w:r>
                    <w:t>0.9</w:t>
                  </w:r>
                </w:p>
              </w:tc>
              <w:tc>
                <w:tcPr>
                  <w:tcW w:w="467" w:type="pct"/>
                  <w:vAlign w:val="bottom"/>
                </w:tcPr>
                <w:p w:rsidR="00AC2131" w:rsidRDefault="00AC2131" w:rsidP="00AC2131">
                  <w:pPr>
                    <w:pStyle w:val="TableBodyText"/>
                    <w:spacing w:after="0"/>
                    <w:ind w:left="227" w:right="57"/>
                  </w:pPr>
                  <w:r>
                    <w:t>0.7</w:t>
                  </w:r>
                </w:p>
              </w:tc>
              <w:tc>
                <w:tcPr>
                  <w:tcW w:w="467" w:type="pct"/>
                  <w:shd w:val="clear" w:color="auto" w:fill="auto"/>
                  <w:vAlign w:val="bottom"/>
                </w:tcPr>
                <w:p w:rsidR="00AC2131" w:rsidRDefault="00AC2131" w:rsidP="00AC2131">
                  <w:pPr>
                    <w:pStyle w:val="TableBodyText"/>
                    <w:spacing w:after="0"/>
                    <w:ind w:left="227" w:right="57"/>
                  </w:pPr>
                  <w:r>
                    <w:t>0.7</w:t>
                  </w:r>
                </w:p>
              </w:tc>
              <w:tc>
                <w:tcPr>
                  <w:tcW w:w="465" w:type="pct"/>
                  <w:shd w:val="clear" w:color="auto" w:fill="auto"/>
                  <w:vAlign w:val="bottom"/>
                </w:tcPr>
                <w:p w:rsidR="00AC2131" w:rsidRDefault="00AC2131" w:rsidP="00AC2131">
                  <w:pPr>
                    <w:pStyle w:val="TableBodyText"/>
                    <w:spacing w:after="0"/>
                    <w:ind w:left="227" w:right="57"/>
                  </w:pPr>
                  <w:r>
                    <w:t>0.7</w:t>
                  </w:r>
                </w:p>
              </w:tc>
            </w:tr>
            <w:tr w:rsidR="00AC2131" w:rsidTr="00AC2131">
              <w:tc>
                <w:tcPr>
                  <w:tcW w:w="2200" w:type="pct"/>
                  <w:shd w:val="clear" w:color="auto" w:fill="auto"/>
                  <w:vAlign w:val="bottom"/>
                </w:tcPr>
                <w:p w:rsidR="00AC2131" w:rsidRPr="008E4F0C" w:rsidRDefault="00AC2131" w:rsidP="00AC2131">
                  <w:pPr>
                    <w:ind w:left="227"/>
                    <w:rPr>
                      <w:rFonts w:ascii="Arial" w:hAnsi="Arial" w:cs="Arial"/>
                      <w:color w:val="000000"/>
                      <w:sz w:val="18"/>
                      <w:szCs w:val="18"/>
                    </w:rPr>
                  </w:pPr>
                  <w:r w:rsidRPr="008E4F0C">
                    <w:rPr>
                      <w:rFonts w:ascii="Arial" w:hAnsi="Arial" w:cs="Arial"/>
                      <w:color w:val="000000"/>
                      <w:sz w:val="18"/>
                      <w:szCs w:val="18"/>
                    </w:rPr>
                    <w:t xml:space="preserve">Small business </w:t>
                  </w:r>
                  <w:r>
                    <w:rPr>
                      <w:rFonts w:ascii="Arial" w:hAnsi="Arial" w:cs="Arial"/>
                      <w:color w:val="000000"/>
                      <w:sz w:val="18"/>
                      <w:szCs w:val="18"/>
                    </w:rPr>
                    <w:t>capital gains tax</w:t>
                  </w:r>
                  <w:r w:rsidRPr="008E4F0C">
                    <w:rPr>
                      <w:rFonts w:ascii="Arial" w:hAnsi="Arial" w:cs="Arial"/>
                      <w:color w:val="000000"/>
                      <w:sz w:val="18"/>
                      <w:szCs w:val="18"/>
                    </w:rPr>
                    <w:t xml:space="preserve"> rollover deferral</w:t>
                  </w:r>
                </w:p>
              </w:tc>
              <w:tc>
                <w:tcPr>
                  <w:tcW w:w="467" w:type="pct"/>
                  <w:vAlign w:val="bottom"/>
                </w:tcPr>
                <w:p w:rsidR="00AC2131" w:rsidRDefault="00AC2131" w:rsidP="00AC2131">
                  <w:pPr>
                    <w:pStyle w:val="TableBodyText"/>
                    <w:spacing w:after="0"/>
                    <w:ind w:left="227" w:right="57"/>
                  </w:pPr>
                  <w:r>
                    <w:t>2.0</w:t>
                  </w:r>
                </w:p>
              </w:tc>
              <w:tc>
                <w:tcPr>
                  <w:tcW w:w="467" w:type="pct"/>
                  <w:vAlign w:val="bottom"/>
                </w:tcPr>
                <w:p w:rsidR="00AC2131" w:rsidRDefault="00AC2131" w:rsidP="00AC2131">
                  <w:pPr>
                    <w:pStyle w:val="TableBodyText"/>
                    <w:spacing w:after="0"/>
                    <w:ind w:left="227" w:right="57"/>
                  </w:pPr>
                  <w:r>
                    <w:t>1.0</w:t>
                  </w:r>
                </w:p>
              </w:tc>
              <w:tc>
                <w:tcPr>
                  <w:tcW w:w="467" w:type="pct"/>
                  <w:vAlign w:val="bottom"/>
                </w:tcPr>
                <w:p w:rsidR="00AC2131" w:rsidRDefault="00AC2131" w:rsidP="00AC2131">
                  <w:pPr>
                    <w:pStyle w:val="TableBodyText"/>
                    <w:spacing w:after="0"/>
                    <w:ind w:left="227" w:right="57"/>
                  </w:pPr>
                  <w:r>
                    <w:t>0.6</w:t>
                  </w:r>
                </w:p>
              </w:tc>
              <w:tc>
                <w:tcPr>
                  <w:tcW w:w="467" w:type="pct"/>
                  <w:vAlign w:val="bottom"/>
                </w:tcPr>
                <w:p w:rsidR="00AC2131" w:rsidRDefault="00AC2131" w:rsidP="00AC2131">
                  <w:pPr>
                    <w:pStyle w:val="TableBodyText"/>
                    <w:spacing w:after="0"/>
                    <w:ind w:left="227" w:right="57"/>
                  </w:pPr>
                  <w:r>
                    <w:t>0.5</w:t>
                  </w:r>
                </w:p>
              </w:tc>
              <w:tc>
                <w:tcPr>
                  <w:tcW w:w="467" w:type="pct"/>
                  <w:shd w:val="clear" w:color="auto" w:fill="auto"/>
                  <w:vAlign w:val="bottom"/>
                </w:tcPr>
                <w:p w:rsidR="00AC2131" w:rsidRDefault="00AC2131" w:rsidP="00AC2131">
                  <w:pPr>
                    <w:pStyle w:val="TableBodyText"/>
                    <w:spacing w:after="0"/>
                    <w:ind w:left="227" w:right="57"/>
                  </w:pPr>
                  <w:r>
                    <w:t>0.5</w:t>
                  </w:r>
                </w:p>
              </w:tc>
              <w:tc>
                <w:tcPr>
                  <w:tcW w:w="465" w:type="pct"/>
                  <w:shd w:val="clear" w:color="auto" w:fill="auto"/>
                  <w:vAlign w:val="bottom"/>
                </w:tcPr>
                <w:p w:rsidR="00AC2131" w:rsidRDefault="00AC2131" w:rsidP="00AC2131">
                  <w:pPr>
                    <w:pStyle w:val="TableBodyText"/>
                    <w:spacing w:after="0"/>
                    <w:ind w:left="227" w:right="57"/>
                  </w:pPr>
                  <w:r>
                    <w:t>0.6</w:t>
                  </w:r>
                </w:p>
              </w:tc>
            </w:tr>
            <w:tr w:rsidR="00AC2131" w:rsidTr="00AC2131">
              <w:tc>
                <w:tcPr>
                  <w:tcW w:w="2200" w:type="pct"/>
                  <w:shd w:val="clear" w:color="auto" w:fill="auto"/>
                  <w:vAlign w:val="bottom"/>
                </w:tcPr>
                <w:p w:rsidR="00AC2131" w:rsidRPr="008E4F0C" w:rsidRDefault="00AC2131" w:rsidP="00AC2131">
                  <w:pPr>
                    <w:ind w:left="227"/>
                    <w:rPr>
                      <w:rFonts w:ascii="Arial" w:hAnsi="Arial" w:cs="Arial"/>
                      <w:color w:val="000000"/>
                      <w:sz w:val="18"/>
                      <w:szCs w:val="18"/>
                    </w:rPr>
                  </w:pPr>
                  <w:r w:rsidRPr="008E4F0C">
                    <w:rPr>
                      <w:rFonts w:ascii="Arial" w:hAnsi="Arial" w:cs="Arial"/>
                      <w:color w:val="000000"/>
                      <w:sz w:val="18"/>
                      <w:szCs w:val="18"/>
                    </w:rPr>
                    <w:t>The Small Business and General Business Tax Break</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12.8</w:t>
                  </w:r>
                </w:p>
              </w:tc>
              <w:tc>
                <w:tcPr>
                  <w:tcW w:w="467" w:type="pct"/>
                  <w:vAlign w:val="bottom"/>
                </w:tcPr>
                <w:p w:rsidR="00AC2131" w:rsidRDefault="00AC2131" w:rsidP="00AC2131">
                  <w:pPr>
                    <w:pStyle w:val="TableBodyText"/>
                    <w:spacing w:after="0"/>
                    <w:ind w:left="227" w:right="57"/>
                  </w:pPr>
                  <w:r>
                    <w:t>5.5</w:t>
                  </w:r>
                </w:p>
              </w:tc>
              <w:tc>
                <w:tcPr>
                  <w:tcW w:w="467" w:type="pct"/>
                  <w:vAlign w:val="bottom"/>
                </w:tcPr>
                <w:p w:rsidR="00AC2131" w:rsidRDefault="00AC2131" w:rsidP="00AC2131">
                  <w:pPr>
                    <w:pStyle w:val="TableBodyText"/>
                    <w:spacing w:after="0"/>
                    <w:ind w:left="227" w:right="57"/>
                  </w:pPr>
                  <w:r>
                    <w:t>0.7</w:t>
                  </w:r>
                </w:p>
              </w:tc>
              <w:tc>
                <w:tcPr>
                  <w:tcW w:w="467" w:type="pct"/>
                  <w:shd w:val="clear" w:color="auto" w:fill="auto"/>
                  <w:vAlign w:val="bottom"/>
                </w:tcPr>
                <w:p w:rsidR="00AC2131" w:rsidRDefault="00AC2131" w:rsidP="00AC2131">
                  <w:pPr>
                    <w:pStyle w:val="TableBodyText"/>
                    <w:spacing w:after="0"/>
                    <w:ind w:left="227" w:right="57"/>
                  </w:pPr>
                  <w:r>
                    <w:t>0.3</w:t>
                  </w:r>
                </w:p>
              </w:tc>
              <w:tc>
                <w:tcPr>
                  <w:tcW w:w="465" w:type="pct"/>
                  <w:shd w:val="clear" w:color="auto" w:fill="auto"/>
                  <w:vAlign w:val="bottom"/>
                </w:tcPr>
                <w:p w:rsidR="00AC2131" w:rsidRDefault="00AC2131" w:rsidP="00AC2131">
                  <w:pPr>
                    <w:pStyle w:val="TableBodyText"/>
                    <w:spacing w:after="0"/>
                    <w:ind w:left="227" w:right="57"/>
                  </w:pPr>
                  <w:r>
                    <w:t>&lt;0.1</w:t>
                  </w:r>
                </w:p>
              </w:tc>
            </w:tr>
            <w:tr w:rsidR="00AC2131" w:rsidTr="00AC2131">
              <w:tc>
                <w:tcPr>
                  <w:tcW w:w="2200" w:type="pct"/>
                  <w:tcBorders>
                    <w:bottom w:val="single" w:sz="6" w:space="0" w:color="BFBFBF"/>
                  </w:tcBorders>
                  <w:shd w:val="clear" w:color="auto" w:fill="auto"/>
                </w:tcPr>
                <w:p w:rsidR="00AC2131" w:rsidRPr="008E4F0C" w:rsidRDefault="00AC2131" w:rsidP="00AC2131">
                  <w:pPr>
                    <w:pStyle w:val="TableBodyText"/>
                    <w:spacing w:before="20" w:after="20"/>
                    <w:jc w:val="left"/>
                    <w:rPr>
                      <w:i/>
                    </w:rPr>
                  </w:pPr>
                  <w:r w:rsidRPr="008E4F0C">
                    <w:rPr>
                      <w:i/>
                    </w:rPr>
                    <w:t>Total</w:t>
                  </w:r>
                </w:p>
              </w:tc>
              <w:tc>
                <w:tcPr>
                  <w:tcW w:w="467" w:type="pct"/>
                  <w:tcBorders>
                    <w:bottom w:val="single" w:sz="6" w:space="0" w:color="BFBFBF"/>
                  </w:tcBorders>
                  <w:vAlign w:val="bottom"/>
                </w:tcPr>
                <w:p w:rsidR="00AC2131" w:rsidRPr="00EC7A67" w:rsidRDefault="00AC2131" w:rsidP="00AC2131">
                  <w:pPr>
                    <w:pStyle w:val="TableBodyText"/>
                    <w:spacing w:before="20" w:after="20"/>
                    <w:ind w:left="0" w:right="57"/>
                    <w:rPr>
                      <w:i/>
                    </w:rPr>
                  </w:pPr>
                  <w:r w:rsidRPr="00EC7A67">
                    <w:rPr>
                      <w:i/>
                    </w:rPr>
                    <w:t>66.1</w:t>
                  </w:r>
                </w:p>
              </w:tc>
              <w:tc>
                <w:tcPr>
                  <w:tcW w:w="467" w:type="pct"/>
                  <w:tcBorders>
                    <w:bottom w:val="single" w:sz="6" w:space="0" w:color="BFBFBF"/>
                  </w:tcBorders>
                  <w:vAlign w:val="bottom"/>
                </w:tcPr>
                <w:p w:rsidR="00AC2131" w:rsidRPr="00EC7A67" w:rsidRDefault="00AC2131" w:rsidP="00AC2131">
                  <w:pPr>
                    <w:pStyle w:val="TableBodyText"/>
                    <w:spacing w:before="20" w:after="20"/>
                    <w:ind w:left="0" w:right="57"/>
                    <w:rPr>
                      <w:i/>
                    </w:rPr>
                  </w:pPr>
                  <w:r w:rsidRPr="00EC7A67">
                    <w:rPr>
                      <w:i/>
                    </w:rPr>
                    <w:t>95.2</w:t>
                  </w:r>
                </w:p>
              </w:tc>
              <w:tc>
                <w:tcPr>
                  <w:tcW w:w="467" w:type="pct"/>
                  <w:tcBorders>
                    <w:bottom w:val="single" w:sz="6" w:space="0" w:color="BFBFBF"/>
                  </w:tcBorders>
                  <w:vAlign w:val="bottom"/>
                </w:tcPr>
                <w:p w:rsidR="00AC2131" w:rsidRPr="00EC7A67" w:rsidRDefault="00AC2131" w:rsidP="00AC2131">
                  <w:pPr>
                    <w:pStyle w:val="TableBodyText"/>
                    <w:spacing w:before="20" w:after="20"/>
                    <w:ind w:left="0" w:right="57"/>
                    <w:rPr>
                      <w:i/>
                    </w:rPr>
                  </w:pPr>
                  <w:r w:rsidRPr="00EC7A67">
                    <w:rPr>
                      <w:i/>
                    </w:rPr>
                    <w:t>46.8</w:t>
                  </w:r>
                </w:p>
              </w:tc>
              <w:tc>
                <w:tcPr>
                  <w:tcW w:w="467" w:type="pct"/>
                  <w:tcBorders>
                    <w:bottom w:val="single" w:sz="6" w:space="0" w:color="BFBFBF"/>
                  </w:tcBorders>
                  <w:vAlign w:val="bottom"/>
                </w:tcPr>
                <w:p w:rsidR="00AC2131" w:rsidRPr="00EC7A67" w:rsidRDefault="00AC2131" w:rsidP="00AC2131">
                  <w:pPr>
                    <w:pStyle w:val="TableBodyText"/>
                    <w:spacing w:before="20" w:after="20"/>
                    <w:ind w:left="0" w:right="57"/>
                    <w:rPr>
                      <w:i/>
                    </w:rPr>
                  </w:pPr>
                  <w:r w:rsidRPr="00EC7A67">
                    <w:rPr>
                      <w:i/>
                    </w:rPr>
                    <w:t>92.5</w:t>
                  </w:r>
                </w:p>
              </w:tc>
              <w:tc>
                <w:tcPr>
                  <w:tcW w:w="467" w:type="pct"/>
                  <w:tcBorders>
                    <w:bottom w:val="single" w:sz="6" w:space="0" w:color="BFBFBF"/>
                  </w:tcBorders>
                  <w:shd w:val="clear" w:color="auto" w:fill="auto"/>
                  <w:vAlign w:val="bottom"/>
                </w:tcPr>
                <w:p w:rsidR="00AC2131" w:rsidRPr="00EC7A67" w:rsidRDefault="00AC2131" w:rsidP="00AC2131">
                  <w:pPr>
                    <w:pStyle w:val="TableBodyText"/>
                    <w:spacing w:before="20" w:after="20"/>
                    <w:ind w:left="0" w:right="57"/>
                    <w:rPr>
                      <w:i/>
                    </w:rPr>
                  </w:pPr>
                  <w:r w:rsidRPr="00EC7A67">
                    <w:rPr>
                      <w:i/>
                    </w:rPr>
                    <w:t>87.5</w:t>
                  </w:r>
                </w:p>
              </w:tc>
              <w:tc>
                <w:tcPr>
                  <w:tcW w:w="465" w:type="pct"/>
                  <w:tcBorders>
                    <w:bottom w:val="single" w:sz="6" w:space="0" w:color="BFBFBF"/>
                  </w:tcBorders>
                  <w:shd w:val="clear" w:color="auto" w:fill="auto"/>
                  <w:vAlign w:val="bottom"/>
                </w:tcPr>
                <w:p w:rsidR="00AC2131" w:rsidRPr="00EC7A67" w:rsidRDefault="00AC2131" w:rsidP="00AC2131">
                  <w:pPr>
                    <w:pStyle w:val="TableBodyText"/>
                    <w:spacing w:before="20" w:after="20"/>
                    <w:ind w:left="0" w:right="57"/>
                    <w:rPr>
                      <w:i/>
                    </w:rPr>
                  </w:pPr>
                  <w:r w:rsidRPr="00EC7A67">
                    <w:rPr>
                      <w:i/>
                    </w:rPr>
                    <w:t>81.7</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jc w:val="right"/>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A.10</w:t>
            </w:r>
            <w:r>
              <w:tab/>
            </w:r>
            <w:r w:rsidRPr="006B64DF">
              <w:rPr>
                <w:b w:val="0"/>
                <w:sz w:val="18"/>
                <w:szCs w:val="18"/>
              </w:rPr>
              <w:t>(continued)</w:t>
            </w:r>
          </w:p>
        </w:tc>
      </w:tr>
      <w:tr w:rsidR="00AC2131" w:rsidTr="00AC2131">
        <w:trPr>
          <w:cantSplit/>
        </w:trPr>
        <w:tc>
          <w:tcPr>
            <w:tcW w:w="8767" w:type="dxa"/>
            <w:tcBorders>
              <w:top w:val="nil"/>
              <w:left w:val="nil"/>
              <w:bottom w:val="nil"/>
              <w:right w:val="nil"/>
            </w:tcBorders>
            <w:shd w:val="clear" w:color="auto" w:fill="auto"/>
          </w:tcPr>
          <w:tbl>
            <w:tblPr>
              <w:tblW w:w="8510" w:type="dxa"/>
              <w:tblLayout w:type="fixed"/>
              <w:tblCellMar>
                <w:top w:w="28" w:type="dxa"/>
                <w:left w:w="0" w:type="dxa"/>
                <w:right w:w="0" w:type="dxa"/>
              </w:tblCellMar>
              <w:tblLook w:val="0000" w:firstRow="0" w:lastRow="0" w:firstColumn="0" w:lastColumn="0" w:noHBand="0" w:noVBand="0"/>
            </w:tblPr>
            <w:tblGrid>
              <w:gridCol w:w="3743"/>
              <w:gridCol w:w="797"/>
              <w:gridCol w:w="795"/>
              <w:gridCol w:w="795"/>
              <w:gridCol w:w="795"/>
              <w:gridCol w:w="795"/>
              <w:gridCol w:w="790"/>
            </w:tblGrid>
            <w:tr w:rsidR="00AC2131" w:rsidTr="00AC2131">
              <w:tc>
                <w:tcPr>
                  <w:tcW w:w="21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8"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4"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199" w:type="pct"/>
                  <w:shd w:val="clear" w:color="auto" w:fill="auto"/>
                </w:tcPr>
                <w:p w:rsidR="00AC2131" w:rsidRPr="008E4F0C" w:rsidRDefault="00AC2131" w:rsidP="00AC2131">
                  <w:pPr>
                    <w:pStyle w:val="TableBodyText"/>
                    <w:spacing w:before="40"/>
                    <w:jc w:val="left"/>
                    <w:rPr>
                      <w:b/>
                    </w:rPr>
                  </w:pPr>
                  <w:r w:rsidRPr="008E4F0C">
                    <w:rPr>
                      <w:b/>
                    </w:rPr>
                    <w:t>Dairy cattle farming</w:t>
                  </w:r>
                </w:p>
              </w:tc>
              <w:tc>
                <w:tcPr>
                  <w:tcW w:w="468"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4" w:type="pct"/>
                  <w:shd w:val="clear" w:color="auto" w:fill="auto"/>
                </w:tcPr>
                <w:p w:rsidR="00AC2131" w:rsidRDefault="00AC2131" w:rsidP="00AC2131">
                  <w:pPr>
                    <w:pStyle w:val="TableBodyText"/>
                    <w:spacing w:before="40"/>
                    <w:ind w:right="28"/>
                  </w:pPr>
                </w:p>
              </w:tc>
            </w:tr>
            <w:tr w:rsidR="00AC2131" w:rsidTr="00AC2131">
              <w:tc>
                <w:tcPr>
                  <w:tcW w:w="2199" w:type="pct"/>
                  <w:shd w:val="clear" w:color="auto" w:fill="auto"/>
                </w:tcPr>
                <w:p w:rsidR="00AC2131" w:rsidRPr="007B3D99" w:rsidRDefault="00AC2131" w:rsidP="00AC2131">
                  <w:pPr>
                    <w:pStyle w:val="TableBodyText"/>
                    <w:spacing w:before="40" w:after="0"/>
                    <w:ind w:left="113"/>
                    <w:jc w:val="left"/>
                    <w:rPr>
                      <w:i/>
                    </w:rPr>
                  </w:pPr>
                  <w:r w:rsidRPr="007B3D99">
                    <w:rPr>
                      <w:i/>
                    </w:rPr>
                    <w:t>Sector-specific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4"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7B3D99" w:rsidRDefault="00AC2131" w:rsidP="00AC2131">
                  <w:pPr>
                    <w:ind w:left="227"/>
                    <w:rPr>
                      <w:rFonts w:ascii="Arial" w:hAnsi="Arial" w:cs="Arial"/>
                      <w:color w:val="000000"/>
                      <w:sz w:val="18"/>
                      <w:szCs w:val="18"/>
                    </w:rPr>
                  </w:pPr>
                  <w:r w:rsidRPr="007B3D99">
                    <w:rPr>
                      <w:rFonts w:ascii="Arial" w:hAnsi="Arial" w:cs="Arial"/>
                      <w:color w:val="000000"/>
                      <w:sz w:val="18"/>
                      <w:szCs w:val="18"/>
                    </w:rPr>
                    <w:t>Carbon Farming Futures</w:t>
                  </w:r>
                </w:p>
              </w:tc>
              <w:tc>
                <w:tcPr>
                  <w:tcW w:w="468"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2.6</w:t>
                  </w:r>
                </w:p>
              </w:tc>
              <w:tc>
                <w:tcPr>
                  <w:tcW w:w="467" w:type="pct"/>
                  <w:shd w:val="clear" w:color="auto" w:fill="auto"/>
                  <w:vAlign w:val="bottom"/>
                </w:tcPr>
                <w:p w:rsidR="00AC2131" w:rsidRDefault="00AC2131" w:rsidP="00AC2131">
                  <w:pPr>
                    <w:pStyle w:val="TableBodyText"/>
                    <w:spacing w:after="0"/>
                    <w:ind w:left="227" w:right="57"/>
                  </w:pPr>
                  <w:r>
                    <w:t>1.5</w:t>
                  </w:r>
                </w:p>
              </w:tc>
              <w:tc>
                <w:tcPr>
                  <w:tcW w:w="464" w:type="pct"/>
                  <w:shd w:val="clear" w:color="auto" w:fill="auto"/>
                  <w:vAlign w:val="bottom"/>
                </w:tcPr>
                <w:p w:rsidR="00AC2131" w:rsidRDefault="00AC2131" w:rsidP="00AC2131">
                  <w:pPr>
                    <w:pStyle w:val="TableBodyText"/>
                    <w:spacing w:after="0"/>
                    <w:ind w:left="227" w:right="57"/>
                  </w:pPr>
                  <w:r>
                    <w:t>5.8</w:t>
                  </w:r>
                </w:p>
              </w:tc>
            </w:tr>
            <w:tr w:rsidR="00AC2131" w:rsidTr="00AC2131">
              <w:tc>
                <w:tcPr>
                  <w:tcW w:w="2199" w:type="pct"/>
                  <w:shd w:val="clear" w:color="auto" w:fill="auto"/>
                  <w:vAlign w:val="bottom"/>
                </w:tcPr>
                <w:p w:rsidR="00AC2131" w:rsidRPr="007B3D99"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interest rate subsidies</w:t>
                  </w:r>
                </w:p>
              </w:tc>
              <w:tc>
                <w:tcPr>
                  <w:tcW w:w="468" w:type="pct"/>
                  <w:vAlign w:val="bottom"/>
                </w:tcPr>
                <w:p w:rsidR="00AC2131" w:rsidRDefault="00AC2131" w:rsidP="00AC2131">
                  <w:pPr>
                    <w:pStyle w:val="TableBodyText"/>
                    <w:spacing w:after="0"/>
                    <w:ind w:left="227" w:right="57"/>
                  </w:pPr>
                  <w:r>
                    <w:t>45.3</w:t>
                  </w:r>
                </w:p>
              </w:tc>
              <w:tc>
                <w:tcPr>
                  <w:tcW w:w="467" w:type="pct"/>
                  <w:vAlign w:val="bottom"/>
                </w:tcPr>
                <w:p w:rsidR="00AC2131" w:rsidRDefault="00AC2131" w:rsidP="00AC2131">
                  <w:pPr>
                    <w:pStyle w:val="TableBodyText"/>
                    <w:spacing w:after="0"/>
                    <w:ind w:left="227" w:right="57"/>
                  </w:pPr>
                  <w:r>
                    <w:t>38.1</w:t>
                  </w:r>
                </w:p>
              </w:tc>
              <w:tc>
                <w:tcPr>
                  <w:tcW w:w="467" w:type="pct"/>
                  <w:vAlign w:val="bottom"/>
                </w:tcPr>
                <w:p w:rsidR="00AC2131" w:rsidRDefault="00AC2131" w:rsidP="00AC2131">
                  <w:pPr>
                    <w:pStyle w:val="TableBodyText"/>
                    <w:spacing w:after="0"/>
                    <w:ind w:left="227" w:right="57"/>
                  </w:pPr>
                  <w:r>
                    <w:t>23.3</w:t>
                  </w:r>
                </w:p>
              </w:tc>
              <w:tc>
                <w:tcPr>
                  <w:tcW w:w="467" w:type="pct"/>
                  <w:vAlign w:val="bottom"/>
                </w:tcPr>
                <w:p w:rsidR="00AC2131" w:rsidRDefault="00AC2131" w:rsidP="00AC2131">
                  <w:pPr>
                    <w:pStyle w:val="TableBodyText"/>
                    <w:spacing w:after="0"/>
                    <w:ind w:left="227" w:right="57"/>
                  </w:pPr>
                  <w:r>
                    <w:t>2.9</w:t>
                  </w:r>
                </w:p>
              </w:tc>
              <w:tc>
                <w:tcPr>
                  <w:tcW w:w="467" w:type="pct"/>
                  <w:shd w:val="clear" w:color="auto" w:fill="auto"/>
                  <w:vAlign w:val="bottom"/>
                </w:tcPr>
                <w:p w:rsidR="00AC2131" w:rsidRDefault="00AC2131" w:rsidP="00AC2131">
                  <w:pPr>
                    <w:pStyle w:val="TableBodyText"/>
                    <w:spacing w:after="0"/>
                    <w:ind w:left="227" w:right="57"/>
                  </w:pPr>
                  <w:r>
                    <w:t>–</w:t>
                  </w:r>
                </w:p>
              </w:tc>
              <w:tc>
                <w:tcPr>
                  <w:tcW w:w="464" w:type="pct"/>
                  <w:shd w:val="clear" w:color="auto" w:fill="auto"/>
                  <w:vAlign w:val="bottom"/>
                </w:tcPr>
                <w:p w:rsidR="00AC2131" w:rsidRDefault="00AC2131" w:rsidP="00AC2131">
                  <w:pPr>
                    <w:pStyle w:val="TableBodyText"/>
                    <w:spacing w:after="0"/>
                    <w:ind w:left="227" w:right="57"/>
                  </w:pPr>
                  <w:r>
                    <w:t>–</w:t>
                  </w:r>
                </w:p>
              </w:tc>
            </w:tr>
            <w:tr w:rsidR="00AC2131" w:rsidTr="00AC2131">
              <w:tc>
                <w:tcPr>
                  <w:tcW w:w="2199" w:type="pct"/>
                  <w:shd w:val="clear" w:color="auto" w:fill="auto"/>
                  <w:vAlign w:val="bottom"/>
                </w:tcPr>
                <w:p w:rsidR="00AC2131" w:rsidRPr="007B3D99"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relief payments</w:t>
                  </w:r>
                </w:p>
              </w:tc>
              <w:tc>
                <w:tcPr>
                  <w:tcW w:w="468" w:type="pct"/>
                  <w:vAlign w:val="bottom"/>
                </w:tcPr>
                <w:p w:rsidR="00AC2131" w:rsidRDefault="00AC2131" w:rsidP="00AC2131">
                  <w:pPr>
                    <w:pStyle w:val="TableBodyText"/>
                    <w:spacing w:after="0"/>
                    <w:ind w:left="227" w:right="57"/>
                  </w:pPr>
                  <w:r>
                    <w:t>36.5</w:t>
                  </w:r>
                </w:p>
              </w:tc>
              <w:tc>
                <w:tcPr>
                  <w:tcW w:w="467" w:type="pct"/>
                  <w:vAlign w:val="bottom"/>
                </w:tcPr>
                <w:p w:rsidR="00AC2131" w:rsidRDefault="00AC2131" w:rsidP="00AC2131">
                  <w:pPr>
                    <w:pStyle w:val="TableBodyText"/>
                    <w:spacing w:after="0"/>
                    <w:ind w:left="227" w:right="57"/>
                  </w:pPr>
                  <w:r>
                    <w:t>35.0</w:t>
                  </w:r>
                </w:p>
              </w:tc>
              <w:tc>
                <w:tcPr>
                  <w:tcW w:w="467" w:type="pct"/>
                  <w:vAlign w:val="bottom"/>
                </w:tcPr>
                <w:p w:rsidR="00AC2131" w:rsidRDefault="00AC2131" w:rsidP="00AC2131">
                  <w:pPr>
                    <w:pStyle w:val="TableBodyText"/>
                    <w:spacing w:after="0"/>
                    <w:ind w:left="227" w:right="57"/>
                  </w:pPr>
                  <w:r>
                    <w:t>17.9</w:t>
                  </w:r>
                </w:p>
              </w:tc>
              <w:tc>
                <w:tcPr>
                  <w:tcW w:w="467" w:type="pct"/>
                  <w:vAlign w:val="bottom"/>
                </w:tcPr>
                <w:p w:rsidR="00AC2131" w:rsidRDefault="00AC2131" w:rsidP="00AC2131">
                  <w:pPr>
                    <w:pStyle w:val="TableBodyText"/>
                    <w:spacing w:after="0"/>
                    <w:ind w:left="227" w:right="57"/>
                  </w:pPr>
                  <w:r>
                    <w:t>0.8</w:t>
                  </w:r>
                </w:p>
              </w:tc>
              <w:tc>
                <w:tcPr>
                  <w:tcW w:w="467" w:type="pct"/>
                  <w:shd w:val="clear" w:color="auto" w:fill="auto"/>
                  <w:vAlign w:val="bottom"/>
                </w:tcPr>
                <w:p w:rsidR="00AC2131" w:rsidRDefault="00AC2131" w:rsidP="00AC2131">
                  <w:pPr>
                    <w:pStyle w:val="TableBodyText"/>
                    <w:spacing w:after="0"/>
                    <w:ind w:left="227" w:right="57"/>
                  </w:pPr>
                  <w:r>
                    <w:t>–</w:t>
                  </w:r>
                </w:p>
              </w:tc>
              <w:tc>
                <w:tcPr>
                  <w:tcW w:w="464" w:type="pct"/>
                  <w:shd w:val="clear" w:color="auto" w:fill="auto"/>
                  <w:vAlign w:val="bottom"/>
                </w:tcPr>
                <w:p w:rsidR="00AC2131" w:rsidRDefault="00AC2131" w:rsidP="00AC2131">
                  <w:pPr>
                    <w:pStyle w:val="TableBodyText"/>
                    <w:spacing w:after="0"/>
                    <w:ind w:left="227" w:right="57"/>
                  </w:pPr>
                  <w:r>
                    <w:t>–</w:t>
                  </w:r>
                </w:p>
              </w:tc>
            </w:tr>
            <w:tr w:rsidR="00AC2131" w:rsidTr="00AC2131">
              <w:tc>
                <w:tcPr>
                  <w:tcW w:w="2199" w:type="pct"/>
                  <w:shd w:val="clear" w:color="auto" w:fill="auto"/>
                  <w:vAlign w:val="bottom"/>
                </w:tcPr>
                <w:p w:rsidR="00AC2131" w:rsidRPr="007B3D99" w:rsidRDefault="00AC2131" w:rsidP="00AC2131">
                  <w:pPr>
                    <w:ind w:left="227"/>
                    <w:rPr>
                      <w:rFonts w:ascii="Arial" w:hAnsi="Arial" w:cs="Arial"/>
                      <w:color w:val="000000"/>
                      <w:sz w:val="18"/>
                      <w:szCs w:val="18"/>
                    </w:rPr>
                  </w:pPr>
                  <w:r w:rsidRPr="007B3D99">
                    <w:rPr>
                      <w:rFonts w:ascii="Arial" w:hAnsi="Arial" w:cs="Arial"/>
                      <w:color w:val="000000"/>
                      <w:sz w:val="18"/>
                      <w:szCs w:val="18"/>
                    </w:rPr>
                    <w:t>Farm Help</w:t>
                  </w:r>
                </w:p>
              </w:tc>
              <w:tc>
                <w:tcPr>
                  <w:tcW w:w="468" w:type="pct"/>
                  <w:vAlign w:val="bottom"/>
                </w:tcPr>
                <w:p w:rsidR="00AC2131" w:rsidRDefault="00AC2131" w:rsidP="00AC2131">
                  <w:pPr>
                    <w:pStyle w:val="TableBodyText"/>
                    <w:spacing w:after="0"/>
                    <w:ind w:left="227" w:right="57"/>
                  </w:pPr>
                  <w:r>
                    <w:t>0.2</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vAlign w:val="bottom"/>
                </w:tcPr>
                <w:p w:rsidR="00AC2131" w:rsidRDefault="00AC2131" w:rsidP="00AC2131">
                  <w:pPr>
                    <w:pStyle w:val="TableBodyText"/>
                    <w:spacing w:after="0"/>
                    <w:ind w:left="227" w:right="57"/>
                  </w:pPr>
                  <w:r>
                    <w:t>–</w:t>
                  </w:r>
                </w:p>
              </w:tc>
              <w:tc>
                <w:tcPr>
                  <w:tcW w:w="467" w:type="pct"/>
                  <w:shd w:val="clear" w:color="auto" w:fill="auto"/>
                  <w:vAlign w:val="bottom"/>
                </w:tcPr>
                <w:p w:rsidR="00AC2131" w:rsidRDefault="00AC2131" w:rsidP="00AC2131">
                  <w:pPr>
                    <w:pStyle w:val="TableBodyText"/>
                    <w:spacing w:after="0"/>
                    <w:ind w:left="227" w:right="57"/>
                  </w:pPr>
                  <w:r>
                    <w:t>–</w:t>
                  </w:r>
                </w:p>
              </w:tc>
              <w:tc>
                <w:tcPr>
                  <w:tcW w:w="464" w:type="pct"/>
                  <w:shd w:val="clear" w:color="auto" w:fill="auto"/>
                  <w:vAlign w:val="bottom"/>
                </w:tcPr>
                <w:p w:rsidR="00AC2131" w:rsidRDefault="00AC2131" w:rsidP="00AC2131">
                  <w:pPr>
                    <w:pStyle w:val="TableBodyText"/>
                    <w:spacing w:after="0"/>
                    <w:ind w:left="227" w:right="57"/>
                  </w:pPr>
                  <w:r>
                    <w:t>–</w:t>
                  </w:r>
                </w:p>
              </w:tc>
            </w:tr>
            <w:tr w:rsidR="00AC2131" w:rsidTr="00AC2131">
              <w:tc>
                <w:tcPr>
                  <w:tcW w:w="2199" w:type="pct"/>
                  <w:shd w:val="clear" w:color="auto" w:fill="auto"/>
                  <w:vAlign w:val="bottom"/>
                </w:tcPr>
                <w:p w:rsidR="00AC2131" w:rsidRPr="007B3D99" w:rsidRDefault="00AC2131" w:rsidP="00AC2131">
                  <w:pPr>
                    <w:ind w:left="227"/>
                    <w:rPr>
                      <w:rFonts w:ascii="Arial" w:hAnsi="Arial" w:cs="Arial"/>
                      <w:color w:val="000000"/>
                      <w:sz w:val="18"/>
                      <w:szCs w:val="18"/>
                    </w:rPr>
                  </w:pPr>
                  <w:r w:rsidRPr="007B3D99">
                    <w:rPr>
                      <w:rFonts w:ascii="Arial" w:hAnsi="Arial" w:cs="Arial"/>
                      <w:color w:val="000000"/>
                      <w:sz w:val="18"/>
                      <w:szCs w:val="18"/>
                    </w:rPr>
                    <w:t>Farm Management Deposits Scheme</w:t>
                  </w:r>
                </w:p>
              </w:tc>
              <w:tc>
                <w:tcPr>
                  <w:tcW w:w="468" w:type="pct"/>
                  <w:vAlign w:val="bottom"/>
                </w:tcPr>
                <w:p w:rsidR="00AC2131" w:rsidRDefault="00AC2131" w:rsidP="00AC2131">
                  <w:pPr>
                    <w:pStyle w:val="TableBodyText"/>
                    <w:spacing w:after="0"/>
                    <w:ind w:left="227" w:right="57"/>
                  </w:pPr>
                  <w:r>
                    <w:t>11.4</w:t>
                  </w:r>
                </w:p>
              </w:tc>
              <w:tc>
                <w:tcPr>
                  <w:tcW w:w="467" w:type="pct"/>
                  <w:vAlign w:val="bottom"/>
                </w:tcPr>
                <w:p w:rsidR="00AC2131" w:rsidRDefault="00AC2131" w:rsidP="00AC2131">
                  <w:pPr>
                    <w:pStyle w:val="TableBodyText"/>
                    <w:spacing w:after="0"/>
                    <w:ind w:left="227" w:right="57"/>
                  </w:pPr>
                  <w:r>
                    <w:t>7.2</w:t>
                  </w:r>
                </w:p>
              </w:tc>
              <w:tc>
                <w:tcPr>
                  <w:tcW w:w="467" w:type="pct"/>
                  <w:vAlign w:val="bottom"/>
                </w:tcPr>
                <w:p w:rsidR="00AC2131" w:rsidRDefault="00AC2131" w:rsidP="00AC2131">
                  <w:pPr>
                    <w:pStyle w:val="TableBodyText"/>
                    <w:spacing w:after="0"/>
                    <w:ind w:left="227" w:right="57"/>
                  </w:pPr>
                  <w:r>
                    <w:t>2.1</w:t>
                  </w:r>
                </w:p>
              </w:tc>
              <w:tc>
                <w:tcPr>
                  <w:tcW w:w="467" w:type="pct"/>
                  <w:vAlign w:val="bottom"/>
                </w:tcPr>
                <w:p w:rsidR="00AC2131" w:rsidRDefault="00AC2131" w:rsidP="00AC2131">
                  <w:pPr>
                    <w:pStyle w:val="TableBodyText"/>
                    <w:spacing w:after="0"/>
                    <w:ind w:left="227" w:right="57"/>
                  </w:pPr>
                  <w:r>
                    <w:t>15.4</w:t>
                  </w:r>
                </w:p>
              </w:tc>
              <w:tc>
                <w:tcPr>
                  <w:tcW w:w="467" w:type="pct"/>
                  <w:shd w:val="clear" w:color="auto" w:fill="auto"/>
                  <w:vAlign w:val="bottom"/>
                </w:tcPr>
                <w:p w:rsidR="00AC2131" w:rsidRDefault="00AC2131" w:rsidP="00AC2131">
                  <w:pPr>
                    <w:pStyle w:val="TableBodyText"/>
                    <w:spacing w:after="0"/>
                    <w:ind w:left="227" w:right="57"/>
                  </w:pPr>
                  <w:r>
                    <w:t>9.5</w:t>
                  </w:r>
                </w:p>
              </w:tc>
              <w:tc>
                <w:tcPr>
                  <w:tcW w:w="464" w:type="pct"/>
                  <w:shd w:val="clear" w:color="auto" w:fill="auto"/>
                  <w:vAlign w:val="bottom"/>
                </w:tcPr>
                <w:p w:rsidR="00AC2131" w:rsidRDefault="00AC2131" w:rsidP="00AC2131">
                  <w:pPr>
                    <w:pStyle w:val="TableBodyText"/>
                    <w:spacing w:after="0"/>
                    <w:ind w:left="227" w:right="57"/>
                  </w:pPr>
                  <w:r>
                    <w:t>9.9</w:t>
                  </w:r>
                </w:p>
              </w:tc>
            </w:tr>
            <w:tr w:rsidR="00AC2131" w:rsidTr="00AC2131">
              <w:tc>
                <w:tcPr>
                  <w:tcW w:w="2199" w:type="pct"/>
                  <w:shd w:val="clear" w:color="auto" w:fill="auto"/>
                  <w:vAlign w:val="bottom"/>
                </w:tcPr>
                <w:p w:rsidR="00AC2131" w:rsidRPr="007B3D99" w:rsidRDefault="00AC2131" w:rsidP="00AC2131">
                  <w:pPr>
                    <w:ind w:left="227"/>
                    <w:rPr>
                      <w:rFonts w:ascii="Arial" w:hAnsi="Arial" w:cs="Arial"/>
                      <w:color w:val="000000"/>
                      <w:sz w:val="18"/>
                      <w:szCs w:val="18"/>
                    </w:rPr>
                  </w:pPr>
                  <w:r w:rsidRPr="007B3D99">
                    <w:rPr>
                      <w:rFonts w:ascii="Arial" w:hAnsi="Arial" w:cs="Arial"/>
                      <w:color w:val="000000"/>
                      <w:sz w:val="18"/>
                      <w:szCs w:val="18"/>
                    </w:rPr>
                    <w:t>Income tax averaging provisions</w:t>
                  </w:r>
                </w:p>
              </w:tc>
              <w:tc>
                <w:tcPr>
                  <w:tcW w:w="468" w:type="pct"/>
                  <w:vAlign w:val="bottom"/>
                </w:tcPr>
                <w:p w:rsidR="00AC2131" w:rsidRDefault="00AC2131" w:rsidP="00AC2131">
                  <w:pPr>
                    <w:pStyle w:val="TableBodyText"/>
                    <w:spacing w:after="0"/>
                    <w:ind w:left="227" w:right="57"/>
                  </w:pPr>
                  <w:r>
                    <w:t>15.0</w:t>
                  </w:r>
                </w:p>
              </w:tc>
              <w:tc>
                <w:tcPr>
                  <w:tcW w:w="467" w:type="pct"/>
                  <w:vAlign w:val="bottom"/>
                </w:tcPr>
                <w:p w:rsidR="00AC2131" w:rsidRDefault="00AC2131" w:rsidP="00AC2131">
                  <w:pPr>
                    <w:pStyle w:val="TableBodyText"/>
                    <w:spacing w:after="0"/>
                    <w:ind w:left="227" w:right="57"/>
                  </w:pPr>
                  <w:r>
                    <w:t>4.4</w:t>
                  </w:r>
                </w:p>
              </w:tc>
              <w:tc>
                <w:tcPr>
                  <w:tcW w:w="467" w:type="pct"/>
                  <w:vAlign w:val="bottom"/>
                </w:tcPr>
                <w:p w:rsidR="00AC2131" w:rsidRDefault="00AC2131" w:rsidP="00AC2131">
                  <w:pPr>
                    <w:pStyle w:val="TableBodyText"/>
                    <w:spacing w:after="0"/>
                    <w:ind w:left="227" w:right="57"/>
                  </w:pPr>
                  <w:r>
                    <w:t>10.2</w:t>
                  </w:r>
                </w:p>
              </w:tc>
              <w:tc>
                <w:tcPr>
                  <w:tcW w:w="467" w:type="pct"/>
                  <w:vAlign w:val="bottom"/>
                </w:tcPr>
                <w:p w:rsidR="00AC2131" w:rsidRDefault="00AC2131" w:rsidP="00AC2131">
                  <w:pPr>
                    <w:pStyle w:val="TableBodyText"/>
                    <w:spacing w:after="0"/>
                    <w:ind w:left="227" w:right="57"/>
                  </w:pPr>
                  <w:r>
                    <w:t>10.1</w:t>
                  </w:r>
                </w:p>
              </w:tc>
              <w:tc>
                <w:tcPr>
                  <w:tcW w:w="467" w:type="pct"/>
                  <w:shd w:val="clear" w:color="auto" w:fill="auto"/>
                  <w:vAlign w:val="bottom"/>
                </w:tcPr>
                <w:p w:rsidR="00AC2131" w:rsidRDefault="00AC2131" w:rsidP="00AC2131">
                  <w:pPr>
                    <w:pStyle w:val="TableBodyText"/>
                    <w:spacing w:after="0"/>
                    <w:ind w:left="227" w:right="57"/>
                  </w:pPr>
                  <w:r>
                    <w:t>6.6</w:t>
                  </w:r>
                </w:p>
              </w:tc>
              <w:tc>
                <w:tcPr>
                  <w:tcW w:w="464" w:type="pct"/>
                  <w:shd w:val="clear" w:color="auto" w:fill="auto"/>
                  <w:vAlign w:val="bottom"/>
                </w:tcPr>
                <w:p w:rsidR="00AC2131" w:rsidRDefault="00AC2131" w:rsidP="00AC2131">
                  <w:pPr>
                    <w:pStyle w:val="TableBodyText"/>
                    <w:spacing w:after="0"/>
                    <w:ind w:left="227" w:right="57"/>
                  </w:pPr>
                  <w:r>
                    <w:t>6.6</w:t>
                  </w:r>
                </w:p>
              </w:tc>
            </w:tr>
            <w:tr w:rsidR="00AC2131" w:rsidTr="00AC2131">
              <w:tc>
                <w:tcPr>
                  <w:tcW w:w="2199" w:type="pct"/>
                  <w:shd w:val="clear" w:color="auto" w:fill="auto"/>
                  <w:vAlign w:val="bottom"/>
                </w:tcPr>
                <w:p w:rsidR="00AC2131" w:rsidRPr="007B3D99" w:rsidRDefault="00AC2131" w:rsidP="00AC2131">
                  <w:pPr>
                    <w:ind w:left="227"/>
                    <w:rPr>
                      <w:rFonts w:ascii="Arial" w:hAnsi="Arial" w:cs="Arial"/>
                      <w:color w:val="000000"/>
                      <w:sz w:val="18"/>
                      <w:szCs w:val="18"/>
                    </w:rPr>
                  </w:pPr>
                  <w:r w:rsidRPr="007B3D99">
                    <w:rPr>
                      <w:rFonts w:ascii="Arial" w:hAnsi="Arial" w:cs="Arial"/>
                      <w:color w:val="000000"/>
                      <w:sz w:val="18"/>
                      <w:szCs w:val="18"/>
                    </w:rPr>
                    <w:t>Interim Income Support</w:t>
                  </w:r>
                </w:p>
              </w:tc>
              <w:tc>
                <w:tcPr>
                  <w:tcW w:w="468" w:type="pct"/>
                  <w:vAlign w:val="bottom"/>
                </w:tcPr>
                <w:p w:rsidR="00AC2131" w:rsidRDefault="00AC2131" w:rsidP="00AC2131">
                  <w:pPr>
                    <w:pStyle w:val="TableBodyText"/>
                    <w:spacing w:after="0"/>
                    <w:ind w:left="227" w:right="57"/>
                  </w:pPr>
                  <w:r>
                    <w:t>0.5</w:t>
                  </w:r>
                </w:p>
              </w:tc>
              <w:tc>
                <w:tcPr>
                  <w:tcW w:w="467" w:type="pct"/>
                  <w:vAlign w:val="bottom"/>
                </w:tcPr>
                <w:p w:rsidR="00AC2131" w:rsidRDefault="00AC2131" w:rsidP="00AC2131">
                  <w:pPr>
                    <w:pStyle w:val="TableBodyText"/>
                    <w:spacing w:after="0"/>
                    <w:ind w:left="227" w:right="57"/>
                  </w:pPr>
                  <w:r>
                    <w:t>0.1</w:t>
                  </w:r>
                </w:p>
              </w:tc>
              <w:tc>
                <w:tcPr>
                  <w:tcW w:w="467" w:type="pct"/>
                  <w:vAlign w:val="bottom"/>
                </w:tcPr>
                <w:p w:rsidR="00AC2131" w:rsidRDefault="00AC2131" w:rsidP="00AC2131">
                  <w:pPr>
                    <w:pStyle w:val="TableBodyText"/>
                    <w:spacing w:after="0"/>
                    <w:ind w:left="227" w:right="57"/>
                  </w:pPr>
                  <w:r>
                    <w:t>&lt;0.1</w:t>
                  </w:r>
                </w:p>
              </w:tc>
              <w:tc>
                <w:tcPr>
                  <w:tcW w:w="467" w:type="pct"/>
                  <w:vAlign w:val="bottom"/>
                </w:tcPr>
                <w:p w:rsidR="00AC2131" w:rsidRDefault="00AC2131" w:rsidP="00AC2131">
                  <w:pPr>
                    <w:pStyle w:val="TableBodyText"/>
                    <w:spacing w:after="0"/>
                    <w:ind w:left="227" w:right="57"/>
                  </w:pPr>
                  <w:r>
                    <w:t>&lt;0.1</w:t>
                  </w:r>
                </w:p>
              </w:tc>
              <w:tc>
                <w:tcPr>
                  <w:tcW w:w="467" w:type="pct"/>
                  <w:shd w:val="clear" w:color="auto" w:fill="auto"/>
                  <w:vAlign w:val="bottom"/>
                </w:tcPr>
                <w:p w:rsidR="00AC2131" w:rsidRDefault="00AC2131" w:rsidP="00AC2131">
                  <w:pPr>
                    <w:pStyle w:val="TableBodyText"/>
                    <w:spacing w:after="0"/>
                    <w:ind w:left="227" w:right="57"/>
                  </w:pPr>
                  <w:r>
                    <w:t>–</w:t>
                  </w:r>
                </w:p>
              </w:tc>
              <w:tc>
                <w:tcPr>
                  <w:tcW w:w="464" w:type="pct"/>
                  <w:shd w:val="clear" w:color="auto" w:fill="auto"/>
                  <w:vAlign w:val="bottom"/>
                </w:tcPr>
                <w:p w:rsidR="00AC2131" w:rsidRDefault="00AC2131" w:rsidP="00AC2131">
                  <w:pPr>
                    <w:pStyle w:val="TableBodyText"/>
                    <w:spacing w:after="0"/>
                    <w:ind w:left="227" w:right="57"/>
                  </w:pPr>
                  <w:r>
                    <w:t>–</w:t>
                  </w:r>
                </w:p>
              </w:tc>
            </w:tr>
            <w:tr w:rsidR="00AC2131" w:rsidTr="00AC2131">
              <w:tc>
                <w:tcPr>
                  <w:tcW w:w="2199" w:type="pct"/>
                  <w:shd w:val="clear" w:color="auto" w:fill="auto"/>
                  <w:vAlign w:val="bottom"/>
                </w:tcPr>
                <w:p w:rsidR="00AC2131" w:rsidRPr="007B3D99" w:rsidRDefault="00AC2131" w:rsidP="00AC2131">
                  <w:pPr>
                    <w:ind w:left="227"/>
                    <w:rPr>
                      <w:rFonts w:ascii="Arial" w:hAnsi="Arial" w:cs="Arial"/>
                      <w:color w:val="000000"/>
                      <w:sz w:val="18"/>
                      <w:szCs w:val="18"/>
                    </w:rPr>
                  </w:pPr>
                  <w:r w:rsidRPr="007B3D99">
                    <w:rPr>
                      <w:rFonts w:ascii="Arial" w:hAnsi="Arial" w:cs="Arial"/>
                      <w:color w:val="000000"/>
                      <w:sz w:val="18"/>
                      <w:szCs w:val="18"/>
                    </w:rPr>
                    <w:t>Rural Financial Counselling Service</w:t>
                  </w:r>
                </w:p>
              </w:tc>
              <w:tc>
                <w:tcPr>
                  <w:tcW w:w="468" w:type="pct"/>
                  <w:vAlign w:val="bottom"/>
                </w:tcPr>
                <w:p w:rsidR="00AC2131" w:rsidRDefault="00AC2131" w:rsidP="00AC2131">
                  <w:pPr>
                    <w:pStyle w:val="TableBodyText"/>
                    <w:spacing w:after="0"/>
                    <w:ind w:left="227" w:right="57"/>
                  </w:pPr>
                  <w:r>
                    <w:t>1.3</w:t>
                  </w:r>
                </w:p>
              </w:tc>
              <w:tc>
                <w:tcPr>
                  <w:tcW w:w="467" w:type="pct"/>
                  <w:vAlign w:val="bottom"/>
                </w:tcPr>
                <w:p w:rsidR="00AC2131" w:rsidRDefault="00AC2131" w:rsidP="00AC2131">
                  <w:pPr>
                    <w:pStyle w:val="TableBodyText"/>
                    <w:spacing w:after="0"/>
                    <w:ind w:left="227" w:right="57"/>
                  </w:pPr>
                  <w:r>
                    <w:t>1.7</w:t>
                  </w:r>
                </w:p>
              </w:tc>
              <w:tc>
                <w:tcPr>
                  <w:tcW w:w="467" w:type="pct"/>
                  <w:vAlign w:val="bottom"/>
                </w:tcPr>
                <w:p w:rsidR="00AC2131" w:rsidRDefault="00AC2131" w:rsidP="00AC2131">
                  <w:pPr>
                    <w:pStyle w:val="TableBodyText"/>
                    <w:spacing w:after="0"/>
                    <w:ind w:left="227" w:right="57"/>
                  </w:pPr>
                  <w:r>
                    <w:t>1.2</w:t>
                  </w:r>
                </w:p>
              </w:tc>
              <w:tc>
                <w:tcPr>
                  <w:tcW w:w="467" w:type="pct"/>
                  <w:vAlign w:val="bottom"/>
                </w:tcPr>
                <w:p w:rsidR="00AC2131" w:rsidRDefault="00AC2131" w:rsidP="00AC2131">
                  <w:pPr>
                    <w:pStyle w:val="TableBodyText"/>
                    <w:spacing w:after="0"/>
                    <w:ind w:left="227" w:right="57"/>
                  </w:pPr>
                  <w:r>
                    <w:t>1.0</w:t>
                  </w:r>
                </w:p>
              </w:tc>
              <w:tc>
                <w:tcPr>
                  <w:tcW w:w="467" w:type="pct"/>
                  <w:shd w:val="clear" w:color="auto" w:fill="auto"/>
                  <w:vAlign w:val="bottom"/>
                </w:tcPr>
                <w:p w:rsidR="00AC2131" w:rsidRDefault="00AC2131" w:rsidP="00AC2131">
                  <w:pPr>
                    <w:pStyle w:val="TableBodyText"/>
                    <w:spacing w:after="0"/>
                    <w:ind w:left="227" w:right="57"/>
                  </w:pPr>
                  <w:r>
                    <w:t>1.6</w:t>
                  </w:r>
                </w:p>
              </w:tc>
              <w:tc>
                <w:tcPr>
                  <w:tcW w:w="464" w:type="pct"/>
                  <w:shd w:val="clear" w:color="auto" w:fill="auto"/>
                  <w:vAlign w:val="bottom"/>
                </w:tcPr>
                <w:p w:rsidR="00AC2131" w:rsidRDefault="00AC2131" w:rsidP="00AC2131">
                  <w:pPr>
                    <w:pStyle w:val="TableBodyText"/>
                    <w:spacing w:after="0"/>
                    <w:ind w:left="227" w:right="57"/>
                  </w:pPr>
                  <w:r>
                    <w:t>1.6</w:t>
                  </w:r>
                </w:p>
              </w:tc>
            </w:tr>
            <w:tr w:rsidR="00AC2131" w:rsidTr="00AC2131">
              <w:tc>
                <w:tcPr>
                  <w:tcW w:w="2199" w:type="pct"/>
                  <w:shd w:val="clear" w:color="auto" w:fill="auto"/>
                  <w:vAlign w:val="bottom"/>
                </w:tcPr>
                <w:p w:rsidR="00AC2131" w:rsidRPr="007B3D99" w:rsidRDefault="00AC2131" w:rsidP="00AC2131">
                  <w:pPr>
                    <w:ind w:left="227"/>
                    <w:rPr>
                      <w:rFonts w:ascii="Arial" w:hAnsi="Arial" w:cs="Arial"/>
                      <w:color w:val="000000"/>
                      <w:sz w:val="18"/>
                      <w:szCs w:val="18"/>
                    </w:rPr>
                  </w:pPr>
                  <w:r w:rsidRPr="007B3D99">
                    <w:rPr>
                      <w:rFonts w:ascii="Arial" w:hAnsi="Arial" w:cs="Arial"/>
                      <w:color w:val="000000"/>
                      <w:sz w:val="18"/>
                      <w:szCs w:val="18"/>
                    </w:rPr>
                    <w:t>Tax deduction for conserving or conveying water</w:t>
                  </w:r>
                </w:p>
              </w:tc>
              <w:tc>
                <w:tcPr>
                  <w:tcW w:w="468" w:type="pct"/>
                  <w:vAlign w:val="bottom"/>
                </w:tcPr>
                <w:p w:rsidR="00AC2131" w:rsidRDefault="00AC2131" w:rsidP="00AC2131">
                  <w:pPr>
                    <w:pStyle w:val="TableBodyText"/>
                    <w:spacing w:after="0"/>
                    <w:ind w:left="227" w:right="57"/>
                  </w:pPr>
                  <w:r>
                    <w:t>1.3</w:t>
                  </w:r>
                </w:p>
              </w:tc>
              <w:tc>
                <w:tcPr>
                  <w:tcW w:w="467" w:type="pct"/>
                  <w:vAlign w:val="bottom"/>
                </w:tcPr>
                <w:p w:rsidR="00AC2131" w:rsidRDefault="00AC2131" w:rsidP="00AC2131">
                  <w:pPr>
                    <w:pStyle w:val="TableBodyText"/>
                    <w:spacing w:after="0"/>
                    <w:ind w:left="227" w:right="57"/>
                  </w:pPr>
                  <w:r>
                    <w:t>1.5</w:t>
                  </w:r>
                </w:p>
              </w:tc>
              <w:tc>
                <w:tcPr>
                  <w:tcW w:w="467" w:type="pct"/>
                  <w:vAlign w:val="bottom"/>
                </w:tcPr>
                <w:p w:rsidR="00AC2131" w:rsidRDefault="00AC2131" w:rsidP="00AC2131">
                  <w:pPr>
                    <w:pStyle w:val="TableBodyText"/>
                    <w:spacing w:after="0"/>
                    <w:ind w:left="227" w:right="57"/>
                  </w:pPr>
                  <w:r>
                    <w:t>2.0</w:t>
                  </w:r>
                </w:p>
              </w:tc>
              <w:tc>
                <w:tcPr>
                  <w:tcW w:w="467" w:type="pct"/>
                  <w:vAlign w:val="bottom"/>
                </w:tcPr>
                <w:p w:rsidR="00AC2131" w:rsidRDefault="00AC2131" w:rsidP="00AC2131">
                  <w:pPr>
                    <w:pStyle w:val="TableBodyText"/>
                    <w:spacing w:after="0"/>
                    <w:ind w:left="227" w:right="57"/>
                  </w:pPr>
                  <w:r>
                    <w:t>6.2</w:t>
                  </w:r>
                </w:p>
              </w:tc>
              <w:tc>
                <w:tcPr>
                  <w:tcW w:w="467" w:type="pct"/>
                  <w:shd w:val="clear" w:color="auto" w:fill="auto"/>
                  <w:vAlign w:val="bottom"/>
                </w:tcPr>
                <w:p w:rsidR="00AC2131" w:rsidRDefault="00AC2131" w:rsidP="00AC2131">
                  <w:pPr>
                    <w:pStyle w:val="TableBodyText"/>
                    <w:spacing w:after="0"/>
                    <w:ind w:left="227" w:right="57"/>
                  </w:pPr>
                  <w:r>
                    <w:t>1.8</w:t>
                  </w:r>
                </w:p>
              </w:tc>
              <w:tc>
                <w:tcPr>
                  <w:tcW w:w="464" w:type="pct"/>
                  <w:shd w:val="clear" w:color="auto" w:fill="auto"/>
                  <w:vAlign w:val="bottom"/>
                </w:tcPr>
                <w:p w:rsidR="00AC2131" w:rsidRDefault="00AC2131" w:rsidP="00AC2131">
                  <w:pPr>
                    <w:pStyle w:val="TableBodyText"/>
                    <w:spacing w:after="0"/>
                    <w:ind w:left="227" w:right="57"/>
                  </w:pPr>
                  <w:r>
                    <w:t>0.2</w:t>
                  </w:r>
                </w:p>
              </w:tc>
            </w:tr>
            <w:tr w:rsidR="00AC2131" w:rsidTr="00AC2131">
              <w:tc>
                <w:tcPr>
                  <w:tcW w:w="2199" w:type="pct"/>
                  <w:shd w:val="clear" w:color="auto" w:fill="auto"/>
                  <w:vAlign w:val="bottom"/>
                </w:tcPr>
                <w:p w:rsidR="00AC2131" w:rsidRPr="007B3D99" w:rsidRDefault="00AC2131" w:rsidP="00AC2131">
                  <w:pPr>
                    <w:spacing w:before="40"/>
                    <w:ind w:left="113"/>
                    <w:rPr>
                      <w:rFonts w:ascii="Arial" w:hAnsi="Arial" w:cs="Arial"/>
                      <w:i/>
                      <w:color w:val="000000"/>
                      <w:sz w:val="18"/>
                      <w:szCs w:val="18"/>
                    </w:rPr>
                  </w:pPr>
                  <w:r w:rsidRPr="007B3D99">
                    <w:rPr>
                      <w:rFonts w:ascii="Arial" w:hAnsi="Arial" w:cs="Arial"/>
                      <w:i/>
                      <w:color w:val="000000"/>
                      <w:sz w:val="18"/>
                      <w:szCs w:val="18"/>
                    </w:rPr>
                    <w:t>Rural R&amp;D measures</w:t>
                  </w:r>
                </w:p>
              </w:tc>
              <w:tc>
                <w:tcPr>
                  <w:tcW w:w="468" w:type="pct"/>
                  <w:vAlign w:val="bottom"/>
                </w:tcPr>
                <w:p w:rsidR="00AC2131" w:rsidRPr="007B3D99" w:rsidRDefault="00AC2131" w:rsidP="00AC2131">
                  <w:pPr>
                    <w:spacing w:before="40"/>
                    <w:ind w:left="113"/>
                    <w:jc w:val="right"/>
                    <w:rPr>
                      <w:rFonts w:ascii="Arial" w:hAnsi="Arial" w:cs="Arial"/>
                      <w:sz w:val="18"/>
                      <w:szCs w:val="18"/>
                    </w:rPr>
                  </w:pPr>
                </w:p>
              </w:tc>
              <w:tc>
                <w:tcPr>
                  <w:tcW w:w="467" w:type="pct"/>
                  <w:vAlign w:val="bottom"/>
                </w:tcPr>
                <w:p w:rsidR="00AC2131" w:rsidRPr="007B3D99" w:rsidRDefault="00AC2131" w:rsidP="00AC2131">
                  <w:pPr>
                    <w:spacing w:before="40"/>
                    <w:ind w:left="113"/>
                    <w:jc w:val="right"/>
                    <w:rPr>
                      <w:rFonts w:ascii="Arial" w:hAnsi="Arial" w:cs="Arial"/>
                      <w:sz w:val="18"/>
                      <w:szCs w:val="18"/>
                    </w:rPr>
                  </w:pPr>
                </w:p>
              </w:tc>
              <w:tc>
                <w:tcPr>
                  <w:tcW w:w="467" w:type="pct"/>
                  <w:vAlign w:val="bottom"/>
                </w:tcPr>
                <w:p w:rsidR="00AC2131" w:rsidRPr="007B3D99" w:rsidRDefault="00AC2131" w:rsidP="00AC2131">
                  <w:pPr>
                    <w:spacing w:before="40"/>
                    <w:ind w:left="113"/>
                    <w:jc w:val="right"/>
                    <w:rPr>
                      <w:rFonts w:ascii="Arial" w:hAnsi="Arial" w:cs="Arial"/>
                      <w:sz w:val="18"/>
                      <w:szCs w:val="18"/>
                    </w:rPr>
                  </w:pPr>
                </w:p>
              </w:tc>
              <w:tc>
                <w:tcPr>
                  <w:tcW w:w="467" w:type="pct"/>
                  <w:vAlign w:val="bottom"/>
                </w:tcPr>
                <w:p w:rsidR="00AC2131" w:rsidRPr="007B3D99" w:rsidRDefault="00AC2131" w:rsidP="00AC2131">
                  <w:pPr>
                    <w:spacing w:before="40"/>
                    <w:ind w:left="113"/>
                    <w:jc w:val="right"/>
                    <w:rPr>
                      <w:rFonts w:ascii="Arial" w:hAnsi="Arial" w:cs="Arial"/>
                      <w:sz w:val="18"/>
                      <w:szCs w:val="18"/>
                    </w:rPr>
                  </w:pPr>
                </w:p>
              </w:tc>
              <w:tc>
                <w:tcPr>
                  <w:tcW w:w="467" w:type="pct"/>
                  <w:shd w:val="clear" w:color="auto" w:fill="auto"/>
                  <w:vAlign w:val="bottom"/>
                </w:tcPr>
                <w:p w:rsidR="00AC2131" w:rsidRPr="007B3D99" w:rsidRDefault="00AC2131" w:rsidP="00AC2131">
                  <w:pPr>
                    <w:spacing w:before="40"/>
                    <w:ind w:left="113"/>
                    <w:jc w:val="right"/>
                    <w:rPr>
                      <w:rFonts w:ascii="Arial" w:hAnsi="Arial" w:cs="Arial"/>
                      <w:sz w:val="18"/>
                      <w:szCs w:val="18"/>
                    </w:rPr>
                  </w:pPr>
                </w:p>
              </w:tc>
              <w:tc>
                <w:tcPr>
                  <w:tcW w:w="464" w:type="pct"/>
                  <w:shd w:val="clear" w:color="auto" w:fill="auto"/>
                  <w:vAlign w:val="bottom"/>
                </w:tcPr>
                <w:p w:rsidR="00AC2131" w:rsidRPr="007B3D99" w:rsidRDefault="00AC2131" w:rsidP="00AC2131">
                  <w:pPr>
                    <w:spacing w:before="40"/>
                    <w:ind w:left="113"/>
                    <w:jc w:val="right"/>
                    <w:rPr>
                      <w:rFonts w:ascii="Arial" w:hAnsi="Arial" w:cs="Arial"/>
                      <w:sz w:val="18"/>
                      <w:szCs w:val="18"/>
                    </w:rPr>
                  </w:pPr>
                </w:p>
              </w:tc>
            </w:tr>
            <w:tr w:rsidR="00AC2131" w:rsidTr="00AC2131">
              <w:tc>
                <w:tcPr>
                  <w:tcW w:w="2199" w:type="pct"/>
                  <w:shd w:val="clear" w:color="auto" w:fill="auto"/>
                </w:tcPr>
                <w:p w:rsidR="00AC2131" w:rsidRPr="007B3D99" w:rsidRDefault="00AC2131" w:rsidP="00AC2131">
                  <w:pPr>
                    <w:ind w:left="227"/>
                    <w:rPr>
                      <w:rFonts w:ascii="Arial" w:hAnsi="Arial" w:cs="Arial"/>
                      <w:sz w:val="18"/>
                      <w:szCs w:val="18"/>
                    </w:rPr>
                  </w:pPr>
                  <w:r w:rsidRPr="007B3D99">
                    <w:rPr>
                      <w:rFonts w:ascii="Arial" w:hAnsi="Arial" w:cs="Arial"/>
                      <w:sz w:val="18"/>
                      <w:szCs w:val="18"/>
                    </w:rPr>
                    <w:t>Dairy R</w:t>
                  </w:r>
                  <w:r>
                    <w:rPr>
                      <w:rFonts w:ascii="Arial" w:hAnsi="Arial" w:cs="Arial"/>
                      <w:sz w:val="18"/>
                      <w:szCs w:val="18"/>
                    </w:rPr>
                    <w:t>esearch &amp; Development</w:t>
                  </w:r>
                </w:p>
              </w:tc>
              <w:tc>
                <w:tcPr>
                  <w:tcW w:w="468" w:type="pct"/>
                  <w:vAlign w:val="bottom"/>
                </w:tcPr>
                <w:p w:rsidR="00AC2131" w:rsidRDefault="00AC2131" w:rsidP="00AC2131">
                  <w:pPr>
                    <w:pStyle w:val="TableBodyText"/>
                    <w:spacing w:after="0"/>
                    <w:ind w:left="227" w:right="57"/>
                  </w:pPr>
                  <w:r>
                    <w:t>19.2</w:t>
                  </w:r>
                </w:p>
              </w:tc>
              <w:tc>
                <w:tcPr>
                  <w:tcW w:w="467" w:type="pct"/>
                  <w:vAlign w:val="bottom"/>
                </w:tcPr>
                <w:p w:rsidR="00AC2131" w:rsidRDefault="00AC2131" w:rsidP="00AC2131">
                  <w:pPr>
                    <w:pStyle w:val="TableBodyText"/>
                    <w:spacing w:after="0"/>
                    <w:ind w:left="227" w:right="57"/>
                  </w:pPr>
                  <w:r>
                    <w:t>19.6</w:t>
                  </w:r>
                </w:p>
              </w:tc>
              <w:tc>
                <w:tcPr>
                  <w:tcW w:w="467" w:type="pct"/>
                  <w:vAlign w:val="bottom"/>
                </w:tcPr>
                <w:p w:rsidR="00AC2131" w:rsidRDefault="00AC2131" w:rsidP="00AC2131">
                  <w:pPr>
                    <w:pStyle w:val="TableBodyText"/>
                    <w:spacing w:after="0"/>
                    <w:ind w:left="227" w:right="57"/>
                  </w:pPr>
                  <w:r>
                    <w:t>18.8</w:t>
                  </w:r>
                </w:p>
              </w:tc>
              <w:tc>
                <w:tcPr>
                  <w:tcW w:w="467" w:type="pct"/>
                  <w:vAlign w:val="bottom"/>
                </w:tcPr>
                <w:p w:rsidR="00AC2131" w:rsidRDefault="00AC2131" w:rsidP="00AC2131">
                  <w:pPr>
                    <w:pStyle w:val="TableBodyText"/>
                    <w:spacing w:after="0"/>
                    <w:ind w:left="227" w:right="57"/>
                  </w:pPr>
                  <w:r>
                    <w:t>18.6</w:t>
                  </w:r>
                </w:p>
              </w:tc>
              <w:tc>
                <w:tcPr>
                  <w:tcW w:w="467" w:type="pct"/>
                  <w:shd w:val="clear" w:color="auto" w:fill="auto"/>
                  <w:vAlign w:val="bottom"/>
                </w:tcPr>
                <w:p w:rsidR="00AC2131" w:rsidRDefault="00AC2131" w:rsidP="00AC2131">
                  <w:pPr>
                    <w:pStyle w:val="TableBodyText"/>
                    <w:spacing w:after="0"/>
                    <w:ind w:left="227" w:right="57"/>
                  </w:pPr>
                  <w:r>
                    <w:t>19.3</w:t>
                  </w:r>
                </w:p>
              </w:tc>
              <w:tc>
                <w:tcPr>
                  <w:tcW w:w="464" w:type="pct"/>
                  <w:shd w:val="clear" w:color="auto" w:fill="auto"/>
                  <w:vAlign w:val="bottom"/>
                </w:tcPr>
                <w:p w:rsidR="00AC2131" w:rsidRDefault="00AC2131" w:rsidP="00AC2131">
                  <w:pPr>
                    <w:pStyle w:val="TableBodyText"/>
                    <w:spacing w:after="0"/>
                    <w:ind w:left="227" w:right="57"/>
                  </w:pPr>
                  <w:r>
                    <w:t>20.4</w:t>
                  </w:r>
                </w:p>
              </w:tc>
            </w:tr>
            <w:tr w:rsidR="00AC2131" w:rsidTr="00AC2131">
              <w:tc>
                <w:tcPr>
                  <w:tcW w:w="2199" w:type="pct"/>
                </w:tcPr>
                <w:p w:rsidR="00AC2131" w:rsidRPr="00CF25D7" w:rsidRDefault="00AC2131" w:rsidP="00AC2131">
                  <w:pPr>
                    <w:pStyle w:val="TableUnitsRow"/>
                    <w:spacing w:after="0"/>
                    <w:ind w:left="113"/>
                    <w:jc w:val="left"/>
                    <w:rPr>
                      <w:i/>
                    </w:rPr>
                  </w:pPr>
                  <w:r w:rsidRPr="00CF25D7">
                    <w:rPr>
                      <w:i/>
                    </w:rPr>
                    <w:t>General export measures</w:t>
                  </w:r>
                </w:p>
              </w:tc>
              <w:tc>
                <w:tcPr>
                  <w:tcW w:w="468"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4" w:type="pct"/>
                </w:tcPr>
                <w:p w:rsidR="00AC2131" w:rsidRDefault="00AC2131" w:rsidP="00AC2131">
                  <w:pPr>
                    <w:pStyle w:val="TableUnitsRow"/>
                    <w:spacing w:after="0"/>
                    <w:ind w:left="113" w:right="28"/>
                  </w:pPr>
                </w:p>
              </w:tc>
            </w:tr>
            <w:tr w:rsidR="00AC2131" w:rsidTr="00AC2131">
              <w:tc>
                <w:tcPr>
                  <w:tcW w:w="2199" w:type="pct"/>
                  <w:vAlign w:val="bottom"/>
                </w:tcPr>
                <w:p w:rsidR="00AC2131" w:rsidRPr="00CF25D7" w:rsidRDefault="00AC2131" w:rsidP="00AC2131">
                  <w:pPr>
                    <w:ind w:left="227"/>
                    <w:rPr>
                      <w:rFonts w:ascii="Arial" w:hAnsi="Arial" w:cs="Arial"/>
                      <w:color w:val="000000"/>
                      <w:sz w:val="18"/>
                      <w:szCs w:val="18"/>
                    </w:rPr>
                  </w:pPr>
                  <w:r w:rsidRPr="00CF25D7">
                    <w:rPr>
                      <w:rFonts w:ascii="Arial" w:hAnsi="Arial" w:cs="Arial"/>
                      <w:color w:val="000000"/>
                      <w:sz w:val="18"/>
                      <w:szCs w:val="18"/>
                    </w:rPr>
                    <w:t>Export Market Development Grants Scheme</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4" w:type="pct"/>
                  <w:vAlign w:val="bottom"/>
                </w:tcPr>
                <w:p w:rsidR="00AC2131" w:rsidRDefault="00AC2131" w:rsidP="00AC2131">
                  <w:pPr>
                    <w:pStyle w:val="TableBodyText"/>
                    <w:spacing w:after="0"/>
                    <w:ind w:left="0" w:right="57"/>
                  </w:pPr>
                  <w:r>
                    <w:t>0.1</w:t>
                  </w:r>
                </w:p>
              </w:tc>
            </w:tr>
            <w:tr w:rsidR="00AC2131" w:rsidTr="00AC2131">
              <w:tc>
                <w:tcPr>
                  <w:tcW w:w="2199" w:type="pct"/>
                  <w:shd w:val="clear" w:color="auto" w:fill="auto"/>
                  <w:vAlign w:val="bottom"/>
                </w:tcPr>
                <w:p w:rsidR="00AC2131" w:rsidRPr="00CF25D7" w:rsidRDefault="00AC2131" w:rsidP="00AC2131">
                  <w:pPr>
                    <w:ind w:left="227"/>
                    <w:rPr>
                      <w:rFonts w:ascii="Arial" w:hAnsi="Arial" w:cs="Arial"/>
                      <w:color w:val="000000"/>
                      <w:sz w:val="18"/>
                      <w:szCs w:val="18"/>
                    </w:rPr>
                  </w:pPr>
                  <w:r w:rsidRPr="00CF25D7">
                    <w:rPr>
                      <w:rFonts w:ascii="Arial" w:hAnsi="Arial" w:cs="Arial"/>
                      <w:color w:val="000000"/>
                      <w:sz w:val="18"/>
                      <w:szCs w:val="18"/>
                    </w:rPr>
                    <w:t>TRADEX</w:t>
                  </w:r>
                </w:p>
              </w:tc>
              <w:tc>
                <w:tcPr>
                  <w:tcW w:w="468"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0.4</w:t>
                  </w:r>
                </w:p>
              </w:tc>
              <w:tc>
                <w:tcPr>
                  <w:tcW w:w="464" w:type="pct"/>
                  <w:shd w:val="clear" w:color="auto" w:fill="auto"/>
                  <w:vAlign w:val="bottom"/>
                </w:tcPr>
                <w:p w:rsidR="00AC2131" w:rsidRDefault="00AC2131" w:rsidP="00AC2131">
                  <w:pPr>
                    <w:pStyle w:val="TableBodyText"/>
                    <w:spacing w:after="0"/>
                    <w:ind w:left="0" w:right="57"/>
                  </w:pPr>
                  <w:r>
                    <w:t>0.4</w:t>
                  </w:r>
                </w:p>
              </w:tc>
            </w:tr>
            <w:tr w:rsidR="00AC2131" w:rsidTr="00AC2131">
              <w:tc>
                <w:tcPr>
                  <w:tcW w:w="2199" w:type="pct"/>
                  <w:shd w:val="clear" w:color="auto" w:fill="auto"/>
                </w:tcPr>
                <w:p w:rsidR="00AC2131" w:rsidRPr="00CF25D7" w:rsidRDefault="00AC2131" w:rsidP="00AC2131">
                  <w:pPr>
                    <w:pStyle w:val="TableBodyText"/>
                    <w:spacing w:before="40" w:after="0"/>
                    <w:ind w:left="113"/>
                    <w:jc w:val="left"/>
                    <w:rPr>
                      <w:i/>
                    </w:rPr>
                  </w:pPr>
                  <w:r w:rsidRPr="00CF25D7">
                    <w:rPr>
                      <w:i/>
                    </w:rPr>
                    <w:t>General R&amp;D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4"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CF25D7" w:rsidRDefault="00AC2131" w:rsidP="00AC2131">
                  <w:pPr>
                    <w:ind w:left="227"/>
                    <w:rPr>
                      <w:rFonts w:ascii="Arial" w:hAnsi="Arial" w:cs="Arial"/>
                      <w:color w:val="000000"/>
                      <w:sz w:val="18"/>
                      <w:szCs w:val="18"/>
                    </w:rPr>
                  </w:pPr>
                  <w:r w:rsidRPr="00CF25D7">
                    <w:rPr>
                      <w:rFonts w:ascii="Arial" w:hAnsi="Arial" w:cs="Arial"/>
                      <w:color w:val="000000"/>
                      <w:sz w:val="18"/>
                      <w:szCs w:val="18"/>
                    </w:rPr>
                    <w:t>Cooperative Research Centres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3.0</w:t>
                  </w:r>
                </w:p>
              </w:tc>
              <w:tc>
                <w:tcPr>
                  <w:tcW w:w="467" w:type="pct"/>
                  <w:vAlign w:val="bottom"/>
                </w:tcPr>
                <w:p w:rsidR="00AC2131" w:rsidRDefault="00AC2131" w:rsidP="00AC2131">
                  <w:pPr>
                    <w:pStyle w:val="TableBodyText"/>
                    <w:spacing w:after="0"/>
                    <w:ind w:left="0" w:right="57"/>
                  </w:pPr>
                  <w:r>
                    <w:t>4.8</w:t>
                  </w:r>
                </w:p>
              </w:tc>
              <w:tc>
                <w:tcPr>
                  <w:tcW w:w="467" w:type="pct"/>
                  <w:vAlign w:val="bottom"/>
                </w:tcPr>
                <w:p w:rsidR="00AC2131" w:rsidRDefault="00AC2131" w:rsidP="00AC2131">
                  <w:pPr>
                    <w:pStyle w:val="TableBodyText"/>
                    <w:spacing w:after="0"/>
                    <w:ind w:left="0" w:right="57"/>
                  </w:pPr>
                  <w:r>
                    <w:t>4.8</w:t>
                  </w:r>
                </w:p>
              </w:tc>
              <w:tc>
                <w:tcPr>
                  <w:tcW w:w="467" w:type="pct"/>
                  <w:shd w:val="clear" w:color="auto" w:fill="auto"/>
                  <w:vAlign w:val="bottom"/>
                </w:tcPr>
                <w:p w:rsidR="00AC2131" w:rsidRDefault="00AC2131" w:rsidP="00AC2131">
                  <w:pPr>
                    <w:pStyle w:val="TableBodyText"/>
                    <w:spacing w:after="0"/>
                    <w:ind w:left="0" w:right="57"/>
                  </w:pPr>
                  <w:r>
                    <w:t>4.8</w:t>
                  </w:r>
                </w:p>
              </w:tc>
              <w:tc>
                <w:tcPr>
                  <w:tcW w:w="464" w:type="pct"/>
                  <w:shd w:val="clear" w:color="auto" w:fill="auto"/>
                  <w:vAlign w:val="bottom"/>
                </w:tcPr>
                <w:p w:rsidR="00AC2131" w:rsidRDefault="00AC2131" w:rsidP="00AC2131">
                  <w:pPr>
                    <w:pStyle w:val="TableBodyText"/>
                    <w:spacing w:after="0"/>
                    <w:ind w:left="0" w:right="57"/>
                  </w:pPr>
                  <w:r>
                    <w:t>4.8</w:t>
                  </w:r>
                </w:p>
              </w:tc>
            </w:tr>
            <w:tr w:rsidR="00AC2131" w:rsidTr="00AC2131">
              <w:tc>
                <w:tcPr>
                  <w:tcW w:w="2199" w:type="pct"/>
                  <w:shd w:val="clear" w:color="auto" w:fill="auto"/>
                  <w:vAlign w:val="bottom"/>
                </w:tcPr>
                <w:p w:rsidR="00AC2131" w:rsidRPr="00CF25D7" w:rsidRDefault="00AC2131" w:rsidP="00AC2131">
                  <w:pPr>
                    <w:ind w:left="227"/>
                    <w:rPr>
                      <w:rFonts w:ascii="Arial" w:hAnsi="Arial" w:cs="Arial"/>
                      <w:color w:val="000000"/>
                      <w:sz w:val="18"/>
                      <w:szCs w:val="18"/>
                    </w:rPr>
                  </w:pPr>
                  <w:r w:rsidRPr="00CF25D7">
                    <w:rPr>
                      <w:rFonts w:ascii="Arial" w:hAnsi="Arial" w:cs="Arial"/>
                      <w:color w:val="000000"/>
                      <w:sz w:val="18"/>
                      <w:szCs w:val="18"/>
                    </w:rPr>
                    <w:t>CSIRO</w:t>
                  </w:r>
                </w:p>
              </w:tc>
              <w:tc>
                <w:tcPr>
                  <w:tcW w:w="468"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1.5</w:t>
                  </w:r>
                </w:p>
              </w:tc>
              <w:tc>
                <w:tcPr>
                  <w:tcW w:w="467" w:type="pct"/>
                  <w:vAlign w:val="bottom"/>
                </w:tcPr>
                <w:p w:rsidR="00AC2131" w:rsidRDefault="00AC2131" w:rsidP="00AC2131">
                  <w:pPr>
                    <w:pStyle w:val="TableBodyText"/>
                    <w:spacing w:after="0"/>
                    <w:ind w:left="0" w:right="57"/>
                  </w:pPr>
                  <w:r>
                    <w:t>10.7</w:t>
                  </w:r>
                </w:p>
              </w:tc>
              <w:tc>
                <w:tcPr>
                  <w:tcW w:w="467" w:type="pct"/>
                  <w:shd w:val="clear" w:color="auto" w:fill="auto"/>
                  <w:vAlign w:val="bottom"/>
                </w:tcPr>
                <w:p w:rsidR="00AC2131" w:rsidRDefault="00AC2131" w:rsidP="00AC2131">
                  <w:pPr>
                    <w:pStyle w:val="TableBodyText"/>
                    <w:spacing w:after="0"/>
                    <w:ind w:left="0" w:right="57"/>
                  </w:pPr>
                  <w:r>
                    <w:t>1.8</w:t>
                  </w:r>
                </w:p>
              </w:tc>
              <w:tc>
                <w:tcPr>
                  <w:tcW w:w="464" w:type="pct"/>
                  <w:shd w:val="clear" w:color="auto" w:fill="auto"/>
                  <w:vAlign w:val="bottom"/>
                </w:tcPr>
                <w:p w:rsidR="00AC2131" w:rsidRDefault="00AC2131" w:rsidP="00AC2131">
                  <w:pPr>
                    <w:pStyle w:val="TableBodyText"/>
                    <w:spacing w:after="0"/>
                    <w:ind w:left="0" w:right="57"/>
                  </w:pPr>
                  <w:r>
                    <w:t>1.7</w:t>
                  </w:r>
                </w:p>
              </w:tc>
            </w:tr>
            <w:tr w:rsidR="00AC2131" w:rsidTr="00AC2131">
              <w:tc>
                <w:tcPr>
                  <w:tcW w:w="2199" w:type="pct"/>
                  <w:shd w:val="clear" w:color="auto" w:fill="auto"/>
                  <w:vAlign w:val="bottom"/>
                </w:tcPr>
                <w:p w:rsidR="00AC2131" w:rsidRPr="00CF25D7" w:rsidRDefault="00AC2131" w:rsidP="00AC2131">
                  <w:pPr>
                    <w:ind w:left="227"/>
                    <w:rPr>
                      <w:rFonts w:ascii="Arial" w:hAnsi="Arial" w:cs="Arial"/>
                      <w:color w:val="000000"/>
                      <w:sz w:val="18"/>
                      <w:szCs w:val="18"/>
                    </w:rPr>
                  </w:pPr>
                  <w:r w:rsidRPr="00CF25D7">
                    <w:rPr>
                      <w:rFonts w:ascii="Arial" w:hAnsi="Arial" w:cs="Arial"/>
                      <w:color w:val="000000"/>
                      <w:sz w:val="18"/>
                      <w:szCs w:val="18"/>
                    </w:rPr>
                    <w:t>New Industries Development Program</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CF25D7"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shd w:val="clear" w:color="auto" w:fill="auto"/>
                  <w:vAlign w:val="bottom"/>
                </w:tcPr>
                <w:p w:rsidR="00AC2131" w:rsidRPr="00CF25D7"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&lt;0.1</w:t>
                  </w:r>
                </w:p>
              </w:tc>
              <w:tc>
                <w:tcPr>
                  <w:tcW w:w="464"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shd w:val="clear" w:color="auto" w:fill="auto"/>
                  <w:vAlign w:val="bottom"/>
                </w:tcPr>
                <w:p w:rsidR="00AC2131" w:rsidRPr="00CF25D7"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A53FD7" w:rsidRDefault="00AC2131" w:rsidP="00AC2131">
                  <w:pPr>
                    <w:pStyle w:val="TableBodyText"/>
                    <w:spacing w:before="40" w:after="0"/>
                    <w:ind w:left="113"/>
                    <w:jc w:val="left"/>
                    <w:rPr>
                      <w:i/>
                    </w:rPr>
                  </w:pPr>
                  <w:r w:rsidRPr="00A53FD7">
                    <w:rPr>
                      <w:i/>
                    </w:rPr>
                    <w:t>Other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4"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A53FD7" w:rsidRDefault="00AC2131" w:rsidP="00AC2131">
                  <w:pPr>
                    <w:ind w:left="227"/>
                    <w:rPr>
                      <w:rFonts w:ascii="Arial" w:hAnsi="Arial" w:cs="Arial"/>
                      <w:color w:val="000000"/>
                      <w:sz w:val="18"/>
                      <w:szCs w:val="18"/>
                    </w:rPr>
                  </w:pPr>
                  <w:r w:rsidRPr="00A53FD7">
                    <w:rPr>
                      <w:rFonts w:ascii="Arial" w:hAnsi="Arial" w:cs="Arial"/>
                      <w:color w:val="000000"/>
                      <w:sz w:val="18"/>
                      <w:szCs w:val="18"/>
                    </w:rPr>
                    <w:t>25 per cent entrepreneurs' tax offset</w:t>
                  </w:r>
                </w:p>
              </w:tc>
              <w:tc>
                <w:tcPr>
                  <w:tcW w:w="468"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0.1</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A53FD7" w:rsidRDefault="00AC2131" w:rsidP="00AC2131">
                  <w:pPr>
                    <w:ind w:left="227"/>
                    <w:rPr>
                      <w:rFonts w:ascii="Arial" w:hAnsi="Arial" w:cs="Arial"/>
                      <w:color w:val="000000"/>
                      <w:sz w:val="18"/>
                      <w:szCs w:val="18"/>
                    </w:rPr>
                  </w:pPr>
                  <w:r w:rsidRPr="00A53FD7">
                    <w:rPr>
                      <w:rFonts w:ascii="Arial" w:hAnsi="Arial" w:cs="Arial"/>
                      <w:color w:val="000000"/>
                      <w:sz w:val="18"/>
                      <w:szCs w:val="18"/>
                    </w:rPr>
                    <w:t>North East Tasmania Innovation and Investment Fund</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A53FD7" w:rsidRDefault="00AC2131" w:rsidP="00AC2131">
                  <w:pPr>
                    <w:ind w:left="227"/>
                    <w:rPr>
                      <w:rFonts w:ascii="Arial" w:hAnsi="Arial" w:cs="Arial"/>
                      <w:color w:val="000000"/>
                      <w:sz w:val="18"/>
                      <w:szCs w:val="18"/>
                    </w:rPr>
                  </w:pPr>
                  <w:r w:rsidRPr="00A53FD7">
                    <w:rPr>
                      <w:rFonts w:ascii="Arial" w:hAnsi="Arial" w:cs="Arial"/>
                      <w:color w:val="000000"/>
                      <w:sz w:val="18"/>
                      <w:szCs w:val="18"/>
                    </w:rPr>
                    <w:t>Scottsdale Industry and Community Development Fund</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A53FD7"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8"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-0.2</w:t>
                  </w:r>
                </w:p>
              </w:tc>
              <w:tc>
                <w:tcPr>
                  <w:tcW w:w="464" w:type="pct"/>
                  <w:shd w:val="clear" w:color="auto" w:fill="auto"/>
                  <w:vAlign w:val="bottom"/>
                </w:tcPr>
                <w:p w:rsidR="00AC2131" w:rsidRDefault="00AC2131" w:rsidP="00AC2131">
                  <w:pPr>
                    <w:pStyle w:val="TableBodyText"/>
                    <w:spacing w:after="0"/>
                    <w:ind w:left="0" w:right="57"/>
                  </w:pPr>
                  <w:r>
                    <w:t>8.4</w:t>
                  </w:r>
                </w:p>
              </w:tc>
            </w:tr>
            <w:tr w:rsidR="00AC2131" w:rsidTr="00AC2131">
              <w:tc>
                <w:tcPr>
                  <w:tcW w:w="2199" w:type="pct"/>
                  <w:shd w:val="clear" w:color="auto" w:fill="auto"/>
                  <w:vAlign w:val="bottom"/>
                </w:tcPr>
                <w:p w:rsidR="00AC2131" w:rsidRPr="00A53FD7" w:rsidRDefault="00AC2131" w:rsidP="00AC2131">
                  <w:pPr>
                    <w:ind w:left="227"/>
                    <w:rPr>
                      <w:rFonts w:ascii="Arial" w:hAnsi="Arial" w:cs="Arial"/>
                      <w:color w:val="000000"/>
                      <w:sz w:val="18"/>
                      <w:szCs w:val="18"/>
                    </w:rPr>
                  </w:pPr>
                  <w:r w:rsidRPr="00A53FD7">
                    <w:rPr>
                      <w:rFonts w:ascii="Arial" w:hAnsi="Arial" w:cs="Arial"/>
                      <w:color w:val="000000"/>
                      <w:sz w:val="18"/>
                      <w:szCs w:val="18"/>
                    </w:rPr>
                    <w:t xml:space="preserve">Small business </w:t>
                  </w:r>
                  <w:r>
                    <w:rPr>
                      <w:rFonts w:ascii="Arial" w:hAnsi="Arial" w:cs="Arial"/>
                      <w:color w:val="000000"/>
                      <w:sz w:val="18"/>
                      <w:szCs w:val="18"/>
                    </w:rPr>
                    <w:t>capital gains tax</w:t>
                  </w:r>
                  <w:r w:rsidRPr="00A53FD7">
                    <w:rPr>
                      <w:rFonts w:ascii="Arial" w:hAnsi="Arial" w:cs="Arial"/>
                      <w:color w:val="000000"/>
                      <w:sz w:val="18"/>
                      <w:szCs w:val="18"/>
                    </w:rPr>
                    <w:t xml:space="preserve"> 50 per cent reduction</w:t>
                  </w:r>
                </w:p>
              </w:tc>
              <w:tc>
                <w:tcPr>
                  <w:tcW w:w="468" w:type="pct"/>
                  <w:vAlign w:val="bottom"/>
                </w:tcPr>
                <w:p w:rsidR="00AC2131" w:rsidRDefault="00AC2131" w:rsidP="00AC2131">
                  <w:pPr>
                    <w:pStyle w:val="TableBodyText"/>
                    <w:spacing w:after="0"/>
                    <w:ind w:left="0" w:right="57"/>
                  </w:pPr>
                  <w:r>
                    <w:t>5.6</w:t>
                  </w:r>
                </w:p>
              </w:tc>
              <w:tc>
                <w:tcPr>
                  <w:tcW w:w="467" w:type="pct"/>
                  <w:vAlign w:val="bottom"/>
                </w:tcPr>
                <w:p w:rsidR="00AC2131" w:rsidRDefault="00AC2131" w:rsidP="00AC2131">
                  <w:pPr>
                    <w:pStyle w:val="TableBodyText"/>
                    <w:spacing w:after="0"/>
                    <w:ind w:left="0" w:right="57"/>
                  </w:pPr>
                  <w:r>
                    <w:t>4.9</w:t>
                  </w:r>
                </w:p>
              </w:tc>
              <w:tc>
                <w:tcPr>
                  <w:tcW w:w="467" w:type="pct"/>
                  <w:vAlign w:val="bottom"/>
                </w:tcPr>
                <w:p w:rsidR="00AC2131" w:rsidRDefault="00AC2131" w:rsidP="00AC2131">
                  <w:pPr>
                    <w:pStyle w:val="TableBodyText"/>
                    <w:spacing w:after="0"/>
                    <w:ind w:left="0" w:right="57"/>
                  </w:pPr>
                  <w:r>
                    <w:t>2.4</w:t>
                  </w:r>
                </w:p>
              </w:tc>
              <w:tc>
                <w:tcPr>
                  <w:tcW w:w="467" w:type="pct"/>
                  <w:vAlign w:val="bottom"/>
                </w:tcPr>
                <w:p w:rsidR="00AC2131" w:rsidRDefault="00AC2131" w:rsidP="00AC2131">
                  <w:pPr>
                    <w:pStyle w:val="TableBodyText"/>
                    <w:spacing w:after="0"/>
                    <w:ind w:left="0" w:right="57"/>
                  </w:pPr>
                  <w:r>
                    <w:t>2.1</w:t>
                  </w:r>
                </w:p>
              </w:tc>
              <w:tc>
                <w:tcPr>
                  <w:tcW w:w="467" w:type="pct"/>
                  <w:shd w:val="clear" w:color="auto" w:fill="auto"/>
                  <w:vAlign w:val="bottom"/>
                </w:tcPr>
                <w:p w:rsidR="00AC2131" w:rsidRDefault="00AC2131" w:rsidP="00AC2131">
                  <w:pPr>
                    <w:pStyle w:val="TableBodyText"/>
                    <w:spacing w:after="0"/>
                    <w:ind w:left="0" w:right="57"/>
                  </w:pPr>
                  <w:r>
                    <w:t>2.2</w:t>
                  </w:r>
                </w:p>
              </w:tc>
              <w:tc>
                <w:tcPr>
                  <w:tcW w:w="464" w:type="pct"/>
                  <w:shd w:val="clear" w:color="auto" w:fill="auto"/>
                  <w:vAlign w:val="bottom"/>
                </w:tcPr>
                <w:p w:rsidR="00AC2131" w:rsidRDefault="00AC2131" w:rsidP="00AC2131">
                  <w:pPr>
                    <w:pStyle w:val="TableBodyText"/>
                    <w:spacing w:after="0"/>
                    <w:ind w:left="0" w:right="57"/>
                  </w:pPr>
                  <w:r>
                    <w:t>2.3</w:t>
                  </w:r>
                </w:p>
              </w:tc>
            </w:tr>
            <w:tr w:rsidR="00AC2131" w:rsidTr="00AC2131">
              <w:tc>
                <w:tcPr>
                  <w:tcW w:w="2199" w:type="pct"/>
                  <w:shd w:val="clear" w:color="auto" w:fill="auto"/>
                  <w:vAlign w:val="bottom"/>
                </w:tcPr>
                <w:p w:rsidR="00AC2131" w:rsidRPr="00A53FD7" w:rsidRDefault="00AC2131" w:rsidP="00AC2131">
                  <w:pPr>
                    <w:ind w:left="227"/>
                    <w:rPr>
                      <w:rFonts w:ascii="Arial" w:hAnsi="Arial" w:cs="Arial"/>
                      <w:color w:val="000000"/>
                      <w:sz w:val="18"/>
                      <w:szCs w:val="18"/>
                    </w:rPr>
                  </w:pPr>
                  <w:r w:rsidRPr="00A53FD7">
                    <w:rPr>
                      <w:rFonts w:ascii="Arial" w:hAnsi="Arial" w:cs="Arial"/>
                      <w:color w:val="000000"/>
                      <w:sz w:val="18"/>
                      <w:szCs w:val="18"/>
                    </w:rPr>
                    <w:t xml:space="preserve">Small business </w:t>
                  </w:r>
                  <w:r>
                    <w:rPr>
                      <w:rFonts w:ascii="Arial" w:hAnsi="Arial" w:cs="Arial"/>
                      <w:color w:val="000000"/>
                      <w:sz w:val="18"/>
                      <w:szCs w:val="18"/>
                    </w:rPr>
                    <w:t>capital</w:t>
                  </w:r>
                  <w:r w:rsidRPr="00A53FD7">
                    <w:rPr>
                      <w:rFonts w:ascii="Arial" w:hAnsi="Arial" w:cs="Arial"/>
                      <w:color w:val="000000"/>
                      <w:sz w:val="18"/>
                      <w:szCs w:val="18"/>
                    </w:rPr>
                    <w:t xml:space="preserve"> </w:t>
                  </w:r>
                  <w:r>
                    <w:rPr>
                      <w:rFonts w:ascii="Arial" w:hAnsi="Arial" w:cs="Arial"/>
                      <w:color w:val="000000"/>
                      <w:sz w:val="18"/>
                      <w:szCs w:val="18"/>
                    </w:rPr>
                    <w:t xml:space="preserve">gains tax </w:t>
                  </w:r>
                  <w:r w:rsidRPr="00A53FD7">
                    <w:rPr>
                      <w:rFonts w:ascii="Arial" w:hAnsi="Arial" w:cs="Arial"/>
                      <w:color w:val="000000"/>
                      <w:sz w:val="18"/>
                      <w:szCs w:val="18"/>
                    </w:rPr>
                    <w:t>retirement exemption</w:t>
                  </w:r>
                </w:p>
              </w:tc>
              <w:tc>
                <w:tcPr>
                  <w:tcW w:w="468" w:type="pct"/>
                  <w:vAlign w:val="bottom"/>
                </w:tcPr>
                <w:p w:rsidR="00AC2131" w:rsidRDefault="00AC2131" w:rsidP="00AC2131">
                  <w:pPr>
                    <w:pStyle w:val="TableBodyText"/>
                    <w:spacing w:after="0"/>
                    <w:ind w:left="0" w:right="57"/>
                  </w:pPr>
                  <w:r>
                    <w:t>3.1</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0.9</w:t>
                  </w:r>
                </w:p>
              </w:tc>
              <w:tc>
                <w:tcPr>
                  <w:tcW w:w="464" w:type="pct"/>
                  <w:shd w:val="clear" w:color="auto" w:fill="auto"/>
                  <w:vAlign w:val="bottom"/>
                </w:tcPr>
                <w:p w:rsidR="00AC2131" w:rsidRDefault="00AC2131" w:rsidP="00AC2131">
                  <w:pPr>
                    <w:pStyle w:val="TableBodyText"/>
                    <w:spacing w:after="0"/>
                    <w:ind w:left="0" w:right="57"/>
                  </w:pPr>
                  <w:r>
                    <w:t>1.0</w:t>
                  </w:r>
                </w:p>
              </w:tc>
            </w:tr>
            <w:tr w:rsidR="00AC2131" w:rsidTr="00AC2131">
              <w:tc>
                <w:tcPr>
                  <w:tcW w:w="2199" w:type="pct"/>
                  <w:shd w:val="clear" w:color="auto" w:fill="auto"/>
                  <w:vAlign w:val="bottom"/>
                </w:tcPr>
                <w:p w:rsidR="00AC2131" w:rsidRPr="00A53FD7" w:rsidRDefault="00AC2131" w:rsidP="00AC2131">
                  <w:pPr>
                    <w:ind w:left="227"/>
                    <w:rPr>
                      <w:rFonts w:ascii="Arial" w:hAnsi="Arial" w:cs="Arial"/>
                      <w:color w:val="000000"/>
                      <w:sz w:val="18"/>
                      <w:szCs w:val="18"/>
                    </w:rPr>
                  </w:pPr>
                  <w:r w:rsidRPr="00A53FD7">
                    <w:rPr>
                      <w:rFonts w:ascii="Arial" w:hAnsi="Arial" w:cs="Arial"/>
                      <w:color w:val="000000"/>
                      <w:sz w:val="18"/>
                      <w:szCs w:val="18"/>
                    </w:rPr>
                    <w:t xml:space="preserve">Small business </w:t>
                  </w:r>
                  <w:r>
                    <w:rPr>
                      <w:rFonts w:ascii="Arial" w:hAnsi="Arial" w:cs="Arial"/>
                      <w:color w:val="000000"/>
                      <w:sz w:val="18"/>
                      <w:szCs w:val="18"/>
                    </w:rPr>
                    <w:t>capital gains tax</w:t>
                  </w:r>
                  <w:r w:rsidRPr="00A53FD7">
                    <w:rPr>
                      <w:rFonts w:ascii="Arial" w:hAnsi="Arial" w:cs="Arial"/>
                      <w:color w:val="000000"/>
                      <w:sz w:val="18"/>
                      <w:szCs w:val="18"/>
                    </w:rPr>
                    <w:t xml:space="preserve"> rollover deferral</w:t>
                  </w:r>
                </w:p>
              </w:tc>
              <w:tc>
                <w:tcPr>
                  <w:tcW w:w="468" w:type="pct"/>
                  <w:vAlign w:val="bottom"/>
                </w:tcPr>
                <w:p w:rsidR="00AC2131" w:rsidRDefault="00AC2131" w:rsidP="00AC2131">
                  <w:pPr>
                    <w:pStyle w:val="TableBodyText"/>
                    <w:spacing w:after="0"/>
                    <w:ind w:left="0" w:right="57"/>
                  </w:pPr>
                  <w:r>
                    <w:t>2.8</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0.5</w:t>
                  </w:r>
                </w:p>
              </w:tc>
              <w:tc>
                <w:tcPr>
                  <w:tcW w:w="464" w:type="pct"/>
                  <w:shd w:val="clear" w:color="auto" w:fill="auto"/>
                  <w:vAlign w:val="bottom"/>
                </w:tcPr>
                <w:p w:rsidR="00AC2131" w:rsidRDefault="00AC2131" w:rsidP="00AC2131">
                  <w:pPr>
                    <w:pStyle w:val="TableBodyText"/>
                    <w:spacing w:after="0"/>
                    <w:ind w:left="0" w:right="57"/>
                  </w:pPr>
                  <w:r>
                    <w:t>0.5</w:t>
                  </w:r>
                </w:p>
              </w:tc>
            </w:tr>
            <w:tr w:rsidR="00AC2131" w:rsidTr="00AC2131">
              <w:tc>
                <w:tcPr>
                  <w:tcW w:w="2199" w:type="pct"/>
                  <w:shd w:val="clear" w:color="auto" w:fill="auto"/>
                  <w:vAlign w:val="bottom"/>
                </w:tcPr>
                <w:p w:rsidR="00AC2131" w:rsidRPr="00A53FD7" w:rsidRDefault="00AC2131" w:rsidP="00AC2131">
                  <w:pPr>
                    <w:ind w:left="227"/>
                    <w:rPr>
                      <w:rFonts w:ascii="Arial" w:hAnsi="Arial" w:cs="Arial"/>
                      <w:color w:val="000000"/>
                      <w:sz w:val="18"/>
                      <w:szCs w:val="18"/>
                    </w:rPr>
                  </w:pPr>
                  <w:r w:rsidRPr="00A53FD7">
                    <w:rPr>
                      <w:rFonts w:ascii="Arial" w:hAnsi="Arial" w:cs="Arial"/>
                      <w:color w:val="000000"/>
                      <w:sz w:val="18"/>
                      <w:szCs w:val="18"/>
                    </w:rPr>
                    <w:t>The Small Business and General Business Tax Break</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13.0</w:t>
                  </w:r>
                </w:p>
              </w:tc>
              <w:tc>
                <w:tcPr>
                  <w:tcW w:w="467" w:type="pct"/>
                  <w:vAlign w:val="bottom"/>
                </w:tcPr>
                <w:p w:rsidR="00AC2131" w:rsidRDefault="00AC2131" w:rsidP="00AC2131">
                  <w:pPr>
                    <w:pStyle w:val="TableBodyText"/>
                    <w:spacing w:after="0"/>
                    <w:ind w:left="0" w:right="57"/>
                  </w:pPr>
                  <w:r>
                    <w:t>9.6</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0.1</w:t>
                  </w:r>
                </w:p>
              </w:tc>
              <w:tc>
                <w:tcPr>
                  <w:tcW w:w="464"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tcBorders>
                    <w:bottom w:val="single" w:sz="6" w:space="0" w:color="BFBFBF"/>
                  </w:tcBorders>
                  <w:shd w:val="clear" w:color="auto" w:fill="auto"/>
                </w:tcPr>
                <w:p w:rsidR="00AC2131" w:rsidRPr="000578B9" w:rsidRDefault="00AC2131" w:rsidP="00AC2131">
                  <w:pPr>
                    <w:pStyle w:val="TableBodyText"/>
                    <w:spacing w:before="20" w:after="20"/>
                    <w:jc w:val="left"/>
                    <w:rPr>
                      <w:i/>
                    </w:rPr>
                  </w:pPr>
                  <w:r w:rsidRPr="000578B9">
                    <w:rPr>
                      <w:i/>
                    </w:rPr>
                    <w:t>Total</w:t>
                  </w:r>
                  <w:r w:rsidRPr="006C31DD">
                    <w:rPr>
                      <w:rStyle w:val="NoteLabel"/>
                    </w:rPr>
                    <w:t>b</w:t>
                  </w:r>
                </w:p>
              </w:tc>
              <w:tc>
                <w:tcPr>
                  <w:tcW w:w="468" w:type="pct"/>
                  <w:tcBorders>
                    <w:bottom w:val="single" w:sz="6" w:space="0" w:color="BFBFBF"/>
                  </w:tcBorders>
                  <w:vAlign w:val="bottom"/>
                </w:tcPr>
                <w:p w:rsidR="00AC2131" w:rsidRPr="005D00CB" w:rsidRDefault="00AC2131" w:rsidP="00AC2131">
                  <w:pPr>
                    <w:pStyle w:val="TableBodyText"/>
                    <w:spacing w:before="20" w:after="20"/>
                    <w:ind w:left="0" w:right="57"/>
                    <w:rPr>
                      <w:i/>
                    </w:rPr>
                  </w:pPr>
                  <w:r w:rsidRPr="005D00CB">
                    <w:rPr>
                      <w:i/>
                    </w:rPr>
                    <w:t>144.6</w:t>
                  </w:r>
                </w:p>
              </w:tc>
              <w:tc>
                <w:tcPr>
                  <w:tcW w:w="467" w:type="pct"/>
                  <w:tcBorders>
                    <w:bottom w:val="single" w:sz="6" w:space="0" w:color="BFBFBF"/>
                  </w:tcBorders>
                  <w:vAlign w:val="bottom"/>
                </w:tcPr>
                <w:p w:rsidR="00AC2131" w:rsidRPr="005D00CB" w:rsidRDefault="00AC2131" w:rsidP="00AC2131">
                  <w:pPr>
                    <w:pStyle w:val="TableBodyText"/>
                    <w:spacing w:before="20" w:after="20"/>
                    <w:ind w:left="0" w:right="57"/>
                    <w:rPr>
                      <w:i/>
                    </w:rPr>
                  </w:pPr>
                  <w:r w:rsidRPr="005D00CB">
                    <w:rPr>
                      <w:i/>
                    </w:rPr>
                    <w:t>133.9</w:t>
                  </w:r>
                </w:p>
              </w:tc>
              <w:tc>
                <w:tcPr>
                  <w:tcW w:w="467" w:type="pct"/>
                  <w:tcBorders>
                    <w:bottom w:val="single" w:sz="6" w:space="0" w:color="BFBFBF"/>
                  </w:tcBorders>
                  <w:vAlign w:val="bottom"/>
                </w:tcPr>
                <w:p w:rsidR="00AC2131" w:rsidRPr="005D00CB" w:rsidRDefault="00AC2131" w:rsidP="00AC2131">
                  <w:pPr>
                    <w:pStyle w:val="TableBodyText"/>
                    <w:spacing w:before="20" w:after="20"/>
                    <w:ind w:left="0" w:right="57"/>
                    <w:rPr>
                      <w:i/>
                    </w:rPr>
                  </w:pPr>
                  <w:r w:rsidRPr="005D00CB">
                    <w:rPr>
                      <w:i/>
                    </w:rPr>
                    <w:t>96.6</w:t>
                  </w:r>
                </w:p>
              </w:tc>
              <w:tc>
                <w:tcPr>
                  <w:tcW w:w="467" w:type="pct"/>
                  <w:tcBorders>
                    <w:bottom w:val="single" w:sz="6" w:space="0" w:color="BFBFBF"/>
                  </w:tcBorders>
                  <w:vAlign w:val="bottom"/>
                </w:tcPr>
                <w:p w:rsidR="00AC2131" w:rsidRPr="005D00CB" w:rsidRDefault="00AC2131" w:rsidP="00AC2131">
                  <w:pPr>
                    <w:pStyle w:val="TableBodyText"/>
                    <w:spacing w:before="20" w:after="20"/>
                    <w:ind w:left="0" w:right="57"/>
                    <w:rPr>
                      <w:i/>
                    </w:rPr>
                  </w:pPr>
                  <w:r w:rsidRPr="005D00CB">
                    <w:rPr>
                      <w:i/>
                    </w:rPr>
                    <w:t>77.6</w:t>
                  </w:r>
                </w:p>
              </w:tc>
              <w:tc>
                <w:tcPr>
                  <w:tcW w:w="467" w:type="pct"/>
                  <w:tcBorders>
                    <w:bottom w:val="single" w:sz="6" w:space="0" w:color="BFBFBF"/>
                  </w:tcBorders>
                  <w:shd w:val="clear" w:color="auto" w:fill="auto"/>
                  <w:vAlign w:val="bottom"/>
                </w:tcPr>
                <w:p w:rsidR="00AC2131" w:rsidRPr="005D00CB" w:rsidRDefault="00AC2131" w:rsidP="00AC2131">
                  <w:pPr>
                    <w:pStyle w:val="TableBodyText"/>
                    <w:spacing w:before="20" w:after="20"/>
                    <w:ind w:left="0" w:right="57"/>
                    <w:rPr>
                      <w:i/>
                    </w:rPr>
                  </w:pPr>
                  <w:r w:rsidRPr="005D00CB">
                    <w:rPr>
                      <w:i/>
                    </w:rPr>
                    <w:t>50.7</w:t>
                  </w:r>
                </w:p>
              </w:tc>
              <w:tc>
                <w:tcPr>
                  <w:tcW w:w="464" w:type="pct"/>
                  <w:tcBorders>
                    <w:bottom w:val="single" w:sz="6" w:space="0" w:color="BFBFBF"/>
                  </w:tcBorders>
                  <w:shd w:val="clear" w:color="auto" w:fill="auto"/>
                  <w:vAlign w:val="bottom"/>
                </w:tcPr>
                <w:p w:rsidR="00AC2131" w:rsidRPr="005D00CB" w:rsidRDefault="00AC2131" w:rsidP="00AC2131">
                  <w:pPr>
                    <w:pStyle w:val="TableBodyText"/>
                    <w:spacing w:before="20" w:after="20"/>
                    <w:ind w:left="0" w:right="57"/>
                    <w:rPr>
                      <w:i/>
                    </w:rPr>
                  </w:pPr>
                  <w:r w:rsidRPr="005D00CB">
                    <w:rPr>
                      <w:i/>
                    </w:rPr>
                    <w:t>63.7</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jc w:val="right"/>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A.10</w:t>
            </w:r>
            <w:r>
              <w:tab/>
            </w:r>
            <w:r w:rsidRPr="006B64DF">
              <w:rPr>
                <w:b w:val="0"/>
                <w:sz w:val="18"/>
                <w:szCs w:val="18"/>
              </w:rPr>
              <w:t>(continued)</w:t>
            </w:r>
          </w:p>
        </w:tc>
      </w:tr>
      <w:tr w:rsidR="00AC2131" w:rsidTr="00AC2131">
        <w:trPr>
          <w:cantSplit/>
        </w:trPr>
        <w:tc>
          <w:tcPr>
            <w:tcW w:w="8767" w:type="dxa"/>
            <w:tcBorders>
              <w:top w:val="nil"/>
              <w:left w:val="nil"/>
              <w:bottom w:val="nil"/>
              <w:right w:val="nil"/>
            </w:tcBorders>
            <w:shd w:val="clear" w:color="auto" w:fill="auto"/>
          </w:tcPr>
          <w:tbl>
            <w:tblPr>
              <w:tblW w:w="8510" w:type="dxa"/>
              <w:tblLayout w:type="fixed"/>
              <w:tblCellMar>
                <w:top w:w="28" w:type="dxa"/>
                <w:left w:w="0" w:type="dxa"/>
                <w:right w:w="0" w:type="dxa"/>
              </w:tblCellMar>
              <w:tblLook w:val="0000" w:firstRow="0" w:lastRow="0" w:firstColumn="0" w:lastColumn="0" w:noHBand="0" w:noVBand="0"/>
            </w:tblPr>
            <w:tblGrid>
              <w:gridCol w:w="3742"/>
              <w:gridCol w:w="797"/>
              <w:gridCol w:w="795"/>
              <w:gridCol w:w="795"/>
              <w:gridCol w:w="795"/>
              <w:gridCol w:w="795"/>
              <w:gridCol w:w="791"/>
            </w:tblGrid>
            <w:tr w:rsidR="00AC2131" w:rsidTr="00AC2131">
              <w:tc>
                <w:tcPr>
                  <w:tcW w:w="21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8"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199" w:type="pct"/>
                  <w:shd w:val="clear" w:color="auto" w:fill="auto"/>
                </w:tcPr>
                <w:p w:rsidR="00AC2131" w:rsidRPr="000578B9" w:rsidRDefault="00AC2131" w:rsidP="00AC2131">
                  <w:pPr>
                    <w:pStyle w:val="TableBodyText"/>
                    <w:spacing w:before="40"/>
                    <w:jc w:val="left"/>
                    <w:rPr>
                      <w:b/>
                    </w:rPr>
                  </w:pPr>
                  <w:r w:rsidRPr="000578B9">
                    <w:rPr>
                      <w:b/>
                    </w:rPr>
                    <w:t>Other livestock farming</w:t>
                  </w:r>
                </w:p>
              </w:tc>
              <w:tc>
                <w:tcPr>
                  <w:tcW w:w="468"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5" w:type="pct"/>
                  <w:shd w:val="clear" w:color="auto" w:fill="auto"/>
                </w:tcPr>
                <w:p w:rsidR="00AC2131" w:rsidRDefault="00AC2131" w:rsidP="00AC2131">
                  <w:pPr>
                    <w:pStyle w:val="TableBodyText"/>
                    <w:spacing w:before="40"/>
                    <w:ind w:right="28"/>
                  </w:pPr>
                </w:p>
              </w:tc>
            </w:tr>
            <w:tr w:rsidR="00AC2131" w:rsidTr="00AC2131">
              <w:tc>
                <w:tcPr>
                  <w:tcW w:w="2199" w:type="pct"/>
                  <w:shd w:val="clear" w:color="auto" w:fill="auto"/>
                </w:tcPr>
                <w:p w:rsidR="00AC2131" w:rsidRPr="000578B9" w:rsidRDefault="00AC2131" w:rsidP="00AC2131">
                  <w:pPr>
                    <w:pStyle w:val="TableBodyText"/>
                    <w:spacing w:before="40" w:after="0"/>
                    <w:ind w:left="113"/>
                    <w:jc w:val="left"/>
                    <w:rPr>
                      <w:i/>
                    </w:rPr>
                  </w:pPr>
                  <w:r w:rsidRPr="000578B9">
                    <w:rPr>
                      <w:i/>
                    </w:rPr>
                    <w:t>Sector-specific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sidRPr="000578B9">
                    <w:rPr>
                      <w:rFonts w:ascii="Arial" w:hAnsi="Arial" w:cs="Arial"/>
                      <w:color w:val="000000"/>
                      <w:sz w:val="18"/>
                      <w:szCs w:val="18"/>
                    </w:rPr>
                    <w:t>Carbon Farming Futures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6.7</w:t>
                  </w:r>
                </w:p>
              </w:tc>
              <w:tc>
                <w:tcPr>
                  <w:tcW w:w="467" w:type="pct"/>
                  <w:shd w:val="clear" w:color="auto" w:fill="auto"/>
                  <w:vAlign w:val="bottom"/>
                </w:tcPr>
                <w:p w:rsidR="00AC2131" w:rsidRDefault="00AC2131" w:rsidP="00AC2131">
                  <w:pPr>
                    <w:pStyle w:val="TableBodyText"/>
                    <w:spacing w:after="0"/>
                    <w:ind w:left="0" w:right="57"/>
                  </w:pPr>
                  <w:r>
                    <w:t>3.8</w:t>
                  </w:r>
                </w:p>
              </w:tc>
              <w:tc>
                <w:tcPr>
                  <w:tcW w:w="465" w:type="pct"/>
                  <w:shd w:val="clear" w:color="auto" w:fill="auto"/>
                  <w:vAlign w:val="bottom"/>
                </w:tcPr>
                <w:p w:rsidR="00AC2131" w:rsidRDefault="00AC2131" w:rsidP="00AC2131">
                  <w:pPr>
                    <w:pStyle w:val="TableBodyText"/>
                    <w:spacing w:after="0"/>
                    <w:ind w:left="0" w:right="57"/>
                  </w:pPr>
                  <w:r>
                    <w:t>1.0</w:t>
                  </w: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interest rate subsidies</w:t>
                  </w:r>
                </w:p>
              </w:tc>
              <w:tc>
                <w:tcPr>
                  <w:tcW w:w="468" w:type="pct"/>
                  <w:vAlign w:val="bottom"/>
                </w:tcPr>
                <w:p w:rsidR="00AC2131" w:rsidRDefault="00AC2131" w:rsidP="00AC2131">
                  <w:pPr>
                    <w:pStyle w:val="TableBodyText"/>
                    <w:spacing w:after="0"/>
                    <w:ind w:left="0" w:right="57"/>
                  </w:pPr>
                  <w:r>
                    <w:t>5.9</w:t>
                  </w:r>
                </w:p>
              </w:tc>
              <w:tc>
                <w:tcPr>
                  <w:tcW w:w="467" w:type="pct"/>
                  <w:vAlign w:val="bottom"/>
                </w:tcPr>
                <w:p w:rsidR="00AC2131" w:rsidRDefault="00AC2131" w:rsidP="00AC2131">
                  <w:pPr>
                    <w:pStyle w:val="TableBodyText"/>
                    <w:spacing w:after="0"/>
                    <w:ind w:left="0" w:right="57"/>
                  </w:pPr>
                  <w:r>
                    <w:t>3.4</w:t>
                  </w:r>
                </w:p>
              </w:tc>
              <w:tc>
                <w:tcPr>
                  <w:tcW w:w="467" w:type="pct"/>
                  <w:vAlign w:val="bottom"/>
                </w:tcPr>
                <w:p w:rsidR="00AC2131" w:rsidRDefault="00AC2131" w:rsidP="00AC2131">
                  <w:pPr>
                    <w:pStyle w:val="TableBodyText"/>
                    <w:spacing w:after="0"/>
                    <w:ind w:left="0" w:right="57"/>
                  </w:pPr>
                  <w:r>
                    <w:t>1.5</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relief payments</w:t>
                  </w:r>
                </w:p>
              </w:tc>
              <w:tc>
                <w:tcPr>
                  <w:tcW w:w="468" w:type="pct"/>
                  <w:vAlign w:val="bottom"/>
                </w:tcPr>
                <w:p w:rsidR="00AC2131" w:rsidRDefault="00AC2131" w:rsidP="00AC2131">
                  <w:pPr>
                    <w:pStyle w:val="TableBodyText"/>
                    <w:spacing w:after="0"/>
                    <w:ind w:left="0" w:right="57"/>
                  </w:pPr>
                  <w:r>
                    <w:t>4.3</w:t>
                  </w:r>
                </w:p>
              </w:tc>
              <w:tc>
                <w:tcPr>
                  <w:tcW w:w="467"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1.5</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sidRPr="000578B9">
                    <w:rPr>
                      <w:rFonts w:ascii="Arial" w:hAnsi="Arial" w:cs="Arial"/>
                      <w:color w:val="000000"/>
                      <w:sz w:val="18"/>
                      <w:szCs w:val="18"/>
                    </w:rPr>
                    <w:t>Farm Help</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sidRPr="000578B9">
                    <w:rPr>
                      <w:rFonts w:ascii="Arial" w:hAnsi="Arial" w:cs="Arial"/>
                      <w:color w:val="000000"/>
                      <w:sz w:val="18"/>
                      <w:szCs w:val="18"/>
                    </w:rPr>
                    <w:t>Farm Management Deposits Scheme</w:t>
                  </w:r>
                </w:p>
              </w:tc>
              <w:tc>
                <w:tcPr>
                  <w:tcW w:w="468" w:type="pct"/>
                  <w:vAlign w:val="bottom"/>
                </w:tcPr>
                <w:p w:rsidR="00AC2131" w:rsidRDefault="00AC2131" w:rsidP="00AC2131">
                  <w:pPr>
                    <w:pStyle w:val="TableBodyText"/>
                    <w:spacing w:after="0"/>
                    <w:ind w:left="0" w:right="57"/>
                  </w:pPr>
                  <w:r>
                    <w:t>6.1</w:t>
                  </w:r>
                </w:p>
              </w:tc>
              <w:tc>
                <w:tcPr>
                  <w:tcW w:w="467" w:type="pct"/>
                  <w:vAlign w:val="bottom"/>
                </w:tcPr>
                <w:p w:rsidR="00AC2131" w:rsidRDefault="00AC2131" w:rsidP="00AC2131">
                  <w:pPr>
                    <w:pStyle w:val="TableBodyText"/>
                    <w:spacing w:after="0"/>
                    <w:ind w:left="0" w:right="57"/>
                  </w:pPr>
                  <w:r>
                    <w:t>4.1</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12.3</w:t>
                  </w:r>
                </w:p>
              </w:tc>
              <w:tc>
                <w:tcPr>
                  <w:tcW w:w="467" w:type="pct"/>
                  <w:shd w:val="clear" w:color="auto" w:fill="auto"/>
                  <w:vAlign w:val="bottom"/>
                </w:tcPr>
                <w:p w:rsidR="00AC2131" w:rsidRDefault="00AC2131" w:rsidP="00AC2131">
                  <w:pPr>
                    <w:pStyle w:val="TableBodyText"/>
                    <w:spacing w:after="0"/>
                    <w:ind w:left="0" w:right="57"/>
                  </w:pPr>
                  <w:r>
                    <w:t>4.8</w:t>
                  </w:r>
                </w:p>
              </w:tc>
              <w:tc>
                <w:tcPr>
                  <w:tcW w:w="465" w:type="pct"/>
                  <w:shd w:val="clear" w:color="auto" w:fill="auto"/>
                  <w:vAlign w:val="bottom"/>
                </w:tcPr>
                <w:p w:rsidR="00AC2131" w:rsidRDefault="00AC2131" w:rsidP="00AC2131">
                  <w:pPr>
                    <w:pStyle w:val="TableBodyText"/>
                    <w:spacing w:after="0"/>
                    <w:ind w:left="0" w:right="57"/>
                  </w:pPr>
                  <w:r>
                    <w:t>4.2</w:t>
                  </w: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sidRPr="000578B9">
                    <w:rPr>
                      <w:rFonts w:ascii="Arial" w:hAnsi="Arial" w:cs="Arial"/>
                      <w:color w:val="000000"/>
                      <w:sz w:val="18"/>
                      <w:szCs w:val="18"/>
                    </w:rPr>
                    <w:t>Income tax averaging provisions</w:t>
                  </w:r>
                </w:p>
              </w:tc>
              <w:tc>
                <w:tcPr>
                  <w:tcW w:w="468" w:type="pct"/>
                  <w:vAlign w:val="bottom"/>
                </w:tcPr>
                <w:p w:rsidR="00AC2131" w:rsidRDefault="00AC2131" w:rsidP="00AC2131">
                  <w:pPr>
                    <w:pStyle w:val="TableBodyText"/>
                    <w:spacing w:after="0"/>
                    <w:ind w:left="0" w:right="57"/>
                  </w:pPr>
                  <w:r>
                    <w:t>3.7</w:t>
                  </w:r>
                </w:p>
              </w:tc>
              <w:tc>
                <w:tcPr>
                  <w:tcW w:w="467" w:type="pct"/>
                  <w:vAlign w:val="bottom"/>
                </w:tcPr>
                <w:p w:rsidR="00AC2131" w:rsidRDefault="00AC2131" w:rsidP="00AC2131">
                  <w:pPr>
                    <w:pStyle w:val="TableBodyText"/>
                    <w:spacing w:after="0"/>
                    <w:ind w:left="0" w:right="57"/>
                  </w:pPr>
                  <w:r>
                    <w:t>3.6</w:t>
                  </w:r>
                </w:p>
              </w:tc>
              <w:tc>
                <w:tcPr>
                  <w:tcW w:w="467" w:type="pct"/>
                  <w:vAlign w:val="bottom"/>
                </w:tcPr>
                <w:p w:rsidR="00AC2131" w:rsidRDefault="00AC2131" w:rsidP="00AC2131">
                  <w:pPr>
                    <w:pStyle w:val="TableBodyText"/>
                    <w:spacing w:after="0"/>
                    <w:ind w:left="0" w:right="57"/>
                  </w:pPr>
                  <w:r>
                    <w:t>4.5</w:t>
                  </w:r>
                </w:p>
              </w:tc>
              <w:tc>
                <w:tcPr>
                  <w:tcW w:w="467" w:type="pct"/>
                  <w:vAlign w:val="bottom"/>
                </w:tcPr>
                <w:p w:rsidR="00AC2131" w:rsidRDefault="00AC2131" w:rsidP="00AC2131">
                  <w:pPr>
                    <w:pStyle w:val="TableBodyText"/>
                    <w:spacing w:after="0"/>
                    <w:ind w:left="0" w:right="57"/>
                  </w:pPr>
                  <w:r>
                    <w:t>4.9</w:t>
                  </w:r>
                </w:p>
              </w:tc>
              <w:tc>
                <w:tcPr>
                  <w:tcW w:w="467" w:type="pct"/>
                  <w:shd w:val="clear" w:color="auto" w:fill="auto"/>
                  <w:vAlign w:val="bottom"/>
                </w:tcPr>
                <w:p w:rsidR="00AC2131" w:rsidRDefault="00AC2131" w:rsidP="00AC2131">
                  <w:pPr>
                    <w:pStyle w:val="TableBodyText"/>
                    <w:spacing w:after="0"/>
                    <w:ind w:left="0" w:right="57"/>
                  </w:pPr>
                  <w:r>
                    <w:t>4.5</w:t>
                  </w:r>
                </w:p>
              </w:tc>
              <w:tc>
                <w:tcPr>
                  <w:tcW w:w="465" w:type="pct"/>
                  <w:shd w:val="clear" w:color="auto" w:fill="auto"/>
                  <w:vAlign w:val="bottom"/>
                </w:tcPr>
                <w:p w:rsidR="00AC2131" w:rsidRDefault="00AC2131" w:rsidP="00AC2131">
                  <w:pPr>
                    <w:pStyle w:val="TableBodyText"/>
                    <w:spacing w:after="0"/>
                    <w:ind w:left="0" w:right="57"/>
                  </w:pPr>
                  <w:r>
                    <w:t>4.5</w:t>
                  </w: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sidRPr="000578B9">
                    <w:rPr>
                      <w:rFonts w:ascii="Arial" w:hAnsi="Arial" w:cs="Arial"/>
                      <w:color w:val="000000"/>
                      <w:sz w:val="18"/>
                      <w:szCs w:val="18"/>
                    </w:rPr>
                    <w:t>Industry partnerships program</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sidRPr="000578B9">
                    <w:rPr>
                      <w:rFonts w:ascii="Arial" w:hAnsi="Arial" w:cs="Arial"/>
                      <w:color w:val="000000"/>
                      <w:sz w:val="18"/>
                      <w:szCs w:val="18"/>
                    </w:rPr>
                    <w:t>Interim Income Support</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sidRPr="000578B9">
                    <w:rPr>
                      <w:rFonts w:ascii="Arial" w:hAnsi="Arial" w:cs="Arial"/>
                      <w:color w:val="000000"/>
                      <w:sz w:val="18"/>
                      <w:szCs w:val="18"/>
                    </w:rPr>
                    <w:t>Rural Financial Counselling Service</w:t>
                  </w:r>
                </w:p>
              </w:tc>
              <w:tc>
                <w:tcPr>
                  <w:tcW w:w="468"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0.7</w:t>
                  </w:r>
                </w:p>
              </w:tc>
              <w:tc>
                <w:tcPr>
                  <w:tcW w:w="465" w:type="pct"/>
                  <w:shd w:val="clear" w:color="auto" w:fill="auto"/>
                  <w:vAlign w:val="bottom"/>
                </w:tcPr>
                <w:p w:rsidR="00AC2131" w:rsidRDefault="00AC2131" w:rsidP="00AC2131">
                  <w:pPr>
                    <w:pStyle w:val="TableBodyText"/>
                    <w:spacing w:after="0"/>
                    <w:ind w:left="0" w:right="57"/>
                  </w:pPr>
                  <w:r>
                    <w:t>0.8</w:t>
                  </w: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sidRPr="000578B9">
                    <w:rPr>
                      <w:rFonts w:ascii="Arial" w:hAnsi="Arial" w:cs="Arial"/>
                      <w:color w:val="000000"/>
                      <w:sz w:val="18"/>
                      <w:szCs w:val="18"/>
                    </w:rPr>
                    <w:t>Tax deduction for conserving or conveying water</w:t>
                  </w:r>
                </w:p>
              </w:tc>
              <w:tc>
                <w:tcPr>
                  <w:tcW w:w="468"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1.0</w:t>
                  </w:r>
                </w:p>
              </w:tc>
              <w:tc>
                <w:tcPr>
                  <w:tcW w:w="467" w:type="pct"/>
                  <w:shd w:val="clear" w:color="auto" w:fill="auto"/>
                  <w:vAlign w:val="bottom"/>
                </w:tcPr>
                <w:p w:rsidR="00AC2131" w:rsidRDefault="00AC2131" w:rsidP="00AC2131">
                  <w:pPr>
                    <w:pStyle w:val="TableBodyText"/>
                    <w:spacing w:after="0"/>
                    <w:ind w:left="0" w:right="57"/>
                  </w:pPr>
                  <w:r>
                    <w:t>0.8</w:t>
                  </w:r>
                </w:p>
              </w:tc>
              <w:tc>
                <w:tcPr>
                  <w:tcW w:w="465" w:type="pct"/>
                  <w:shd w:val="clear" w:color="auto" w:fill="auto"/>
                  <w:vAlign w:val="bottom"/>
                </w:tcPr>
                <w:p w:rsidR="00AC2131" w:rsidRDefault="00AC2131" w:rsidP="00AC2131">
                  <w:pPr>
                    <w:pStyle w:val="TableBodyText"/>
                    <w:spacing w:after="0"/>
                    <w:ind w:left="0" w:right="57"/>
                  </w:pPr>
                  <w:r>
                    <w:t>0.1</w:t>
                  </w:r>
                </w:p>
              </w:tc>
            </w:tr>
            <w:tr w:rsidR="00AC2131" w:rsidTr="00AC2131">
              <w:tc>
                <w:tcPr>
                  <w:tcW w:w="2199" w:type="pct"/>
                  <w:shd w:val="clear" w:color="auto" w:fill="auto"/>
                </w:tcPr>
                <w:p w:rsidR="00AC2131" w:rsidRPr="000578B9" w:rsidRDefault="00AC2131" w:rsidP="00AC2131">
                  <w:pPr>
                    <w:pStyle w:val="TableBodyText"/>
                    <w:spacing w:before="40" w:after="0"/>
                    <w:ind w:left="113"/>
                    <w:jc w:val="left"/>
                    <w:rPr>
                      <w:i/>
                    </w:rPr>
                  </w:pPr>
                  <w:r w:rsidRPr="000578B9">
                    <w:rPr>
                      <w:i/>
                    </w:rPr>
                    <w:t>Rural R&amp;D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Pr>
                      <w:rFonts w:ascii="Arial" w:hAnsi="Arial" w:cs="Arial"/>
                      <w:color w:val="000000"/>
                      <w:sz w:val="18"/>
                      <w:szCs w:val="18"/>
                    </w:rPr>
                    <w:t>Egg Research &amp; Development</w:t>
                  </w:r>
                </w:p>
              </w:tc>
              <w:tc>
                <w:tcPr>
                  <w:tcW w:w="468"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1.9</w:t>
                  </w:r>
                </w:p>
              </w:tc>
              <w:tc>
                <w:tcPr>
                  <w:tcW w:w="467" w:type="pct"/>
                  <w:shd w:val="clear" w:color="auto" w:fill="auto"/>
                  <w:vAlign w:val="bottom"/>
                </w:tcPr>
                <w:p w:rsidR="00AC2131" w:rsidRDefault="00AC2131" w:rsidP="00AC2131">
                  <w:pPr>
                    <w:pStyle w:val="TableBodyText"/>
                    <w:spacing w:after="0"/>
                    <w:ind w:left="0" w:right="57"/>
                  </w:pPr>
                  <w:r>
                    <w:t>1.8</w:t>
                  </w:r>
                </w:p>
              </w:tc>
              <w:tc>
                <w:tcPr>
                  <w:tcW w:w="465" w:type="pct"/>
                  <w:shd w:val="clear" w:color="auto" w:fill="auto"/>
                  <w:vAlign w:val="bottom"/>
                </w:tcPr>
                <w:p w:rsidR="00AC2131" w:rsidRDefault="00AC2131" w:rsidP="00AC2131">
                  <w:pPr>
                    <w:pStyle w:val="TableBodyText"/>
                    <w:spacing w:after="0"/>
                    <w:ind w:left="0" w:right="57"/>
                  </w:pPr>
                  <w:r>
                    <w:t>1.9</w:t>
                  </w: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Pr>
                      <w:rFonts w:ascii="Arial" w:hAnsi="Arial" w:cs="Arial"/>
                      <w:color w:val="000000"/>
                      <w:sz w:val="18"/>
                      <w:szCs w:val="18"/>
                    </w:rPr>
                    <w:t>Pig Research &amp; Development</w:t>
                  </w:r>
                </w:p>
              </w:tc>
              <w:tc>
                <w:tcPr>
                  <w:tcW w:w="468" w:type="pct"/>
                  <w:vAlign w:val="bottom"/>
                </w:tcPr>
                <w:p w:rsidR="00AC2131" w:rsidRDefault="00AC2131" w:rsidP="00AC2131">
                  <w:pPr>
                    <w:pStyle w:val="TableBodyText"/>
                    <w:spacing w:after="0"/>
                    <w:ind w:left="0" w:right="57"/>
                  </w:pPr>
                  <w:r>
                    <w:t>2.8</w:t>
                  </w:r>
                </w:p>
              </w:tc>
              <w:tc>
                <w:tcPr>
                  <w:tcW w:w="467" w:type="pct"/>
                  <w:vAlign w:val="bottom"/>
                </w:tcPr>
                <w:p w:rsidR="00AC2131" w:rsidRDefault="00AC2131" w:rsidP="00AC2131">
                  <w:pPr>
                    <w:pStyle w:val="TableBodyText"/>
                    <w:spacing w:after="0"/>
                    <w:ind w:left="0" w:right="57"/>
                  </w:pPr>
                  <w:r>
                    <w:t>4.0</w:t>
                  </w:r>
                </w:p>
              </w:tc>
              <w:tc>
                <w:tcPr>
                  <w:tcW w:w="467" w:type="pct"/>
                  <w:vAlign w:val="bottom"/>
                </w:tcPr>
                <w:p w:rsidR="00AC2131" w:rsidRDefault="00AC2131" w:rsidP="00AC2131">
                  <w:pPr>
                    <w:pStyle w:val="TableBodyText"/>
                    <w:spacing w:after="0"/>
                    <w:ind w:left="0" w:right="57"/>
                  </w:pPr>
                  <w:r>
                    <w:t>4.3</w:t>
                  </w:r>
                </w:p>
              </w:tc>
              <w:tc>
                <w:tcPr>
                  <w:tcW w:w="467" w:type="pct"/>
                  <w:vAlign w:val="bottom"/>
                </w:tcPr>
                <w:p w:rsidR="00AC2131" w:rsidRDefault="00AC2131" w:rsidP="00AC2131">
                  <w:pPr>
                    <w:pStyle w:val="TableBodyText"/>
                    <w:spacing w:after="0"/>
                    <w:ind w:left="0" w:right="57"/>
                  </w:pPr>
                  <w:r>
                    <w:t>4.6</w:t>
                  </w:r>
                </w:p>
              </w:tc>
              <w:tc>
                <w:tcPr>
                  <w:tcW w:w="467" w:type="pct"/>
                  <w:shd w:val="clear" w:color="auto" w:fill="auto"/>
                  <w:vAlign w:val="bottom"/>
                </w:tcPr>
                <w:p w:rsidR="00AC2131" w:rsidRDefault="00AC2131" w:rsidP="00AC2131">
                  <w:pPr>
                    <w:pStyle w:val="TableBodyText"/>
                    <w:spacing w:after="0"/>
                    <w:ind w:left="0" w:right="57"/>
                  </w:pPr>
                  <w:r>
                    <w:t>4.5</w:t>
                  </w:r>
                </w:p>
              </w:tc>
              <w:tc>
                <w:tcPr>
                  <w:tcW w:w="465" w:type="pct"/>
                  <w:shd w:val="clear" w:color="auto" w:fill="auto"/>
                  <w:vAlign w:val="bottom"/>
                </w:tcPr>
                <w:p w:rsidR="00AC2131" w:rsidRDefault="00AC2131" w:rsidP="00AC2131">
                  <w:pPr>
                    <w:pStyle w:val="TableBodyText"/>
                    <w:spacing w:after="0"/>
                    <w:ind w:left="0" w:right="57"/>
                  </w:pPr>
                  <w:r>
                    <w:t>4.8</w:t>
                  </w:r>
                </w:p>
              </w:tc>
            </w:tr>
            <w:tr w:rsidR="00AC2131" w:rsidTr="00AC2131">
              <w:tc>
                <w:tcPr>
                  <w:tcW w:w="2199" w:type="pct"/>
                  <w:shd w:val="clear" w:color="auto" w:fill="auto"/>
                  <w:vAlign w:val="bottom"/>
                </w:tcPr>
                <w:p w:rsidR="00AC2131" w:rsidRPr="000578B9" w:rsidRDefault="00AC2131" w:rsidP="00AC2131">
                  <w:pPr>
                    <w:ind w:left="227"/>
                    <w:rPr>
                      <w:rFonts w:ascii="Arial" w:hAnsi="Arial" w:cs="Arial"/>
                      <w:color w:val="000000"/>
                      <w:sz w:val="18"/>
                      <w:szCs w:val="18"/>
                    </w:rPr>
                  </w:pPr>
                  <w:r w:rsidRPr="000578B9">
                    <w:rPr>
                      <w:rFonts w:ascii="Arial" w:hAnsi="Arial" w:cs="Arial"/>
                      <w:color w:val="000000"/>
                      <w:sz w:val="18"/>
                      <w:szCs w:val="18"/>
                    </w:rPr>
                    <w:t xml:space="preserve">Rural Industries </w:t>
                  </w:r>
                  <w:r>
                    <w:rPr>
                      <w:rFonts w:ascii="Arial" w:hAnsi="Arial" w:cs="Arial"/>
                      <w:color w:val="000000"/>
                      <w:sz w:val="18"/>
                      <w:szCs w:val="18"/>
                    </w:rPr>
                    <w:t xml:space="preserve">R&amp;D </w:t>
                  </w:r>
                  <w:r w:rsidRPr="000578B9">
                    <w:rPr>
                      <w:rFonts w:ascii="Arial" w:hAnsi="Arial" w:cs="Arial"/>
                      <w:color w:val="000000"/>
                      <w:sz w:val="18"/>
                      <w:szCs w:val="18"/>
                    </w:rPr>
                    <w:t>Corporation</w:t>
                  </w:r>
                </w:p>
              </w:tc>
              <w:tc>
                <w:tcPr>
                  <w:tcW w:w="468" w:type="pct"/>
                  <w:vAlign w:val="bottom"/>
                </w:tcPr>
                <w:p w:rsidR="00AC2131" w:rsidRDefault="00AC2131" w:rsidP="00AC2131">
                  <w:pPr>
                    <w:pStyle w:val="TableBodyText"/>
                    <w:spacing w:after="0"/>
                    <w:ind w:left="0" w:right="57"/>
                  </w:pPr>
                  <w:r>
                    <w:t>4.9</w:t>
                  </w:r>
                </w:p>
              </w:tc>
              <w:tc>
                <w:tcPr>
                  <w:tcW w:w="467" w:type="pct"/>
                  <w:vAlign w:val="bottom"/>
                </w:tcPr>
                <w:p w:rsidR="00AC2131" w:rsidRDefault="00AC2131" w:rsidP="00AC2131">
                  <w:pPr>
                    <w:pStyle w:val="TableBodyText"/>
                    <w:spacing w:after="0"/>
                    <w:ind w:left="0" w:right="57"/>
                  </w:pPr>
                  <w:r>
                    <w:t>4.1</w:t>
                  </w:r>
                </w:p>
              </w:tc>
              <w:tc>
                <w:tcPr>
                  <w:tcW w:w="467" w:type="pct"/>
                  <w:vAlign w:val="bottom"/>
                </w:tcPr>
                <w:p w:rsidR="00AC2131" w:rsidRDefault="00AC2131" w:rsidP="00AC2131">
                  <w:pPr>
                    <w:pStyle w:val="TableBodyText"/>
                    <w:spacing w:after="0"/>
                    <w:ind w:left="0" w:right="57"/>
                  </w:pPr>
                  <w:r>
                    <w:t>3.9</w:t>
                  </w:r>
                </w:p>
              </w:tc>
              <w:tc>
                <w:tcPr>
                  <w:tcW w:w="467" w:type="pct"/>
                  <w:vAlign w:val="bottom"/>
                </w:tcPr>
                <w:p w:rsidR="00AC2131" w:rsidRDefault="00AC2131" w:rsidP="00AC2131">
                  <w:pPr>
                    <w:pStyle w:val="TableBodyText"/>
                    <w:spacing w:after="0"/>
                    <w:ind w:left="0" w:right="57"/>
                  </w:pPr>
                  <w:r>
                    <w:t>4.4</w:t>
                  </w:r>
                </w:p>
              </w:tc>
              <w:tc>
                <w:tcPr>
                  <w:tcW w:w="467" w:type="pct"/>
                  <w:shd w:val="clear" w:color="auto" w:fill="auto"/>
                  <w:vAlign w:val="bottom"/>
                </w:tcPr>
                <w:p w:rsidR="00AC2131" w:rsidRDefault="00AC2131" w:rsidP="00AC2131">
                  <w:pPr>
                    <w:pStyle w:val="TableBodyText"/>
                    <w:spacing w:after="0"/>
                    <w:ind w:left="0" w:right="57"/>
                  </w:pPr>
                  <w:r>
                    <w:t>4.6</w:t>
                  </w:r>
                </w:p>
              </w:tc>
              <w:tc>
                <w:tcPr>
                  <w:tcW w:w="465" w:type="pct"/>
                  <w:shd w:val="clear" w:color="auto" w:fill="auto"/>
                  <w:vAlign w:val="bottom"/>
                </w:tcPr>
                <w:p w:rsidR="00AC2131" w:rsidRDefault="00AC2131" w:rsidP="00AC2131">
                  <w:pPr>
                    <w:pStyle w:val="TableBodyText"/>
                    <w:spacing w:after="0"/>
                    <w:ind w:left="0" w:right="57"/>
                  </w:pPr>
                  <w:r>
                    <w:t>3.9</w:t>
                  </w:r>
                </w:p>
              </w:tc>
            </w:tr>
            <w:tr w:rsidR="00AC2131" w:rsidTr="00AC2131">
              <w:tc>
                <w:tcPr>
                  <w:tcW w:w="2199" w:type="pct"/>
                </w:tcPr>
                <w:p w:rsidR="00AC2131" w:rsidRPr="009B7716" w:rsidRDefault="00AC2131" w:rsidP="00AC2131">
                  <w:pPr>
                    <w:pStyle w:val="TableUnitsRow"/>
                    <w:spacing w:after="0"/>
                    <w:ind w:left="113"/>
                    <w:jc w:val="left"/>
                    <w:rPr>
                      <w:i/>
                    </w:rPr>
                  </w:pPr>
                  <w:r w:rsidRPr="009B7716">
                    <w:rPr>
                      <w:i/>
                    </w:rPr>
                    <w:t>General export measures</w:t>
                  </w:r>
                </w:p>
              </w:tc>
              <w:tc>
                <w:tcPr>
                  <w:tcW w:w="468"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5" w:type="pct"/>
                </w:tcPr>
                <w:p w:rsidR="00AC2131" w:rsidRDefault="00AC2131" w:rsidP="00AC2131">
                  <w:pPr>
                    <w:pStyle w:val="TableUnitsRow"/>
                    <w:spacing w:after="0"/>
                    <w:ind w:left="113" w:right="28"/>
                  </w:pPr>
                </w:p>
              </w:tc>
            </w:tr>
            <w:tr w:rsidR="00AC2131" w:rsidTr="00AC2131">
              <w:tc>
                <w:tcPr>
                  <w:tcW w:w="2199" w:type="pct"/>
                </w:tcPr>
                <w:p w:rsidR="00AC2131" w:rsidRDefault="00AC2131" w:rsidP="00AC2131">
                  <w:pPr>
                    <w:pStyle w:val="TableBodyText"/>
                    <w:spacing w:after="0"/>
                    <w:ind w:left="227"/>
                    <w:jc w:val="left"/>
                  </w:pPr>
                  <w:r w:rsidRPr="009B7716">
                    <w:t>Export Market Development Grants Scheme</w:t>
                  </w:r>
                </w:p>
              </w:tc>
              <w:tc>
                <w:tcPr>
                  <w:tcW w:w="468"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0.6</w:t>
                  </w:r>
                </w:p>
              </w:tc>
              <w:tc>
                <w:tcPr>
                  <w:tcW w:w="465" w:type="pct"/>
                  <w:vAlign w:val="bottom"/>
                </w:tcPr>
                <w:p w:rsidR="00AC2131" w:rsidRDefault="00AC2131" w:rsidP="00AC2131">
                  <w:pPr>
                    <w:pStyle w:val="TableBodyText"/>
                    <w:spacing w:after="0"/>
                    <w:ind w:left="0" w:right="57"/>
                  </w:pPr>
                  <w:r>
                    <w:t>0.4</w:t>
                  </w:r>
                </w:p>
              </w:tc>
            </w:tr>
            <w:tr w:rsidR="00AC2131" w:rsidTr="00AC2131">
              <w:tc>
                <w:tcPr>
                  <w:tcW w:w="2199" w:type="pct"/>
                  <w:shd w:val="clear" w:color="auto" w:fill="auto"/>
                </w:tcPr>
                <w:p w:rsidR="00AC2131" w:rsidRPr="009B7716" w:rsidRDefault="00AC2131" w:rsidP="00AC2131">
                  <w:pPr>
                    <w:pStyle w:val="TableBodyText"/>
                    <w:spacing w:before="40" w:after="0"/>
                    <w:ind w:left="113"/>
                    <w:jc w:val="left"/>
                    <w:rPr>
                      <w:i/>
                    </w:rPr>
                  </w:pPr>
                  <w:r w:rsidRPr="009B7716">
                    <w:rPr>
                      <w:i/>
                    </w:rPr>
                    <w:t>General R&amp;D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Cooperative Research Centres</w:t>
                  </w:r>
                </w:p>
              </w:tc>
              <w:tc>
                <w:tcPr>
                  <w:tcW w:w="468" w:type="pct"/>
                  <w:vAlign w:val="bottom"/>
                </w:tcPr>
                <w:p w:rsidR="00AC2131" w:rsidRDefault="00AC2131" w:rsidP="00AC2131">
                  <w:pPr>
                    <w:pStyle w:val="TableBodyText"/>
                    <w:spacing w:after="0"/>
                    <w:ind w:left="0" w:right="57"/>
                  </w:pPr>
                  <w:r>
                    <w:t>7.2</w:t>
                  </w:r>
                </w:p>
              </w:tc>
              <w:tc>
                <w:tcPr>
                  <w:tcW w:w="467" w:type="pct"/>
                  <w:vAlign w:val="bottom"/>
                </w:tcPr>
                <w:p w:rsidR="00AC2131" w:rsidRDefault="00AC2131" w:rsidP="00AC2131">
                  <w:pPr>
                    <w:pStyle w:val="TableBodyText"/>
                    <w:spacing w:after="0"/>
                    <w:ind w:left="0" w:right="57"/>
                  </w:pPr>
                  <w:r>
                    <w:t>8.0</w:t>
                  </w:r>
                </w:p>
              </w:tc>
              <w:tc>
                <w:tcPr>
                  <w:tcW w:w="467" w:type="pct"/>
                  <w:vAlign w:val="bottom"/>
                </w:tcPr>
                <w:p w:rsidR="00AC2131" w:rsidRDefault="00AC2131" w:rsidP="00AC2131">
                  <w:pPr>
                    <w:pStyle w:val="TableBodyText"/>
                    <w:spacing w:after="0"/>
                    <w:ind w:left="0" w:right="57"/>
                  </w:pPr>
                  <w:r>
                    <w:t>8.2</w:t>
                  </w:r>
                </w:p>
              </w:tc>
              <w:tc>
                <w:tcPr>
                  <w:tcW w:w="467" w:type="pct"/>
                  <w:vAlign w:val="bottom"/>
                </w:tcPr>
                <w:p w:rsidR="00AC2131" w:rsidRDefault="00AC2131" w:rsidP="00AC2131">
                  <w:pPr>
                    <w:pStyle w:val="TableBodyText"/>
                    <w:spacing w:after="0"/>
                    <w:ind w:left="0" w:right="57"/>
                  </w:pPr>
                  <w:r>
                    <w:t>6.8</w:t>
                  </w:r>
                </w:p>
              </w:tc>
              <w:tc>
                <w:tcPr>
                  <w:tcW w:w="467" w:type="pct"/>
                  <w:shd w:val="clear" w:color="auto" w:fill="auto"/>
                  <w:vAlign w:val="bottom"/>
                </w:tcPr>
                <w:p w:rsidR="00AC2131" w:rsidRDefault="00AC2131" w:rsidP="00AC2131">
                  <w:pPr>
                    <w:pStyle w:val="TableBodyText"/>
                    <w:spacing w:after="0"/>
                    <w:ind w:left="0" w:right="57"/>
                  </w:pPr>
                  <w:r>
                    <w:t>7.2</w:t>
                  </w:r>
                </w:p>
              </w:tc>
              <w:tc>
                <w:tcPr>
                  <w:tcW w:w="465" w:type="pct"/>
                  <w:shd w:val="clear" w:color="auto" w:fill="auto"/>
                  <w:vAlign w:val="bottom"/>
                </w:tcPr>
                <w:p w:rsidR="00AC2131" w:rsidRDefault="00AC2131" w:rsidP="00AC2131">
                  <w:pPr>
                    <w:pStyle w:val="TableBodyText"/>
                    <w:spacing w:after="0"/>
                    <w:ind w:left="0" w:right="57"/>
                  </w:pPr>
                  <w:r>
                    <w:t>7.0</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CSIRO</w:t>
                  </w:r>
                </w:p>
              </w:tc>
              <w:tc>
                <w:tcPr>
                  <w:tcW w:w="468"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15.3</w:t>
                  </w:r>
                </w:p>
              </w:tc>
              <w:tc>
                <w:tcPr>
                  <w:tcW w:w="467" w:type="pct"/>
                  <w:shd w:val="clear" w:color="auto" w:fill="auto"/>
                  <w:vAlign w:val="bottom"/>
                </w:tcPr>
                <w:p w:rsidR="00AC2131" w:rsidRDefault="00AC2131" w:rsidP="00AC2131">
                  <w:pPr>
                    <w:pStyle w:val="TableBodyText"/>
                    <w:spacing w:after="0"/>
                    <w:ind w:left="0" w:right="57"/>
                  </w:pPr>
                  <w:r>
                    <w:t>3.1</w:t>
                  </w:r>
                </w:p>
              </w:tc>
              <w:tc>
                <w:tcPr>
                  <w:tcW w:w="465" w:type="pct"/>
                  <w:shd w:val="clear" w:color="auto" w:fill="auto"/>
                  <w:vAlign w:val="bottom"/>
                </w:tcPr>
                <w:p w:rsidR="00AC2131" w:rsidRDefault="00AC2131" w:rsidP="00AC2131">
                  <w:pPr>
                    <w:pStyle w:val="TableBodyText"/>
                    <w:spacing w:after="0"/>
                    <w:ind w:left="0" w:right="57"/>
                  </w:pPr>
                  <w:r>
                    <w:t>3.0</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New Industries Development Program</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R&amp;D tax concession</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4.1</w:t>
                  </w:r>
                </w:p>
              </w:tc>
              <w:tc>
                <w:tcPr>
                  <w:tcW w:w="467" w:type="pct"/>
                  <w:shd w:val="clear" w:color="auto" w:fill="auto"/>
                  <w:vAlign w:val="bottom"/>
                </w:tcPr>
                <w:p w:rsidR="00AC2131" w:rsidRDefault="00AC2131" w:rsidP="00AC2131">
                  <w:pPr>
                    <w:pStyle w:val="TableBodyText"/>
                    <w:spacing w:after="0"/>
                    <w:ind w:left="0" w:right="57"/>
                  </w:pPr>
                  <w:r>
                    <w:t>1.8</w:t>
                  </w:r>
                </w:p>
              </w:tc>
              <w:tc>
                <w:tcPr>
                  <w:tcW w:w="465" w:type="pct"/>
                  <w:shd w:val="clear" w:color="auto" w:fill="auto"/>
                  <w:vAlign w:val="bottom"/>
                </w:tcPr>
                <w:p w:rsidR="00AC2131" w:rsidRDefault="00AC2131" w:rsidP="00AC2131">
                  <w:pPr>
                    <w:pStyle w:val="TableBodyText"/>
                    <w:spacing w:after="0"/>
                    <w:ind w:left="0" w:right="57"/>
                  </w:pPr>
                  <w:r>
                    <w:t>0.6</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-0.3</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0.7</w:t>
                  </w:r>
                </w:p>
              </w:tc>
              <w:tc>
                <w:tcPr>
                  <w:tcW w:w="465" w:type="pct"/>
                  <w:shd w:val="clear" w:color="auto" w:fill="auto"/>
                  <w:vAlign w:val="bottom"/>
                </w:tcPr>
                <w:p w:rsidR="00AC2131" w:rsidRDefault="00AC2131" w:rsidP="00AC2131">
                  <w:pPr>
                    <w:pStyle w:val="TableBodyText"/>
                    <w:spacing w:after="0"/>
                    <w:ind w:left="0" w:right="57"/>
                  </w:pPr>
                  <w:r>
                    <w:t>2.2</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0.5</w:t>
                  </w:r>
                </w:p>
              </w:tc>
              <w:tc>
                <w:tcPr>
                  <w:tcW w:w="465" w:type="pct"/>
                  <w:shd w:val="clear" w:color="auto" w:fill="auto"/>
                  <w:vAlign w:val="bottom"/>
                </w:tcPr>
                <w:p w:rsidR="00AC2131" w:rsidRDefault="00AC2131" w:rsidP="00AC2131">
                  <w:pPr>
                    <w:pStyle w:val="TableBodyText"/>
                    <w:spacing w:after="0"/>
                    <w:ind w:left="0" w:right="57"/>
                  </w:pPr>
                  <w:r>
                    <w:t>0.9</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0.7</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9B7716" w:rsidRDefault="00AC2131" w:rsidP="00AC2131">
                  <w:pPr>
                    <w:pStyle w:val="TableBodyText"/>
                    <w:tabs>
                      <w:tab w:val="left" w:pos="1088"/>
                    </w:tabs>
                    <w:spacing w:before="40" w:after="0"/>
                    <w:ind w:left="113"/>
                    <w:jc w:val="left"/>
                    <w:rPr>
                      <w:i/>
                    </w:rPr>
                  </w:pPr>
                  <w:r w:rsidRPr="009B7716">
                    <w:rPr>
                      <w:i/>
                    </w:rPr>
                    <w:t>Other measures</w:t>
                  </w:r>
                  <w:r w:rsidRPr="009B7716">
                    <w:rPr>
                      <w:i/>
                    </w:rPr>
                    <w:tab/>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25 per cent entrepreneurs' tax offset</w:t>
                  </w:r>
                </w:p>
              </w:tc>
              <w:tc>
                <w:tcPr>
                  <w:tcW w:w="468"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Enterprise Connect Innovation Centres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North East Tasmania Innovation and Investment Fund</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6.6</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 xml:space="preserve">Small business </w:t>
                  </w:r>
                  <w:r>
                    <w:rPr>
                      <w:rFonts w:ascii="Arial" w:hAnsi="Arial" w:cs="Arial"/>
                      <w:color w:val="000000"/>
                      <w:sz w:val="18"/>
                      <w:szCs w:val="18"/>
                    </w:rPr>
                    <w:t>capital gains tax</w:t>
                  </w:r>
                  <w:r w:rsidRPr="009B7716">
                    <w:rPr>
                      <w:rFonts w:ascii="Arial" w:hAnsi="Arial" w:cs="Arial"/>
                      <w:color w:val="000000"/>
                      <w:sz w:val="18"/>
                      <w:szCs w:val="18"/>
                    </w:rPr>
                    <w:t xml:space="preserve"> 50 per cent reduction</w:t>
                  </w:r>
                </w:p>
              </w:tc>
              <w:tc>
                <w:tcPr>
                  <w:tcW w:w="468" w:type="pct"/>
                  <w:vAlign w:val="bottom"/>
                </w:tcPr>
                <w:p w:rsidR="00AC2131" w:rsidRDefault="00AC2131" w:rsidP="00AC2131">
                  <w:pPr>
                    <w:pStyle w:val="TableBodyText"/>
                    <w:spacing w:after="0"/>
                    <w:ind w:left="0" w:right="57"/>
                  </w:pPr>
                  <w:r>
                    <w:t>4.9</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1.0</w:t>
                  </w:r>
                </w:p>
              </w:tc>
              <w:tc>
                <w:tcPr>
                  <w:tcW w:w="467" w:type="pct"/>
                  <w:shd w:val="clear" w:color="auto" w:fill="auto"/>
                  <w:vAlign w:val="bottom"/>
                </w:tcPr>
                <w:p w:rsidR="00AC2131" w:rsidRDefault="00AC2131" w:rsidP="00AC2131">
                  <w:pPr>
                    <w:pStyle w:val="TableBodyText"/>
                    <w:spacing w:after="0"/>
                    <w:ind w:left="0" w:right="57"/>
                  </w:pPr>
                  <w:r>
                    <w:t>1.0</w:t>
                  </w:r>
                </w:p>
              </w:tc>
              <w:tc>
                <w:tcPr>
                  <w:tcW w:w="465" w:type="pct"/>
                  <w:shd w:val="clear" w:color="auto" w:fill="auto"/>
                  <w:vAlign w:val="bottom"/>
                </w:tcPr>
                <w:p w:rsidR="00AC2131" w:rsidRDefault="00AC2131" w:rsidP="00AC2131">
                  <w:pPr>
                    <w:pStyle w:val="TableBodyText"/>
                    <w:spacing w:after="0"/>
                    <w:ind w:left="0" w:right="57"/>
                  </w:pPr>
                  <w:r>
                    <w:t>1.0</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 xml:space="preserve">Small business </w:t>
                  </w:r>
                  <w:r>
                    <w:rPr>
                      <w:rFonts w:ascii="Arial" w:hAnsi="Arial" w:cs="Arial"/>
                      <w:color w:val="000000"/>
                      <w:sz w:val="18"/>
                      <w:szCs w:val="18"/>
                    </w:rPr>
                    <w:t>capital gains tax</w:t>
                  </w:r>
                  <w:r w:rsidRPr="009B7716">
                    <w:rPr>
                      <w:rFonts w:ascii="Arial" w:hAnsi="Arial" w:cs="Arial"/>
                      <w:color w:val="000000"/>
                      <w:sz w:val="18"/>
                      <w:szCs w:val="18"/>
                    </w:rPr>
                    <w:t xml:space="preserve"> retirement exemption</w:t>
                  </w:r>
                </w:p>
              </w:tc>
              <w:tc>
                <w:tcPr>
                  <w:tcW w:w="468" w:type="pct"/>
                  <w:vAlign w:val="bottom"/>
                </w:tcPr>
                <w:p w:rsidR="00AC2131" w:rsidRDefault="00AC2131" w:rsidP="00AC2131">
                  <w:pPr>
                    <w:pStyle w:val="TableBodyText"/>
                    <w:spacing w:after="0"/>
                    <w:ind w:left="0" w:right="57"/>
                  </w:pPr>
                  <w:r>
                    <w:t>1.9</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0.7</w:t>
                  </w:r>
                </w:p>
              </w:tc>
              <w:tc>
                <w:tcPr>
                  <w:tcW w:w="467" w:type="pct"/>
                  <w:shd w:val="clear" w:color="auto" w:fill="auto"/>
                  <w:vAlign w:val="bottom"/>
                </w:tcPr>
                <w:p w:rsidR="00AC2131" w:rsidRDefault="00AC2131" w:rsidP="00AC2131">
                  <w:pPr>
                    <w:pStyle w:val="TableBodyText"/>
                    <w:spacing w:after="0"/>
                    <w:ind w:left="0" w:right="57"/>
                  </w:pPr>
                  <w:r>
                    <w:t>0.7</w:t>
                  </w:r>
                </w:p>
              </w:tc>
              <w:tc>
                <w:tcPr>
                  <w:tcW w:w="465" w:type="pct"/>
                  <w:shd w:val="clear" w:color="auto" w:fill="auto"/>
                  <w:vAlign w:val="bottom"/>
                </w:tcPr>
                <w:p w:rsidR="00AC2131" w:rsidRDefault="00AC2131" w:rsidP="00AC2131">
                  <w:pPr>
                    <w:pStyle w:val="TableBodyText"/>
                    <w:spacing w:after="0"/>
                    <w:ind w:left="0" w:right="57"/>
                  </w:pPr>
                  <w:r>
                    <w:t>0.8</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 xml:space="preserve">Small business </w:t>
                  </w:r>
                  <w:r>
                    <w:rPr>
                      <w:rFonts w:ascii="Arial" w:hAnsi="Arial" w:cs="Arial"/>
                      <w:color w:val="000000"/>
                      <w:sz w:val="18"/>
                      <w:szCs w:val="18"/>
                    </w:rPr>
                    <w:t>capital gains tax</w:t>
                  </w:r>
                  <w:r w:rsidRPr="009B7716">
                    <w:rPr>
                      <w:rFonts w:ascii="Arial" w:hAnsi="Arial" w:cs="Arial"/>
                      <w:color w:val="000000"/>
                      <w:sz w:val="18"/>
                      <w:szCs w:val="18"/>
                    </w:rPr>
                    <w:t xml:space="preserve"> rollover deferral</w:t>
                  </w:r>
                </w:p>
              </w:tc>
              <w:tc>
                <w:tcPr>
                  <w:tcW w:w="468"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The Small Business and General Business Tax Break</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7.7</w:t>
                  </w:r>
                </w:p>
              </w:tc>
              <w:tc>
                <w:tcPr>
                  <w:tcW w:w="467" w:type="pct"/>
                  <w:vAlign w:val="bottom"/>
                </w:tcPr>
                <w:p w:rsidR="00AC2131" w:rsidRDefault="00AC2131" w:rsidP="00AC2131">
                  <w:pPr>
                    <w:pStyle w:val="TableBodyText"/>
                    <w:spacing w:after="0"/>
                    <w:ind w:left="0" w:right="57"/>
                  </w:pPr>
                  <w:r>
                    <w:t>10.6</w:t>
                  </w:r>
                </w:p>
              </w:tc>
              <w:tc>
                <w:tcPr>
                  <w:tcW w:w="467" w:type="pct"/>
                  <w:vAlign w:val="bottom"/>
                </w:tcPr>
                <w:p w:rsidR="00AC2131" w:rsidRDefault="00AC2131" w:rsidP="00AC2131">
                  <w:pPr>
                    <w:pStyle w:val="TableBodyText"/>
                    <w:spacing w:after="0"/>
                    <w:ind w:left="0" w:right="57"/>
                  </w:pPr>
                  <w:r>
                    <w:t>0.6</w:t>
                  </w:r>
                </w:p>
              </w:tc>
              <w:tc>
                <w:tcPr>
                  <w:tcW w:w="467"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tcBorders>
                    <w:bottom w:val="single" w:sz="6" w:space="0" w:color="BFBFBF"/>
                  </w:tcBorders>
                  <w:shd w:val="clear" w:color="auto" w:fill="auto"/>
                </w:tcPr>
                <w:p w:rsidR="00AC2131" w:rsidRPr="009B7716" w:rsidRDefault="00AC2131" w:rsidP="00AC2131">
                  <w:pPr>
                    <w:pStyle w:val="TableBodyText"/>
                    <w:spacing w:before="20" w:after="20"/>
                    <w:jc w:val="left"/>
                    <w:rPr>
                      <w:i/>
                    </w:rPr>
                  </w:pPr>
                  <w:r w:rsidRPr="009B7716">
                    <w:rPr>
                      <w:i/>
                    </w:rPr>
                    <w:t>Total</w:t>
                  </w:r>
                </w:p>
              </w:tc>
              <w:tc>
                <w:tcPr>
                  <w:tcW w:w="468" w:type="pct"/>
                  <w:tcBorders>
                    <w:bottom w:val="single" w:sz="6" w:space="0" w:color="BFBFBF"/>
                  </w:tcBorders>
                  <w:vAlign w:val="bottom"/>
                </w:tcPr>
                <w:p w:rsidR="00AC2131" w:rsidRPr="009455B0" w:rsidRDefault="00AC2131" w:rsidP="00AC2131">
                  <w:pPr>
                    <w:pStyle w:val="TableBodyText"/>
                    <w:spacing w:after="0"/>
                    <w:ind w:left="0" w:right="57"/>
                    <w:rPr>
                      <w:i/>
                    </w:rPr>
                  </w:pPr>
                  <w:r w:rsidRPr="009455B0">
                    <w:rPr>
                      <w:i/>
                    </w:rPr>
                    <w:t>47.6</w:t>
                  </w:r>
                </w:p>
              </w:tc>
              <w:tc>
                <w:tcPr>
                  <w:tcW w:w="467" w:type="pct"/>
                  <w:tcBorders>
                    <w:bottom w:val="single" w:sz="6" w:space="0" w:color="BFBFBF"/>
                  </w:tcBorders>
                  <w:vAlign w:val="bottom"/>
                </w:tcPr>
                <w:p w:rsidR="00AC2131" w:rsidRPr="009455B0" w:rsidRDefault="00AC2131" w:rsidP="00AC2131">
                  <w:pPr>
                    <w:pStyle w:val="TableBodyText"/>
                    <w:spacing w:after="0"/>
                    <w:ind w:left="0" w:right="57"/>
                    <w:rPr>
                      <w:i/>
                    </w:rPr>
                  </w:pPr>
                  <w:r w:rsidRPr="009455B0">
                    <w:rPr>
                      <w:i/>
                    </w:rPr>
                    <w:t>47.6</w:t>
                  </w:r>
                </w:p>
              </w:tc>
              <w:tc>
                <w:tcPr>
                  <w:tcW w:w="467" w:type="pct"/>
                  <w:tcBorders>
                    <w:bottom w:val="single" w:sz="6" w:space="0" w:color="BFBFBF"/>
                  </w:tcBorders>
                  <w:vAlign w:val="bottom"/>
                </w:tcPr>
                <w:p w:rsidR="00AC2131" w:rsidRPr="009455B0" w:rsidRDefault="00AC2131" w:rsidP="00AC2131">
                  <w:pPr>
                    <w:pStyle w:val="TableBodyText"/>
                    <w:spacing w:after="0"/>
                    <w:ind w:left="0" w:right="57"/>
                    <w:rPr>
                      <w:i/>
                    </w:rPr>
                  </w:pPr>
                  <w:r w:rsidRPr="009455B0">
                    <w:rPr>
                      <w:i/>
                    </w:rPr>
                    <w:t>43.9</w:t>
                  </w:r>
                </w:p>
              </w:tc>
              <w:tc>
                <w:tcPr>
                  <w:tcW w:w="467" w:type="pct"/>
                  <w:tcBorders>
                    <w:bottom w:val="single" w:sz="6" w:space="0" w:color="BFBFBF"/>
                  </w:tcBorders>
                  <w:vAlign w:val="bottom"/>
                </w:tcPr>
                <w:p w:rsidR="00AC2131" w:rsidRPr="009455B0" w:rsidRDefault="00AC2131" w:rsidP="00AC2131">
                  <w:pPr>
                    <w:pStyle w:val="TableBodyText"/>
                    <w:spacing w:after="0"/>
                    <w:ind w:left="0" w:right="57"/>
                    <w:rPr>
                      <w:i/>
                    </w:rPr>
                  </w:pPr>
                  <w:r w:rsidRPr="009455B0">
                    <w:rPr>
                      <w:i/>
                    </w:rPr>
                    <w:t>66.2</w:t>
                  </w:r>
                </w:p>
              </w:tc>
              <w:tc>
                <w:tcPr>
                  <w:tcW w:w="467" w:type="pct"/>
                  <w:tcBorders>
                    <w:bottom w:val="single" w:sz="6" w:space="0" w:color="BFBFBF"/>
                  </w:tcBorders>
                  <w:shd w:val="clear" w:color="auto" w:fill="auto"/>
                  <w:vAlign w:val="bottom"/>
                </w:tcPr>
                <w:p w:rsidR="00AC2131" w:rsidRPr="009455B0" w:rsidRDefault="00AC2131" w:rsidP="00AC2131">
                  <w:pPr>
                    <w:pStyle w:val="TableBodyText"/>
                    <w:spacing w:after="0"/>
                    <w:ind w:left="0" w:right="57"/>
                    <w:rPr>
                      <w:i/>
                    </w:rPr>
                  </w:pPr>
                  <w:r w:rsidRPr="009455B0">
                    <w:rPr>
                      <w:i/>
                    </w:rPr>
                    <w:t>41.6</w:t>
                  </w:r>
                </w:p>
              </w:tc>
              <w:tc>
                <w:tcPr>
                  <w:tcW w:w="465" w:type="pct"/>
                  <w:tcBorders>
                    <w:bottom w:val="single" w:sz="6" w:space="0" w:color="BFBFBF"/>
                  </w:tcBorders>
                  <w:shd w:val="clear" w:color="auto" w:fill="auto"/>
                  <w:vAlign w:val="bottom"/>
                </w:tcPr>
                <w:p w:rsidR="00AC2131" w:rsidRPr="009455B0" w:rsidRDefault="00AC2131" w:rsidP="00AC2131">
                  <w:pPr>
                    <w:pStyle w:val="TableBodyText"/>
                    <w:spacing w:after="0"/>
                    <w:ind w:left="0" w:right="57"/>
                    <w:rPr>
                      <w:i/>
                    </w:rPr>
                  </w:pPr>
                  <w:r w:rsidRPr="009455B0">
                    <w:rPr>
                      <w:i/>
                    </w:rPr>
                    <w:t>43.6</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jc w:val="right"/>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A.10</w:t>
            </w:r>
            <w:r>
              <w:tab/>
            </w:r>
            <w:r w:rsidRPr="006B64DF">
              <w:rPr>
                <w:b w:val="0"/>
                <w:sz w:val="18"/>
                <w:szCs w:val="18"/>
              </w:rPr>
              <w:t>(continued)</w:t>
            </w:r>
          </w:p>
        </w:tc>
      </w:tr>
      <w:tr w:rsidR="00AC2131" w:rsidTr="00AC2131">
        <w:trPr>
          <w:cantSplit/>
        </w:trPr>
        <w:tc>
          <w:tcPr>
            <w:tcW w:w="8767" w:type="dxa"/>
            <w:tcBorders>
              <w:top w:val="nil"/>
              <w:left w:val="nil"/>
              <w:bottom w:val="nil"/>
              <w:right w:val="nil"/>
            </w:tcBorders>
            <w:shd w:val="clear" w:color="auto" w:fill="auto"/>
          </w:tcPr>
          <w:tbl>
            <w:tblPr>
              <w:tblW w:w="8510" w:type="dxa"/>
              <w:tblLayout w:type="fixed"/>
              <w:tblCellMar>
                <w:top w:w="28" w:type="dxa"/>
                <w:left w:w="0" w:type="dxa"/>
                <w:right w:w="0" w:type="dxa"/>
              </w:tblCellMar>
              <w:tblLook w:val="0000" w:firstRow="0" w:lastRow="0" w:firstColumn="0" w:lastColumn="0" w:noHBand="0" w:noVBand="0"/>
            </w:tblPr>
            <w:tblGrid>
              <w:gridCol w:w="3742"/>
              <w:gridCol w:w="797"/>
              <w:gridCol w:w="795"/>
              <w:gridCol w:w="795"/>
              <w:gridCol w:w="795"/>
              <w:gridCol w:w="795"/>
              <w:gridCol w:w="791"/>
            </w:tblGrid>
            <w:tr w:rsidR="00AC2131" w:rsidTr="00AC2131">
              <w:tc>
                <w:tcPr>
                  <w:tcW w:w="21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8"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199" w:type="pct"/>
                  <w:shd w:val="clear" w:color="auto" w:fill="auto"/>
                </w:tcPr>
                <w:p w:rsidR="00AC2131" w:rsidRPr="009B7716" w:rsidRDefault="00AC2131" w:rsidP="00AC2131">
                  <w:pPr>
                    <w:pStyle w:val="TableBodyText"/>
                    <w:spacing w:before="40"/>
                    <w:jc w:val="left"/>
                    <w:rPr>
                      <w:b/>
                    </w:rPr>
                  </w:pPr>
                  <w:r w:rsidRPr="009B7716">
                    <w:rPr>
                      <w:b/>
                    </w:rPr>
                    <w:t>Aquaculture and fishing</w:t>
                  </w:r>
                </w:p>
              </w:tc>
              <w:tc>
                <w:tcPr>
                  <w:tcW w:w="468"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5" w:type="pct"/>
                  <w:shd w:val="clear" w:color="auto" w:fill="auto"/>
                </w:tcPr>
                <w:p w:rsidR="00AC2131" w:rsidRDefault="00AC2131" w:rsidP="00AC2131">
                  <w:pPr>
                    <w:pStyle w:val="TableBodyText"/>
                    <w:spacing w:before="40"/>
                    <w:ind w:right="28"/>
                  </w:pPr>
                </w:p>
              </w:tc>
            </w:tr>
            <w:tr w:rsidR="00AC2131" w:rsidTr="00AC2131">
              <w:tc>
                <w:tcPr>
                  <w:tcW w:w="2199" w:type="pct"/>
                  <w:shd w:val="clear" w:color="auto" w:fill="auto"/>
                </w:tcPr>
                <w:p w:rsidR="00AC2131" w:rsidRPr="009B7716" w:rsidRDefault="00AC2131" w:rsidP="00AC2131">
                  <w:pPr>
                    <w:pStyle w:val="TableBodyText"/>
                    <w:spacing w:before="40" w:after="0"/>
                    <w:ind w:left="113"/>
                    <w:jc w:val="left"/>
                    <w:rPr>
                      <w:i/>
                    </w:rPr>
                  </w:pPr>
                  <w:r w:rsidRPr="009B7716">
                    <w:rPr>
                      <w:i/>
                    </w:rPr>
                    <w:t>Industry-specific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tcPr>
                <w:p w:rsidR="00AC2131" w:rsidRDefault="00AC2131" w:rsidP="00AC2131">
                  <w:pPr>
                    <w:pStyle w:val="TableBodyText"/>
                    <w:ind w:left="227"/>
                    <w:jc w:val="left"/>
                  </w:pPr>
                  <w:r w:rsidRPr="009B7716">
                    <w:t>Fisheries Structural Adjustment Package</w:t>
                  </w:r>
                </w:p>
              </w:tc>
              <w:tc>
                <w:tcPr>
                  <w:tcW w:w="468" w:type="pct"/>
                  <w:vAlign w:val="bottom"/>
                </w:tcPr>
                <w:p w:rsidR="00AC2131" w:rsidRDefault="00AC2131" w:rsidP="00AC2131">
                  <w:pPr>
                    <w:pStyle w:val="TableBodyText"/>
                    <w:spacing w:after="0"/>
                    <w:ind w:left="0" w:right="57"/>
                  </w:pPr>
                  <w:r>
                    <w:t>16.7</w:t>
                  </w:r>
                </w:p>
              </w:tc>
              <w:tc>
                <w:tcPr>
                  <w:tcW w:w="467" w:type="pct"/>
                  <w:vAlign w:val="bottom"/>
                </w:tcPr>
                <w:p w:rsidR="00AC2131" w:rsidRDefault="00AC2131" w:rsidP="00AC2131">
                  <w:pPr>
                    <w:pStyle w:val="TableBodyText"/>
                    <w:spacing w:after="0"/>
                    <w:ind w:left="0" w:right="57"/>
                  </w:pPr>
                  <w:r>
                    <w:t>9.6</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9B7716" w:rsidRDefault="00AC2131" w:rsidP="00AC2131">
                  <w:pPr>
                    <w:pStyle w:val="TableBodyText"/>
                    <w:spacing w:before="40" w:after="0"/>
                    <w:ind w:left="113"/>
                    <w:jc w:val="left"/>
                    <w:rPr>
                      <w:i/>
                    </w:rPr>
                  </w:pPr>
                  <w:r w:rsidRPr="009B7716">
                    <w:rPr>
                      <w:i/>
                    </w:rPr>
                    <w:t>Sector-specific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interest rate subsidies</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13.3</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relief payments</w:t>
                  </w:r>
                </w:p>
              </w:tc>
              <w:tc>
                <w:tcPr>
                  <w:tcW w:w="468"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Farm Help</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Income tax averaging provisions</w:t>
                  </w:r>
                </w:p>
              </w:tc>
              <w:tc>
                <w:tcPr>
                  <w:tcW w:w="468" w:type="pct"/>
                  <w:vAlign w:val="bottom"/>
                </w:tcPr>
                <w:p w:rsidR="00AC2131" w:rsidRDefault="00AC2131" w:rsidP="00AC2131">
                  <w:pPr>
                    <w:pStyle w:val="TableBodyText"/>
                    <w:spacing w:after="0"/>
                    <w:ind w:left="0" w:right="57"/>
                  </w:pPr>
                  <w:r>
                    <w:t>5.4</w:t>
                  </w:r>
                </w:p>
              </w:tc>
              <w:tc>
                <w:tcPr>
                  <w:tcW w:w="467" w:type="pct"/>
                  <w:vAlign w:val="bottom"/>
                </w:tcPr>
                <w:p w:rsidR="00AC2131" w:rsidRDefault="00AC2131" w:rsidP="00AC2131">
                  <w:pPr>
                    <w:pStyle w:val="TableBodyText"/>
                    <w:spacing w:after="0"/>
                    <w:ind w:left="0" w:right="57"/>
                  </w:pPr>
                  <w:r>
                    <w:t>5.5</w:t>
                  </w:r>
                </w:p>
              </w:tc>
              <w:tc>
                <w:tcPr>
                  <w:tcW w:w="467" w:type="pct"/>
                  <w:vAlign w:val="bottom"/>
                </w:tcPr>
                <w:p w:rsidR="00AC2131" w:rsidRDefault="00AC2131" w:rsidP="00AC2131">
                  <w:pPr>
                    <w:pStyle w:val="TableBodyText"/>
                    <w:spacing w:after="0"/>
                    <w:ind w:left="0" w:right="57"/>
                  </w:pPr>
                  <w:r>
                    <w:t>5.8</w:t>
                  </w:r>
                </w:p>
              </w:tc>
              <w:tc>
                <w:tcPr>
                  <w:tcW w:w="467" w:type="pct"/>
                  <w:vAlign w:val="bottom"/>
                </w:tcPr>
                <w:p w:rsidR="00AC2131" w:rsidRDefault="00AC2131" w:rsidP="00AC2131">
                  <w:pPr>
                    <w:pStyle w:val="TableBodyText"/>
                    <w:spacing w:after="0"/>
                    <w:ind w:left="0" w:right="57"/>
                  </w:pPr>
                  <w:r>
                    <w:t>6.6</w:t>
                  </w:r>
                </w:p>
              </w:tc>
              <w:tc>
                <w:tcPr>
                  <w:tcW w:w="467" w:type="pct"/>
                  <w:shd w:val="clear" w:color="auto" w:fill="auto"/>
                  <w:vAlign w:val="bottom"/>
                </w:tcPr>
                <w:p w:rsidR="00AC2131" w:rsidRDefault="00AC2131" w:rsidP="00AC2131">
                  <w:pPr>
                    <w:pStyle w:val="TableBodyText"/>
                    <w:spacing w:after="0"/>
                    <w:ind w:left="0" w:right="57"/>
                  </w:pPr>
                  <w:r>
                    <w:t>7.5</w:t>
                  </w:r>
                </w:p>
              </w:tc>
              <w:tc>
                <w:tcPr>
                  <w:tcW w:w="465" w:type="pct"/>
                  <w:shd w:val="clear" w:color="auto" w:fill="auto"/>
                  <w:vAlign w:val="bottom"/>
                </w:tcPr>
                <w:p w:rsidR="00AC2131" w:rsidRDefault="00AC2131" w:rsidP="00AC2131">
                  <w:pPr>
                    <w:pStyle w:val="TableBodyText"/>
                    <w:spacing w:after="0"/>
                    <w:ind w:left="0" w:right="57"/>
                  </w:pPr>
                  <w:r>
                    <w:t>7.5</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Industry partnerships program</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Interim Income Support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Rural Financial Counselling Service</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0.1</w:t>
                  </w:r>
                </w:p>
              </w:tc>
            </w:tr>
            <w:tr w:rsidR="00AC2131" w:rsidTr="00AC2131">
              <w:tc>
                <w:tcPr>
                  <w:tcW w:w="2199" w:type="pct"/>
                  <w:shd w:val="clear" w:color="auto" w:fill="auto"/>
                  <w:vAlign w:val="bottom"/>
                </w:tcPr>
                <w:p w:rsidR="00AC2131" w:rsidRPr="009B7716" w:rsidRDefault="00AC2131" w:rsidP="00AC2131">
                  <w:pPr>
                    <w:ind w:left="227"/>
                    <w:rPr>
                      <w:rFonts w:ascii="Arial" w:hAnsi="Arial" w:cs="Arial"/>
                      <w:color w:val="000000"/>
                      <w:sz w:val="18"/>
                      <w:szCs w:val="18"/>
                    </w:rPr>
                  </w:pPr>
                  <w:r w:rsidRPr="009B7716">
                    <w:rPr>
                      <w:rFonts w:ascii="Arial" w:hAnsi="Arial" w:cs="Arial"/>
                      <w:color w:val="000000"/>
                      <w:sz w:val="18"/>
                      <w:szCs w:val="18"/>
                    </w:rPr>
                    <w:t>Tax deduction for conserving or conveying water</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shd w:val="clear" w:color="auto" w:fill="auto"/>
                </w:tcPr>
                <w:p w:rsidR="00AC2131" w:rsidRPr="00A10F95" w:rsidRDefault="00AC2131" w:rsidP="00AC2131">
                  <w:pPr>
                    <w:pStyle w:val="TableBodyText"/>
                    <w:spacing w:before="40" w:after="0"/>
                    <w:ind w:left="113" w:hanging="6"/>
                    <w:jc w:val="left"/>
                    <w:rPr>
                      <w:i/>
                    </w:rPr>
                  </w:pPr>
                  <w:r w:rsidRPr="00A10F95">
                    <w:rPr>
                      <w:i/>
                    </w:rPr>
                    <w:t>Rural R&amp;D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A10F95" w:rsidRDefault="00AC2131" w:rsidP="00AC2131">
                  <w:pPr>
                    <w:ind w:left="227"/>
                    <w:rPr>
                      <w:rFonts w:ascii="Arial" w:hAnsi="Arial" w:cs="Arial"/>
                      <w:color w:val="000000"/>
                      <w:sz w:val="18"/>
                      <w:szCs w:val="18"/>
                    </w:rPr>
                  </w:pPr>
                  <w:r w:rsidRPr="00A10F95">
                    <w:rPr>
                      <w:rFonts w:ascii="Arial" w:hAnsi="Arial" w:cs="Arial"/>
                      <w:color w:val="000000"/>
                      <w:sz w:val="18"/>
                      <w:szCs w:val="18"/>
                    </w:rPr>
                    <w:t>Fisheries R</w:t>
                  </w:r>
                  <w:r>
                    <w:rPr>
                      <w:rFonts w:ascii="Arial" w:hAnsi="Arial" w:cs="Arial"/>
                      <w:color w:val="000000"/>
                      <w:sz w:val="18"/>
                      <w:szCs w:val="18"/>
                    </w:rPr>
                    <w:t xml:space="preserve">&amp;D </w:t>
                  </w:r>
                  <w:r w:rsidRPr="00A10F95">
                    <w:rPr>
                      <w:rFonts w:ascii="Arial" w:hAnsi="Arial" w:cs="Arial"/>
                      <w:color w:val="000000"/>
                      <w:sz w:val="18"/>
                      <w:szCs w:val="18"/>
                    </w:rPr>
                    <w:t>Corporation</w:t>
                  </w:r>
                </w:p>
              </w:tc>
              <w:tc>
                <w:tcPr>
                  <w:tcW w:w="468" w:type="pct"/>
                  <w:vAlign w:val="bottom"/>
                </w:tcPr>
                <w:p w:rsidR="00AC2131" w:rsidRDefault="00AC2131" w:rsidP="00AC2131">
                  <w:pPr>
                    <w:pStyle w:val="TableBodyText"/>
                    <w:spacing w:after="0"/>
                    <w:ind w:left="0" w:right="57"/>
                  </w:pPr>
                  <w:r>
                    <w:t>16.3</w:t>
                  </w:r>
                </w:p>
              </w:tc>
              <w:tc>
                <w:tcPr>
                  <w:tcW w:w="467" w:type="pct"/>
                  <w:vAlign w:val="bottom"/>
                </w:tcPr>
                <w:p w:rsidR="00AC2131" w:rsidRDefault="00AC2131" w:rsidP="00AC2131">
                  <w:pPr>
                    <w:pStyle w:val="TableBodyText"/>
                    <w:spacing w:after="0"/>
                    <w:ind w:left="0" w:right="57"/>
                  </w:pPr>
                  <w:r>
                    <w:t>16.3</w:t>
                  </w:r>
                </w:p>
              </w:tc>
              <w:tc>
                <w:tcPr>
                  <w:tcW w:w="467" w:type="pct"/>
                  <w:vAlign w:val="bottom"/>
                </w:tcPr>
                <w:p w:rsidR="00AC2131" w:rsidRDefault="00AC2131" w:rsidP="00AC2131">
                  <w:pPr>
                    <w:pStyle w:val="TableBodyText"/>
                    <w:spacing w:after="0"/>
                    <w:ind w:left="0" w:right="57"/>
                  </w:pPr>
                  <w:r>
                    <w:t>16.5</w:t>
                  </w:r>
                </w:p>
              </w:tc>
              <w:tc>
                <w:tcPr>
                  <w:tcW w:w="467" w:type="pct"/>
                  <w:vAlign w:val="bottom"/>
                </w:tcPr>
                <w:p w:rsidR="00AC2131" w:rsidRDefault="00AC2131" w:rsidP="00AC2131">
                  <w:pPr>
                    <w:pStyle w:val="TableBodyText"/>
                    <w:spacing w:after="0"/>
                    <w:ind w:left="0" w:right="57"/>
                  </w:pPr>
                  <w:r>
                    <w:t>16.6</w:t>
                  </w:r>
                </w:p>
              </w:tc>
              <w:tc>
                <w:tcPr>
                  <w:tcW w:w="467" w:type="pct"/>
                  <w:shd w:val="clear" w:color="auto" w:fill="auto"/>
                  <w:vAlign w:val="bottom"/>
                </w:tcPr>
                <w:p w:rsidR="00AC2131" w:rsidRDefault="00AC2131" w:rsidP="00AC2131">
                  <w:pPr>
                    <w:pStyle w:val="TableBodyText"/>
                    <w:spacing w:after="0"/>
                    <w:ind w:left="0" w:right="57"/>
                  </w:pPr>
                  <w:r>
                    <w:t>17.2</w:t>
                  </w:r>
                </w:p>
              </w:tc>
              <w:tc>
                <w:tcPr>
                  <w:tcW w:w="465" w:type="pct"/>
                  <w:shd w:val="clear" w:color="auto" w:fill="auto"/>
                  <w:vAlign w:val="bottom"/>
                </w:tcPr>
                <w:p w:rsidR="00AC2131" w:rsidRDefault="00AC2131" w:rsidP="00AC2131">
                  <w:pPr>
                    <w:pStyle w:val="TableBodyText"/>
                    <w:spacing w:after="0"/>
                    <w:ind w:left="0" w:right="57"/>
                  </w:pPr>
                  <w:r>
                    <w:t>17.9</w:t>
                  </w:r>
                </w:p>
              </w:tc>
            </w:tr>
            <w:tr w:rsidR="00AC2131" w:rsidTr="00AC2131">
              <w:tc>
                <w:tcPr>
                  <w:tcW w:w="2199" w:type="pct"/>
                  <w:shd w:val="clear" w:color="auto" w:fill="auto"/>
                  <w:vAlign w:val="bottom"/>
                </w:tcPr>
                <w:p w:rsidR="00AC2131" w:rsidRPr="00A10F95" w:rsidRDefault="00AC2131" w:rsidP="00AC2131">
                  <w:pPr>
                    <w:ind w:left="227"/>
                    <w:rPr>
                      <w:rFonts w:ascii="Arial" w:hAnsi="Arial" w:cs="Arial"/>
                      <w:color w:val="000000"/>
                      <w:sz w:val="18"/>
                      <w:szCs w:val="18"/>
                    </w:rPr>
                  </w:pPr>
                  <w:r w:rsidRPr="00A10F95">
                    <w:rPr>
                      <w:rFonts w:ascii="Arial" w:hAnsi="Arial" w:cs="Arial"/>
                      <w:color w:val="000000"/>
                      <w:sz w:val="18"/>
                      <w:szCs w:val="18"/>
                    </w:rPr>
                    <w:t>Fisheries Research Program</w:t>
                  </w:r>
                </w:p>
              </w:tc>
              <w:tc>
                <w:tcPr>
                  <w:tcW w:w="468" w:type="pct"/>
                  <w:vAlign w:val="bottom"/>
                </w:tcPr>
                <w:p w:rsidR="00AC2131" w:rsidRDefault="00AC2131" w:rsidP="00AC2131">
                  <w:pPr>
                    <w:pStyle w:val="TableBodyText"/>
                    <w:spacing w:after="0"/>
                    <w:ind w:left="0" w:right="57"/>
                  </w:pPr>
                  <w:r>
                    <w:t>1.9</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A10F95" w:rsidRDefault="00AC2131" w:rsidP="00AC2131">
                  <w:pPr>
                    <w:ind w:left="227"/>
                    <w:rPr>
                      <w:rFonts w:ascii="Arial" w:hAnsi="Arial" w:cs="Arial"/>
                      <w:color w:val="000000"/>
                      <w:sz w:val="18"/>
                      <w:szCs w:val="18"/>
                    </w:rPr>
                  </w:pPr>
                  <w:r w:rsidRPr="00A10F95">
                    <w:rPr>
                      <w:rFonts w:ascii="Arial" w:hAnsi="Arial" w:cs="Arial"/>
                      <w:color w:val="000000"/>
                      <w:sz w:val="18"/>
                      <w:szCs w:val="18"/>
                    </w:rPr>
                    <w:t>Fisheries Resources Research Fund</w:t>
                  </w:r>
                </w:p>
              </w:tc>
              <w:tc>
                <w:tcPr>
                  <w:tcW w:w="468" w:type="pct"/>
                  <w:vAlign w:val="bottom"/>
                </w:tcPr>
                <w:p w:rsidR="00AC2131" w:rsidRDefault="00AC2131" w:rsidP="00AC2131">
                  <w:pPr>
                    <w:pStyle w:val="TableBodyText"/>
                    <w:spacing w:after="0"/>
                    <w:ind w:left="0" w:right="57"/>
                  </w:pPr>
                  <w:r>
                    <w:t>3.2</w:t>
                  </w:r>
                </w:p>
              </w:tc>
              <w:tc>
                <w:tcPr>
                  <w:tcW w:w="467" w:type="pct"/>
                  <w:vAlign w:val="bottom"/>
                </w:tcPr>
                <w:p w:rsidR="00AC2131" w:rsidRDefault="00AC2131" w:rsidP="00AC2131">
                  <w:pPr>
                    <w:pStyle w:val="TableBodyText"/>
                    <w:spacing w:after="0"/>
                    <w:ind w:left="0" w:right="57"/>
                  </w:pPr>
                  <w:r>
                    <w:t>3.8</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2.1</w:t>
                  </w:r>
                </w:p>
              </w:tc>
              <w:tc>
                <w:tcPr>
                  <w:tcW w:w="465" w:type="pct"/>
                  <w:shd w:val="clear" w:color="auto" w:fill="auto"/>
                  <w:vAlign w:val="bottom"/>
                </w:tcPr>
                <w:p w:rsidR="00AC2131" w:rsidRDefault="00AC2131" w:rsidP="00AC2131">
                  <w:pPr>
                    <w:pStyle w:val="TableBodyText"/>
                    <w:spacing w:after="0"/>
                    <w:ind w:left="0" w:right="57"/>
                  </w:pPr>
                  <w:r>
                    <w:t>2.0</w:t>
                  </w:r>
                </w:p>
              </w:tc>
            </w:tr>
            <w:tr w:rsidR="00AC2131" w:rsidTr="00AC2131">
              <w:tc>
                <w:tcPr>
                  <w:tcW w:w="2199" w:type="pct"/>
                  <w:shd w:val="clear" w:color="auto" w:fill="auto"/>
                  <w:vAlign w:val="bottom"/>
                </w:tcPr>
                <w:p w:rsidR="00AC2131" w:rsidRPr="00A10F95" w:rsidRDefault="00AC2131" w:rsidP="00AC2131">
                  <w:pPr>
                    <w:ind w:left="227"/>
                    <w:rPr>
                      <w:rFonts w:ascii="Arial" w:hAnsi="Arial" w:cs="Arial"/>
                      <w:color w:val="000000"/>
                      <w:sz w:val="18"/>
                      <w:szCs w:val="18"/>
                    </w:rPr>
                  </w:pPr>
                  <w:r w:rsidRPr="00A10F95">
                    <w:rPr>
                      <w:rFonts w:ascii="Arial" w:hAnsi="Arial" w:cs="Arial"/>
                      <w:color w:val="000000"/>
                      <w:sz w:val="18"/>
                      <w:szCs w:val="18"/>
                    </w:rPr>
                    <w:t>Torres Strait Prawn Fisheries Program</w:t>
                  </w:r>
                </w:p>
              </w:tc>
              <w:tc>
                <w:tcPr>
                  <w:tcW w:w="468"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A10F95" w:rsidRDefault="00AC2131" w:rsidP="00AC2131">
                  <w:pPr>
                    <w:pStyle w:val="TableBodyText"/>
                    <w:spacing w:before="40" w:after="0"/>
                    <w:ind w:left="113"/>
                    <w:jc w:val="left"/>
                    <w:rPr>
                      <w:i/>
                    </w:rPr>
                  </w:pPr>
                  <w:r w:rsidRPr="00A10F95">
                    <w:rPr>
                      <w:i/>
                    </w:rPr>
                    <w:t>General export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A10F95" w:rsidRDefault="00AC2131" w:rsidP="00AC2131">
                  <w:pPr>
                    <w:ind w:left="227"/>
                    <w:rPr>
                      <w:rFonts w:ascii="Arial" w:hAnsi="Arial" w:cs="Arial"/>
                      <w:color w:val="000000"/>
                      <w:sz w:val="18"/>
                      <w:szCs w:val="18"/>
                    </w:rPr>
                  </w:pPr>
                  <w:r w:rsidRPr="00A10F95">
                    <w:rPr>
                      <w:rFonts w:ascii="Arial" w:hAnsi="Arial" w:cs="Arial"/>
                      <w:color w:val="000000"/>
                      <w:sz w:val="18"/>
                      <w:szCs w:val="18"/>
                    </w:rPr>
                    <w:t>Export Market Development Grants Scheme</w:t>
                  </w:r>
                </w:p>
              </w:tc>
              <w:tc>
                <w:tcPr>
                  <w:tcW w:w="468"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0.4</w:t>
                  </w:r>
                </w:p>
              </w:tc>
              <w:tc>
                <w:tcPr>
                  <w:tcW w:w="465" w:type="pct"/>
                  <w:shd w:val="clear" w:color="auto" w:fill="auto"/>
                  <w:vAlign w:val="bottom"/>
                </w:tcPr>
                <w:p w:rsidR="00AC2131" w:rsidRDefault="00AC2131" w:rsidP="00AC2131">
                  <w:pPr>
                    <w:pStyle w:val="TableBodyText"/>
                    <w:spacing w:after="0"/>
                    <w:ind w:left="0" w:right="57"/>
                  </w:pPr>
                  <w:r>
                    <w:t>0.3</w:t>
                  </w:r>
                </w:p>
              </w:tc>
            </w:tr>
            <w:tr w:rsidR="00AC2131" w:rsidTr="00AC2131">
              <w:tc>
                <w:tcPr>
                  <w:tcW w:w="2199" w:type="pct"/>
                  <w:shd w:val="clear" w:color="auto" w:fill="auto"/>
                  <w:vAlign w:val="bottom"/>
                </w:tcPr>
                <w:p w:rsidR="00AC2131" w:rsidRPr="00A10F95" w:rsidRDefault="00AC2131" w:rsidP="00AC2131">
                  <w:pPr>
                    <w:ind w:left="227"/>
                    <w:rPr>
                      <w:rFonts w:ascii="Arial" w:hAnsi="Arial" w:cs="Arial"/>
                      <w:color w:val="000000"/>
                      <w:sz w:val="18"/>
                      <w:szCs w:val="18"/>
                    </w:rPr>
                  </w:pPr>
                  <w:r w:rsidRPr="00A10F95">
                    <w:rPr>
                      <w:rFonts w:ascii="Arial" w:hAnsi="Arial" w:cs="Arial"/>
                      <w:color w:val="000000"/>
                      <w:sz w:val="18"/>
                      <w:szCs w:val="18"/>
                    </w:rPr>
                    <w:t>TRADEX</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tcPr>
                <w:p w:rsidR="00AC2131" w:rsidRPr="00CB4D08" w:rsidRDefault="00AC2131" w:rsidP="00AC2131">
                  <w:pPr>
                    <w:pStyle w:val="TableUnitsRow"/>
                    <w:spacing w:after="0"/>
                    <w:ind w:left="113"/>
                    <w:jc w:val="left"/>
                    <w:rPr>
                      <w:i/>
                    </w:rPr>
                  </w:pPr>
                  <w:r w:rsidRPr="00CB4D08">
                    <w:rPr>
                      <w:i/>
                    </w:rPr>
                    <w:t>General R&amp;D measures</w:t>
                  </w:r>
                </w:p>
              </w:tc>
              <w:tc>
                <w:tcPr>
                  <w:tcW w:w="468"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5" w:type="pct"/>
                </w:tcPr>
                <w:p w:rsidR="00AC2131" w:rsidRDefault="00AC2131" w:rsidP="00AC2131">
                  <w:pPr>
                    <w:pStyle w:val="TableUnitsRow"/>
                    <w:spacing w:after="0"/>
                    <w:ind w:left="113" w:right="28"/>
                  </w:pPr>
                </w:p>
              </w:tc>
            </w:tr>
            <w:tr w:rsidR="00AC2131" w:rsidTr="00AC2131">
              <w:tc>
                <w:tcPr>
                  <w:tcW w:w="2199" w:type="pct"/>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 xml:space="preserve">Clean Business Australia </w:t>
                  </w:r>
                  <w:r>
                    <w:rPr>
                      <w:rFonts w:ascii="Arial" w:hAnsi="Arial" w:cs="Arial"/>
                      <w:color w:val="000000"/>
                      <w:sz w:val="18"/>
                      <w:szCs w:val="18"/>
                    </w:rPr>
                    <w:t>–</w:t>
                  </w:r>
                  <w:r w:rsidRPr="00CB4D08">
                    <w:rPr>
                      <w:rFonts w:ascii="Arial" w:hAnsi="Arial" w:cs="Arial"/>
                      <w:color w:val="000000"/>
                      <w:sz w:val="18"/>
                      <w:szCs w:val="18"/>
                    </w:rPr>
                    <w:t xml:space="preserve"> Climate Ready Program</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5" w:type="pct"/>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Commercial Ready Program</w:t>
                  </w:r>
                </w:p>
              </w:tc>
              <w:tc>
                <w:tcPr>
                  <w:tcW w:w="468" w:type="pct"/>
                  <w:vAlign w:val="bottom"/>
                </w:tcPr>
                <w:p w:rsidR="00AC2131" w:rsidRDefault="00AC2131" w:rsidP="00AC2131">
                  <w:pPr>
                    <w:pStyle w:val="TableBodyText"/>
                    <w:spacing w:after="0"/>
                    <w:ind w:left="0" w:right="57"/>
                  </w:pPr>
                  <w:r>
                    <w:t>1.9</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Commercialisation Australia</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1.1</w:t>
                  </w:r>
                </w:p>
              </w:tc>
              <w:tc>
                <w:tcPr>
                  <w:tcW w:w="467" w:type="pct"/>
                  <w:shd w:val="clear" w:color="auto" w:fill="auto"/>
                  <w:vAlign w:val="bottom"/>
                </w:tcPr>
                <w:p w:rsidR="00AC2131" w:rsidRDefault="00AC2131" w:rsidP="00AC2131">
                  <w:pPr>
                    <w:pStyle w:val="TableBodyText"/>
                    <w:spacing w:after="0"/>
                    <w:ind w:left="0" w:right="57"/>
                  </w:pPr>
                  <w:r>
                    <w:t>1.7</w:t>
                  </w:r>
                </w:p>
              </w:tc>
              <w:tc>
                <w:tcPr>
                  <w:tcW w:w="465" w:type="pct"/>
                  <w:shd w:val="clear" w:color="auto" w:fill="auto"/>
                  <w:vAlign w:val="bottom"/>
                </w:tcPr>
                <w:p w:rsidR="00AC2131" w:rsidRDefault="00AC2131" w:rsidP="00AC2131">
                  <w:pPr>
                    <w:pStyle w:val="TableBodyText"/>
                    <w:spacing w:after="0"/>
                    <w:ind w:left="0" w:right="57"/>
                  </w:pPr>
                  <w:r>
                    <w:t>2.1</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Cooperative Research Centres</w:t>
                  </w:r>
                </w:p>
              </w:tc>
              <w:tc>
                <w:tcPr>
                  <w:tcW w:w="468" w:type="pct"/>
                  <w:vAlign w:val="bottom"/>
                </w:tcPr>
                <w:p w:rsidR="00AC2131" w:rsidRDefault="00AC2131" w:rsidP="00AC2131">
                  <w:pPr>
                    <w:pStyle w:val="TableBodyText"/>
                    <w:spacing w:after="0"/>
                    <w:ind w:left="0" w:right="57"/>
                  </w:pPr>
                  <w:r>
                    <w:t>5.0</w:t>
                  </w:r>
                </w:p>
              </w:tc>
              <w:tc>
                <w:tcPr>
                  <w:tcW w:w="467" w:type="pct"/>
                  <w:vAlign w:val="bottom"/>
                </w:tcPr>
                <w:p w:rsidR="00AC2131" w:rsidRDefault="00AC2131" w:rsidP="00AC2131">
                  <w:pPr>
                    <w:pStyle w:val="TableBodyText"/>
                    <w:spacing w:after="0"/>
                    <w:ind w:left="0" w:right="57"/>
                  </w:pPr>
                  <w:r>
                    <w:t>5.4</w:t>
                  </w:r>
                </w:p>
              </w:tc>
              <w:tc>
                <w:tcPr>
                  <w:tcW w:w="467" w:type="pct"/>
                  <w:vAlign w:val="bottom"/>
                </w:tcPr>
                <w:p w:rsidR="00AC2131" w:rsidRDefault="00AC2131" w:rsidP="00AC2131">
                  <w:pPr>
                    <w:pStyle w:val="TableBodyText"/>
                    <w:spacing w:after="0"/>
                    <w:ind w:left="0" w:right="57"/>
                  </w:pPr>
                  <w:r>
                    <w:t>5.4</w:t>
                  </w:r>
                </w:p>
              </w:tc>
              <w:tc>
                <w:tcPr>
                  <w:tcW w:w="467" w:type="pct"/>
                  <w:vAlign w:val="bottom"/>
                </w:tcPr>
                <w:p w:rsidR="00AC2131" w:rsidRDefault="00AC2131" w:rsidP="00AC2131">
                  <w:pPr>
                    <w:pStyle w:val="TableBodyText"/>
                    <w:spacing w:after="0"/>
                    <w:ind w:left="0" w:right="57"/>
                  </w:pPr>
                  <w:r>
                    <w:t>5.4</w:t>
                  </w:r>
                </w:p>
              </w:tc>
              <w:tc>
                <w:tcPr>
                  <w:tcW w:w="467" w:type="pct"/>
                  <w:shd w:val="clear" w:color="auto" w:fill="auto"/>
                  <w:vAlign w:val="bottom"/>
                </w:tcPr>
                <w:p w:rsidR="00AC2131" w:rsidRDefault="00AC2131" w:rsidP="00AC2131">
                  <w:pPr>
                    <w:pStyle w:val="TableBodyText"/>
                    <w:spacing w:after="0"/>
                    <w:ind w:left="0" w:right="57"/>
                  </w:pPr>
                  <w:r>
                    <w:t>5.1</w:t>
                  </w:r>
                </w:p>
              </w:tc>
              <w:tc>
                <w:tcPr>
                  <w:tcW w:w="465" w:type="pct"/>
                  <w:shd w:val="clear" w:color="auto" w:fill="auto"/>
                  <w:vAlign w:val="bottom"/>
                </w:tcPr>
                <w:p w:rsidR="00AC2131" w:rsidRDefault="00AC2131" w:rsidP="00AC2131">
                  <w:pPr>
                    <w:pStyle w:val="TableBodyText"/>
                    <w:spacing w:after="0"/>
                    <w:ind w:left="0" w:right="57"/>
                  </w:pPr>
                  <w:r>
                    <w:t>4.8</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CSIRO</w:t>
                  </w:r>
                </w:p>
              </w:tc>
              <w:tc>
                <w:tcPr>
                  <w:tcW w:w="468" w:type="pct"/>
                  <w:vAlign w:val="bottom"/>
                </w:tcPr>
                <w:p w:rsidR="00AC2131" w:rsidRDefault="00AC2131" w:rsidP="00AC2131">
                  <w:pPr>
                    <w:pStyle w:val="TableBodyText"/>
                    <w:spacing w:after="0"/>
                    <w:ind w:left="0" w:right="57"/>
                  </w:pPr>
                  <w:r>
                    <w:t>15.6</w:t>
                  </w:r>
                </w:p>
              </w:tc>
              <w:tc>
                <w:tcPr>
                  <w:tcW w:w="467" w:type="pct"/>
                  <w:vAlign w:val="bottom"/>
                </w:tcPr>
                <w:p w:rsidR="00AC2131" w:rsidRDefault="00AC2131" w:rsidP="00AC2131">
                  <w:pPr>
                    <w:pStyle w:val="TableBodyText"/>
                    <w:spacing w:after="0"/>
                    <w:ind w:left="0" w:right="57"/>
                  </w:pPr>
                  <w:r>
                    <w:t>16.8</w:t>
                  </w:r>
                </w:p>
              </w:tc>
              <w:tc>
                <w:tcPr>
                  <w:tcW w:w="467" w:type="pct"/>
                  <w:vAlign w:val="bottom"/>
                </w:tcPr>
                <w:p w:rsidR="00AC2131" w:rsidRDefault="00AC2131" w:rsidP="00AC2131">
                  <w:pPr>
                    <w:pStyle w:val="TableBodyText"/>
                    <w:spacing w:after="0"/>
                    <w:ind w:left="0" w:right="57"/>
                  </w:pPr>
                  <w:r>
                    <w:t>17.1</w:t>
                  </w:r>
                </w:p>
              </w:tc>
              <w:tc>
                <w:tcPr>
                  <w:tcW w:w="467" w:type="pct"/>
                  <w:vAlign w:val="bottom"/>
                </w:tcPr>
                <w:p w:rsidR="00AC2131" w:rsidRDefault="00AC2131" w:rsidP="00AC2131">
                  <w:pPr>
                    <w:pStyle w:val="TableBodyText"/>
                    <w:spacing w:after="0"/>
                    <w:ind w:left="0" w:right="57"/>
                  </w:pPr>
                  <w:r>
                    <w:t>21.0</w:t>
                  </w:r>
                </w:p>
              </w:tc>
              <w:tc>
                <w:tcPr>
                  <w:tcW w:w="467" w:type="pct"/>
                  <w:shd w:val="clear" w:color="auto" w:fill="auto"/>
                  <w:vAlign w:val="bottom"/>
                </w:tcPr>
                <w:p w:rsidR="00AC2131" w:rsidRDefault="00AC2131" w:rsidP="00AC2131">
                  <w:pPr>
                    <w:pStyle w:val="TableBodyText"/>
                    <w:spacing w:after="0"/>
                    <w:ind w:left="0" w:right="57"/>
                  </w:pPr>
                  <w:r>
                    <w:t>13.9</w:t>
                  </w:r>
                </w:p>
              </w:tc>
              <w:tc>
                <w:tcPr>
                  <w:tcW w:w="465" w:type="pct"/>
                  <w:shd w:val="clear" w:color="auto" w:fill="auto"/>
                  <w:vAlign w:val="bottom"/>
                </w:tcPr>
                <w:p w:rsidR="00AC2131" w:rsidRDefault="00AC2131" w:rsidP="00AC2131">
                  <w:pPr>
                    <w:pStyle w:val="TableBodyText"/>
                    <w:spacing w:after="0"/>
                    <w:ind w:left="0" w:right="57"/>
                  </w:pPr>
                  <w:r>
                    <w:t>15.0</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New Industries Development Program</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Premium R&amp;D tax concession</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1.5</w:t>
                  </w:r>
                </w:p>
              </w:tc>
              <w:tc>
                <w:tcPr>
                  <w:tcW w:w="467" w:type="pct"/>
                  <w:shd w:val="clear" w:color="auto" w:fill="auto"/>
                  <w:vAlign w:val="bottom"/>
                </w:tcPr>
                <w:p w:rsidR="00AC2131" w:rsidRDefault="00AC2131" w:rsidP="00AC2131">
                  <w:pPr>
                    <w:pStyle w:val="TableBodyText"/>
                    <w:spacing w:after="0"/>
                    <w:ind w:left="0" w:right="57"/>
                  </w:pPr>
                  <w:r>
                    <w:t>0.4</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R&amp;D tax concession</w:t>
                  </w:r>
                </w:p>
              </w:tc>
              <w:tc>
                <w:tcPr>
                  <w:tcW w:w="468"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2.5</w:t>
                  </w:r>
                </w:p>
              </w:tc>
              <w:tc>
                <w:tcPr>
                  <w:tcW w:w="467" w:type="pct"/>
                  <w:vAlign w:val="bottom"/>
                </w:tcPr>
                <w:p w:rsidR="00AC2131" w:rsidRDefault="00AC2131" w:rsidP="00AC2131">
                  <w:pPr>
                    <w:pStyle w:val="TableBodyText"/>
                    <w:spacing w:after="0"/>
                    <w:ind w:left="0" w:right="57"/>
                  </w:pPr>
                  <w:r>
                    <w:t>2.5</w:t>
                  </w:r>
                </w:p>
              </w:tc>
              <w:tc>
                <w:tcPr>
                  <w:tcW w:w="467" w:type="pct"/>
                  <w:vAlign w:val="bottom"/>
                </w:tcPr>
                <w:p w:rsidR="00AC2131" w:rsidRDefault="00AC2131" w:rsidP="00AC2131">
                  <w:pPr>
                    <w:pStyle w:val="TableBodyText"/>
                    <w:spacing w:after="0"/>
                    <w:ind w:left="0" w:right="57"/>
                  </w:pPr>
                  <w:r>
                    <w:t>2.8</w:t>
                  </w:r>
                </w:p>
              </w:tc>
              <w:tc>
                <w:tcPr>
                  <w:tcW w:w="467" w:type="pct"/>
                  <w:shd w:val="clear" w:color="auto" w:fill="auto"/>
                  <w:vAlign w:val="bottom"/>
                </w:tcPr>
                <w:p w:rsidR="00AC2131" w:rsidRDefault="00AC2131" w:rsidP="00AC2131">
                  <w:pPr>
                    <w:pStyle w:val="TableBodyText"/>
                    <w:spacing w:after="0"/>
                    <w:ind w:left="0" w:right="57"/>
                  </w:pPr>
                  <w:r>
                    <w:t>1.3</w:t>
                  </w:r>
                </w:p>
              </w:tc>
              <w:tc>
                <w:tcPr>
                  <w:tcW w:w="465" w:type="pct"/>
                  <w:shd w:val="clear" w:color="auto" w:fill="auto"/>
                  <w:vAlign w:val="bottom"/>
                </w:tcPr>
                <w:p w:rsidR="00AC2131" w:rsidRDefault="00AC2131" w:rsidP="00AC2131">
                  <w:pPr>
                    <w:pStyle w:val="TableBodyText"/>
                    <w:spacing w:after="0"/>
                    <w:ind w:left="0" w:right="57"/>
                  </w:pPr>
                  <w:r>
                    <w:t>0.4</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 xml:space="preserve">R&amp;D Tax Incentive </w:t>
                  </w:r>
                  <w:r>
                    <w:rPr>
                      <w:rFonts w:ascii="Arial" w:hAnsi="Arial" w:cs="Arial"/>
                      <w:color w:val="000000"/>
                      <w:sz w:val="18"/>
                      <w:szCs w:val="18"/>
                    </w:rPr>
                    <w:t>–</w:t>
                  </w:r>
                  <w:r w:rsidRPr="00CB4D08">
                    <w:rPr>
                      <w:rFonts w:ascii="Arial" w:hAnsi="Arial" w:cs="Arial"/>
                      <w:color w:val="000000"/>
                      <w:sz w:val="18"/>
                      <w:szCs w:val="18"/>
                    </w:rPr>
                    <w:t xml:space="preserve"> exemption of refundable </w:t>
                  </w:r>
                  <w:r>
                    <w:rPr>
                      <w:rFonts w:ascii="Arial" w:hAnsi="Arial" w:cs="Arial"/>
                      <w:color w:val="000000"/>
                      <w:sz w:val="18"/>
                      <w:szCs w:val="18"/>
                    </w:rPr>
                    <w:t xml:space="preserve">tax </w:t>
                  </w:r>
                  <w:r w:rsidRPr="00CB4D08">
                    <w:rPr>
                      <w:rFonts w:ascii="Arial" w:hAnsi="Arial" w:cs="Arial"/>
                      <w:color w:val="000000"/>
                      <w:sz w:val="18"/>
                      <w:szCs w:val="18"/>
                    </w:rPr>
                    <w:t>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-1.7</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 xml:space="preserve">R&amp;D Tax Incentive </w:t>
                  </w:r>
                  <w:r>
                    <w:rPr>
                      <w:rFonts w:ascii="Arial" w:hAnsi="Arial" w:cs="Arial"/>
                      <w:color w:val="000000"/>
                      <w:sz w:val="18"/>
                      <w:szCs w:val="18"/>
                    </w:rPr>
                    <w:t>–</w:t>
                  </w:r>
                  <w:r w:rsidRPr="00CB4D08">
                    <w:rPr>
                      <w:rFonts w:ascii="Arial" w:hAnsi="Arial" w:cs="Arial"/>
                      <w:color w:val="000000"/>
                      <w:sz w:val="18"/>
                      <w:szCs w:val="18"/>
                    </w:rPr>
                    <w:t xml:space="preserve"> non-refundable </w:t>
                  </w:r>
                  <w:r>
                    <w:rPr>
                      <w:rFonts w:ascii="Arial" w:hAnsi="Arial" w:cs="Arial"/>
                      <w:color w:val="000000"/>
                      <w:sz w:val="18"/>
                      <w:szCs w:val="18"/>
                    </w:rPr>
                    <w:t xml:space="preserve">tax </w:t>
                  </w:r>
                  <w:r w:rsidRPr="00CB4D08">
                    <w:rPr>
                      <w:rFonts w:ascii="Arial" w:hAnsi="Arial" w:cs="Arial"/>
                      <w:color w:val="000000"/>
                      <w:sz w:val="18"/>
                      <w:szCs w:val="18"/>
                    </w:rPr>
                    <w:t>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0.7</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 xml:space="preserve">R&amp;D Tax Incentive </w:t>
                  </w:r>
                  <w:r>
                    <w:rPr>
                      <w:rFonts w:ascii="Arial" w:hAnsi="Arial" w:cs="Arial"/>
                      <w:color w:val="000000"/>
                      <w:sz w:val="18"/>
                      <w:szCs w:val="18"/>
                    </w:rPr>
                    <w:t>–</w:t>
                  </w:r>
                  <w:r w:rsidRPr="00CB4D08">
                    <w:rPr>
                      <w:rFonts w:ascii="Arial" w:hAnsi="Arial" w:cs="Arial"/>
                      <w:color w:val="000000"/>
                      <w:sz w:val="18"/>
                      <w:szCs w:val="18"/>
                    </w:rPr>
                    <w:t xml:space="preserve"> refundable </w:t>
                  </w:r>
                  <w:r>
                    <w:rPr>
                      <w:rFonts w:ascii="Arial" w:hAnsi="Arial" w:cs="Arial"/>
                      <w:color w:val="000000"/>
                      <w:sz w:val="18"/>
                      <w:szCs w:val="18"/>
                    </w:rPr>
                    <w:t xml:space="preserve">tax </w:t>
                  </w:r>
                  <w:r w:rsidRPr="00CB4D08">
                    <w:rPr>
                      <w:rFonts w:ascii="Arial" w:hAnsi="Arial" w:cs="Arial"/>
                      <w:color w:val="000000"/>
                      <w:sz w:val="18"/>
                      <w:szCs w:val="18"/>
                    </w:rPr>
                    <w:t>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3.2</w:t>
                  </w:r>
                </w:p>
              </w:tc>
              <w:tc>
                <w:tcPr>
                  <w:tcW w:w="465" w:type="pct"/>
                  <w:shd w:val="clear" w:color="auto" w:fill="auto"/>
                  <w:vAlign w:val="bottom"/>
                </w:tcPr>
                <w:p w:rsidR="00AC2131" w:rsidRDefault="00AC2131" w:rsidP="00AC2131">
                  <w:pPr>
                    <w:pStyle w:val="TableBodyText"/>
                    <w:spacing w:after="0"/>
                    <w:ind w:left="0" w:right="57"/>
                  </w:pPr>
                  <w:r>
                    <w:t>5.7</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8" w:type="pct"/>
                  <w:vAlign w:val="bottom"/>
                </w:tcPr>
                <w:p w:rsidR="00AC2131" w:rsidRDefault="00AC2131" w:rsidP="00AC2131">
                  <w:pPr>
                    <w:pStyle w:val="TableBodyText"/>
                    <w:spacing w:after="0"/>
                    <w:ind w:left="0" w:right="57"/>
                  </w:pPr>
                  <w:r>
                    <w:t>5.7</w:t>
                  </w:r>
                </w:p>
              </w:tc>
              <w:tc>
                <w:tcPr>
                  <w:tcW w:w="467" w:type="pct"/>
                  <w:vAlign w:val="bottom"/>
                </w:tcPr>
                <w:p w:rsidR="00AC2131" w:rsidRDefault="00AC2131" w:rsidP="00AC2131">
                  <w:pPr>
                    <w:pStyle w:val="TableBodyText"/>
                    <w:spacing w:after="0"/>
                    <w:ind w:left="0" w:right="57"/>
                  </w:pPr>
                  <w:r>
                    <w:t>5.4</w:t>
                  </w:r>
                </w:p>
              </w:tc>
              <w:tc>
                <w:tcPr>
                  <w:tcW w:w="467" w:type="pct"/>
                  <w:vAlign w:val="bottom"/>
                </w:tcPr>
                <w:p w:rsidR="00AC2131" w:rsidRDefault="00AC2131" w:rsidP="00AC2131">
                  <w:pPr>
                    <w:pStyle w:val="TableBodyText"/>
                    <w:spacing w:after="0"/>
                    <w:ind w:left="0" w:right="57"/>
                  </w:pPr>
                  <w:r>
                    <w:t>3.6</w:t>
                  </w:r>
                </w:p>
              </w:tc>
              <w:tc>
                <w:tcPr>
                  <w:tcW w:w="467" w:type="pct"/>
                  <w:vAlign w:val="bottom"/>
                </w:tcPr>
                <w:p w:rsidR="00AC2131" w:rsidRDefault="00AC2131" w:rsidP="00AC2131">
                  <w:pPr>
                    <w:pStyle w:val="TableBodyText"/>
                    <w:spacing w:after="0"/>
                    <w:ind w:left="0" w:right="57"/>
                  </w:pPr>
                  <w:r>
                    <w:t>4.1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CB4D08" w:rsidRDefault="00AC2131" w:rsidP="00AC2131">
                  <w:pPr>
                    <w:pStyle w:val="TableBodyText"/>
                    <w:spacing w:before="40" w:after="0"/>
                    <w:ind w:left="113"/>
                    <w:jc w:val="left"/>
                    <w:rPr>
                      <w:i/>
                    </w:rPr>
                  </w:pPr>
                  <w:r w:rsidRPr="00CB4D08">
                    <w:rPr>
                      <w:i/>
                    </w:rPr>
                    <w:t>Other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25 per cent entrepreneurs' tax offset</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0.7</w:t>
                  </w:r>
                </w:p>
              </w:tc>
              <w:tc>
                <w:tcPr>
                  <w:tcW w:w="467" w:type="pct"/>
                  <w:shd w:val="clear" w:color="auto" w:fill="auto"/>
                  <w:vAlign w:val="bottom"/>
                </w:tcPr>
                <w:p w:rsidR="00AC2131" w:rsidRDefault="00AC2131" w:rsidP="00AC2131">
                  <w:pPr>
                    <w:pStyle w:val="TableBodyText"/>
                    <w:spacing w:after="0"/>
                    <w:ind w:left="0" w:right="57"/>
                  </w:pPr>
                  <w:r>
                    <w:t>0.7</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Enterprise Connect Innovation Centres</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Industry Cooperative Innovation Program</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tcBorders>
                    <w:bottom w:val="single" w:sz="6" w:space="0" w:color="BFBFBF"/>
                  </w:tcBorders>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North West and Northern Tasmania Innovation and Investment Fund</w:t>
                  </w:r>
                </w:p>
              </w:tc>
              <w:tc>
                <w:tcPr>
                  <w:tcW w:w="468"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0.5</w:t>
                  </w:r>
                </w:p>
              </w:tc>
              <w:tc>
                <w:tcPr>
                  <w:tcW w:w="467" w:type="pct"/>
                  <w:tcBorders>
                    <w:bottom w:val="single" w:sz="6" w:space="0" w:color="BFBFBF"/>
                  </w:tcBorders>
                  <w:vAlign w:val="bottom"/>
                </w:tcPr>
                <w:p w:rsidR="00AC2131" w:rsidRDefault="00AC2131" w:rsidP="00AC2131">
                  <w:pPr>
                    <w:pStyle w:val="TableBodyText"/>
                    <w:spacing w:after="0"/>
                    <w:ind w:left="0" w:right="57"/>
                  </w:pPr>
                  <w:r>
                    <w:t>0.4</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jc w:val="right"/>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A.10</w:t>
            </w:r>
            <w:r>
              <w:tab/>
            </w:r>
            <w:r w:rsidRPr="006B64DF">
              <w:rPr>
                <w:b w:val="0"/>
                <w:sz w:val="18"/>
                <w:szCs w:val="18"/>
              </w:rPr>
              <w:t>(continued)</w:t>
            </w:r>
          </w:p>
        </w:tc>
      </w:tr>
      <w:tr w:rsidR="00AC2131" w:rsidTr="00AC2131">
        <w:trPr>
          <w:cantSplit/>
        </w:trPr>
        <w:tc>
          <w:tcPr>
            <w:tcW w:w="8767" w:type="dxa"/>
            <w:tcBorders>
              <w:top w:val="nil"/>
              <w:left w:val="nil"/>
              <w:bottom w:val="nil"/>
              <w:right w:val="nil"/>
            </w:tcBorders>
            <w:shd w:val="clear" w:color="auto" w:fill="auto"/>
          </w:tcPr>
          <w:tbl>
            <w:tblPr>
              <w:tblW w:w="8510" w:type="dxa"/>
              <w:tblLayout w:type="fixed"/>
              <w:tblCellMar>
                <w:top w:w="28" w:type="dxa"/>
                <w:left w:w="0" w:type="dxa"/>
                <w:right w:w="0" w:type="dxa"/>
              </w:tblCellMar>
              <w:tblLook w:val="0000" w:firstRow="0" w:lastRow="0" w:firstColumn="0" w:lastColumn="0" w:noHBand="0" w:noVBand="0"/>
            </w:tblPr>
            <w:tblGrid>
              <w:gridCol w:w="3742"/>
              <w:gridCol w:w="797"/>
              <w:gridCol w:w="795"/>
              <w:gridCol w:w="795"/>
              <w:gridCol w:w="795"/>
              <w:gridCol w:w="795"/>
              <w:gridCol w:w="791"/>
            </w:tblGrid>
            <w:tr w:rsidR="00AC2131" w:rsidTr="00AC2131">
              <w:tc>
                <w:tcPr>
                  <w:tcW w:w="21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8"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199" w:type="pct"/>
                  <w:tcBorders>
                    <w:top w:val="single" w:sz="6" w:space="0" w:color="BFBFBF"/>
                  </w:tcBorders>
                </w:tcPr>
                <w:p w:rsidR="00AC2131" w:rsidRPr="00056DB7" w:rsidRDefault="00AC2131" w:rsidP="00AC2131">
                  <w:pPr>
                    <w:pStyle w:val="TableUnitsRow"/>
                    <w:spacing w:after="0"/>
                    <w:ind w:left="113"/>
                    <w:jc w:val="left"/>
                    <w:rPr>
                      <w:i/>
                    </w:rPr>
                  </w:pPr>
                  <w:r w:rsidRPr="00AD4C85">
                    <w:rPr>
                      <w:i/>
                    </w:rPr>
                    <w:t>Other measures</w:t>
                  </w:r>
                  <w:r>
                    <w:rPr>
                      <w:i/>
                    </w:rPr>
                    <w:t xml:space="preserve"> (continued)</w:t>
                  </w:r>
                </w:p>
              </w:tc>
              <w:tc>
                <w:tcPr>
                  <w:tcW w:w="468"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5" w:type="pct"/>
                  <w:tcBorders>
                    <w:top w:val="single" w:sz="6" w:space="0" w:color="BFBFBF"/>
                  </w:tcBorders>
                </w:tcPr>
                <w:p w:rsidR="00AC2131" w:rsidRDefault="00AC2131" w:rsidP="00AC2131">
                  <w:pPr>
                    <w:pStyle w:val="TableUnitsRow"/>
                    <w:spacing w:after="0"/>
                    <w:ind w:left="113" w:right="28"/>
                  </w:pP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8"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5.3</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 xml:space="preserve">Small business </w:t>
                  </w:r>
                  <w:r>
                    <w:rPr>
                      <w:rFonts w:ascii="Arial" w:hAnsi="Arial" w:cs="Arial"/>
                      <w:color w:val="000000"/>
                      <w:sz w:val="18"/>
                      <w:szCs w:val="18"/>
                    </w:rPr>
                    <w:t>capital gains tax</w:t>
                  </w:r>
                  <w:r w:rsidRPr="00CB4D08">
                    <w:rPr>
                      <w:rFonts w:ascii="Arial" w:hAnsi="Arial" w:cs="Arial"/>
                      <w:color w:val="000000"/>
                      <w:sz w:val="18"/>
                      <w:szCs w:val="18"/>
                    </w:rPr>
                    <w:t xml:space="preserve"> 50 per cent reduction</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0.8</w:t>
                  </w:r>
                </w:p>
              </w:tc>
              <w:tc>
                <w:tcPr>
                  <w:tcW w:w="465" w:type="pct"/>
                  <w:shd w:val="clear" w:color="auto" w:fill="auto"/>
                  <w:vAlign w:val="bottom"/>
                </w:tcPr>
                <w:p w:rsidR="00AC2131" w:rsidRDefault="00AC2131" w:rsidP="00AC2131">
                  <w:pPr>
                    <w:pStyle w:val="TableBodyText"/>
                    <w:spacing w:after="0"/>
                    <w:ind w:left="0" w:right="57"/>
                  </w:pPr>
                  <w:r>
                    <w:t>0.9</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 xml:space="preserve">Small business </w:t>
                  </w:r>
                  <w:r>
                    <w:rPr>
                      <w:rFonts w:ascii="Arial" w:hAnsi="Arial" w:cs="Arial"/>
                      <w:color w:val="000000"/>
                      <w:sz w:val="18"/>
                      <w:szCs w:val="18"/>
                    </w:rPr>
                    <w:t>capital gains tax</w:t>
                  </w:r>
                  <w:r w:rsidRPr="00CB4D08">
                    <w:rPr>
                      <w:rFonts w:ascii="Arial" w:hAnsi="Arial" w:cs="Arial"/>
                      <w:color w:val="000000"/>
                      <w:sz w:val="18"/>
                      <w:szCs w:val="18"/>
                    </w:rPr>
                    <w:t xml:space="preserve"> retirement exemption</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 xml:space="preserve">Small business </w:t>
                  </w:r>
                  <w:r>
                    <w:rPr>
                      <w:rFonts w:ascii="Arial" w:hAnsi="Arial" w:cs="Arial"/>
                      <w:color w:val="000000"/>
                      <w:sz w:val="18"/>
                      <w:szCs w:val="18"/>
                    </w:rPr>
                    <w:t>capital gains tax</w:t>
                  </w:r>
                  <w:r w:rsidRPr="00CB4D08">
                    <w:rPr>
                      <w:rFonts w:ascii="Arial" w:hAnsi="Arial" w:cs="Arial"/>
                      <w:color w:val="000000"/>
                      <w:sz w:val="18"/>
                      <w:szCs w:val="18"/>
                    </w:rPr>
                    <w:t xml:space="preserve"> rollover deferral</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South Australia Innovation and Investment Fund and Labour Assistance Package</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South East South Australia Innovation and Investment Fund</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Tasmanian Freight Equalisation Scheme</w:t>
                  </w:r>
                </w:p>
              </w:tc>
              <w:tc>
                <w:tcPr>
                  <w:tcW w:w="468"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3.6</w:t>
                  </w:r>
                </w:p>
              </w:tc>
              <w:tc>
                <w:tcPr>
                  <w:tcW w:w="467" w:type="pct"/>
                  <w:vAlign w:val="bottom"/>
                </w:tcPr>
                <w:p w:rsidR="00AC2131" w:rsidRDefault="00AC2131" w:rsidP="00AC2131">
                  <w:pPr>
                    <w:pStyle w:val="TableBodyText"/>
                    <w:spacing w:after="0"/>
                    <w:ind w:left="0" w:right="57"/>
                  </w:pPr>
                  <w:r>
                    <w:t>3.7</w:t>
                  </w:r>
                </w:p>
              </w:tc>
              <w:tc>
                <w:tcPr>
                  <w:tcW w:w="467" w:type="pct"/>
                  <w:vAlign w:val="bottom"/>
                </w:tcPr>
                <w:p w:rsidR="00AC2131" w:rsidRDefault="00AC2131" w:rsidP="00AC2131">
                  <w:pPr>
                    <w:pStyle w:val="TableBodyText"/>
                    <w:spacing w:after="0"/>
                    <w:ind w:left="0" w:right="57"/>
                  </w:pPr>
                  <w:r>
                    <w:t>3.5</w:t>
                  </w:r>
                </w:p>
              </w:tc>
              <w:tc>
                <w:tcPr>
                  <w:tcW w:w="467" w:type="pct"/>
                  <w:shd w:val="clear" w:color="auto" w:fill="auto"/>
                  <w:vAlign w:val="bottom"/>
                </w:tcPr>
                <w:p w:rsidR="00AC2131" w:rsidRDefault="00AC2131" w:rsidP="00AC2131">
                  <w:pPr>
                    <w:pStyle w:val="TableBodyText"/>
                    <w:spacing w:after="0"/>
                    <w:ind w:left="0" w:right="57"/>
                  </w:pPr>
                  <w:r>
                    <w:t>4.1</w:t>
                  </w:r>
                </w:p>
              </w:tc>
              <w:tc>
                <w:tcPr>
                  <w:tcW w:w="465" w:type="pct"/>
                  <w:shd w:val="clear" w:color="auto" w:fill="auto"/>
                  <w:vAlign w:val="bottom"/>
                </w:tcPr>
                <w:p w:rsidR="00AC2131" w:rsidRDefault="00AC2131" w:rsidP="00AC2131">
                  <w:pPr>
                    <w:pStyle w:val="TableBodyText"/>
                    <w:spacing w:after="0"/>
                    <w:ind w:left="0" w:right="57"/>
                  </w:pPr>
                  <w:r>
                    <w:t>3.8</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Tasmanian Innovation and Investment Fund</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0.7</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Temporary Assistance for Tasmanian Exporters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The Small Business and General Business Tax Break</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5.3</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CB4D08" w:rsidRDefault="00AC2131" w:rsidP="00AC2131">
                  <w:pPr>
                    <w:pStyle w:val="TableBodyText"/>
                    <w:spacing w:before="20" w:after="20"/>
                    <w:jc w:val="left"/>
                    <w:rPr>
                      <w:i/>
                    </w:rPr>
                  </w:pPr>
                  <w:r w:rsidRPr="00CB4D08">
                    <w:rPr>
                      <w:i/>
                    </w:rPr>
                    <w:t>Total</w:t>
                  </w:r>
                </w:p>
              </w:tc>
              <w:tc>
                <w:tcPr>
                  <w:tcW w:w="468" w:type="pct"/>
                  <w:vAlign w:val="bottom"/>
                </w:tcPr>
                <w:p w:rsidR="00AC2131" w:rsidRPr="00BE0EEF" w:rsidRDefault="00AC2131" w:rsidP="00AC2131">
                  <w:pPr>
                    <w:pStyle w:val="TableBodyText"/>
                    <w:spacing w:after="0"/>
                    <w:ind w:left="0" w:right="57"/>
                    <w:rPr>
                      <w:i/>
                    </w:rPr>
                  </w:pPr>
                  <w:r w:rsidRPr="00BE0EEF">
                    <w:rPr>
                      <w:i/>
                    </w:rPr>
                    <w:t>75.3</w:t>
                  </w:r>
                </w:p>
              </w:tc>
              <w:tc>
                <w:tcPr>
                  <w:tcW w:w="467" w:type="pct"/>
                  <w:vAlign w:val="bottom"/>
                </w:tcPr>
                <w:p w:rsidR="00AC2131" w:rsidRPr="00BE0EEF" w:rsidRDefault="00AC2131" w:rsidP="00AC2131">
                  <w:pPr>
                    <w:pStyle w:val="TableBodyText"/>
                    <w:spacing w:after="0"/>
                    <w:ind w:left="0" w:right="57"/>
                    <w:rPr>
                      <w:i/>
                    </w:rPr>
                  </w:pPr>
                  <w:r w:rsidRPr="00BE0EEF">
                    <w:rPr>
                      <w:i/>
                    </w:rPr>
                    <w:t>83.6</w:t>
                  </w:r>
                </w:p>
              </w:tc>
              <w:tc>
                <w:tcPr>
                  <w:tcW w:w="467" w:type="pct"/>
                  <w:vAlign w:val="bottom"/>
                </w:tcPr>
                <w:p w:rsidR="00AC2131" w:rsidRPr="00BE0EEF" w:rsidRDefault="00AC2131" w:rsidP="00AC2131">
                  <w:pPr>
                    <w:pStyle w:val="TableBodyText"/>
                    <w:spacing w:after="0"/>
                    <w:ind w:left="0" w:right="57"/>
                    <w:rPr>
                      <w:i/>
                    </w:rPr>
                  </w:pPr>
                  <w:r w:rsidRPr="00BE0EEF">
                    <w:rPr>
                      <w:i/>
                    </w:rPr>
                    <w:t>77.8</w:t>
                  </w:r>
                </w:p>
              </w:tc>
              <w:tc>
                <w:tcPr>
                  <w:tcW w:w="467" w:type="pct"/>
                  <w:vAlign w:val="bottom"/>
                </w:tcPr>
                <w:p w:rsidR="00AC2131" w:rsidRPr="00BE0EEF" w:rsidRDefault="00AC2131" w:rsidP="00AC2131">
                  <w:pPr>
                    <w:pStyle w:val="TableBodyText"/>
                    <w:spacing w:after="0"/>
                    <w:ind w:left="0" w:right="57"/>
                    <w:rPr>
                      <w:i/>
                    </w:rPr>
                  </w:pPr>
                  <w:r w:rsidRPr="00BE0EEF">
                    <w:rPr>
                      <w:i/>
                    </w:rPr>
                    <w:t>67.1</w:t>
                  </w:r>
                </w:p>
              </w:tc>
              <w:tc>
                <w:tcPr>
                  <w:tcW w:w="467" w:type="pct"/>
                  <w:shd w:val="clear" w:color="auto" w:fill="auto"/>
                  <w:vAlign w:val="bottom"/>
                </w:tcPr>
                <w:p w:rsidR="00AC2131" w:rsidRPr="00BE0EEF" w:rsidRDefault="00AC2131" w:rsidP="00AC2131">
                  <w:pPr>
                    <w:pStyle w:val="TableBodyText"/>
                    <w:spacing w:after="0"/>
                    <w:ind w:left="0" w:right="57"/>
                    <w:rPr>
                      <w:i/>
                    </w:rPr>
                  </w:pPr>
                  <w:r w:rsidRPr="00BE0EEF">
                    <w:rPr>
                      <w:i/>
                    </w:rPr>
                    <w:t>60.2</w:t>
                  </w:r>
                </w:p>
              </w:tc>
              <w:tc>
                <w:tcPr>
                  <w:tcW w:w="465" w:type="pct"/>
                  <w:shd w:val="clear" w:color="auto" w:fill="auto"/>
                  <w:vAlign w:val="bottom"/>
                </w:tcPr>
                <w:p w:rsidR="00AC2131" w:rsidRPr="00BE0EEF" w:rsidRDefault="00AC2131" w:rsidP="00AC2131">
                  <w:pPr>
                    <w:pStyle w:val="TableBodyText"/>
                    <w:spacing w:after="0"/>
                    <w:ind w:left="0" w:right="57"/>
                    <w:rPr>
                      <w:i/>
                    </w:rPr>
                  </w:pPr>
                  <w:r w:rsidRPr="00BE0EEF">
                    <w:rPr>
                      <w:i/>
                    </w:rPr>
                    <w:t>65.0</w:t>
                  </w:r>
                </w:p>
              </w:tc>
            </w:tr>
            <w:tr w:rsidR="00AC2131" w:rsidTr="00AC2131">
              <w:tc>
                <w:tcPr>
                  <w:tcW w:w="2199" w:type="pct"/>
                  <w:shd w:val="clear" w:color="auto" w:fill="auto"/>
                </w:tcPr>
                <w:p w:rsidR="00AC2131" w:rsidRPr="00CB4D08" w:rsidRDefault="00AC2131" w:rsidP="00AC2131">
                  <w:pPr>
                    <w:pStyle w:val="TableBodyText"/>
                    <w:spacing w:before="40"/>
                    <w:jc w:val="left"/>
                    <w:rPr>
                      <w:b/>
                    </w:rPr>
                  </w:pPr>
                  <w:r w:rsidRPr="00CB4D08">
                    <w:rPr>
                      <w:b/>
                    </w:rPr>
                    <w:t>Forestry and logging</w:t>
                  </w:r>
                </w:p>
              </w:tc>
              <w:tc>
                <w:tcPr>
                  <w:tcW w:w="468"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5" w:type="pct"/>
                  <w:shd w:val="clear" w:color="auto" w:fill="auto"/>
                </w:tcPr>
                <w:p w:rsidR="00AC2131" w:rsidRDefault="00AC2131" w:rsidP="00AC2131">
                  <w:pPr>
                    <w:pStyle w:val="TableBodyText"/>
                    <w:spacing w:before="40"/>
                    <w:ind w:right="28"/>
                  </w:pPr>
                </w:p>
              </w:tc>
            </w:tr>
            <w:tr w:rsidR="00AC2131" w:rsidTr="00AC2131">
              <w:tc>
                <w:tcPr>
                  <w:tcW w:w="2199" w:type="pct"/>
                  <w:shd w:val="clear" w:color="auto" w:fill="auto"/>
                </w:tcPr>
                <w:p w:rsidR="00AC2131" w:rsidRPr="00CB4D08" w:rsidRDefault="00AC2131" w:rsidP="00AC2131">
                  <w:pPr>
                    <w:pStyle w:val="TableBodyText"/>
                    <w:spacing w:before="40" w:after="0"/>
                    <w:ind w:left="113"/>
                    <w:jc w:val="left"/>
                    <w:rPr>
                      <w:i/>
                    </w:rPr>
                  </w:pPr>
                  <w:r w:rsidRPr="00CB4D08">
                    <w:rPr>
                      <w:i/>
                    </w:rPr>
                    <w:t>Industry-specific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12-month prepayment rule</w:t>
                  </w:r>
                </w:p>
              </w:tc>
              <w:tc>
                <w:tcPr>
                  <w:tcW w:w="468" w:type="pct"/>
                  <w:vAlign w:val="bottom"/>
                </w:tcPr>
                <w:p w:rsidR="00AC2131" w:rsidRDefault="00AC2131" w:rsidP="00AC2131">
                  <w:pPr>
                    <w:pStyle w:val="TableBodyText"/>
                    <w:spacing w:after="0"/>
                    <w:ind w:left="0" w:right="57"/>
                  </w:pPr>
                  <w:r>
                    <w:t>-95.0</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Tasmanian Contractors Assistance Program</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16.9</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CB4D08" w:rsidRDefault="00AC2131" w:rsidP="00AC2131">
                  <w:pPr>
                    <w:ind w:left="227"/>
                    <w:rPr>
                      <w:rFonts w:ascii="Arial" w:hAnsi="Arial" w:cs="Arial"/>
                      <w:color w:val="000000"/>
                      <w:sz w:val="18"/>
                      <w:szCs w:val="18"/>
                    </w:rPr>
                  </w:pPr>
                  <w:r w:rsidRPr="00CB4D08">
                    <w:rPr>
                      <w:rFonts w:ascii="Arial" w:hAnsi="Arial" w:cs="Arial"/>
                      <w:color w:val="000000"/>
                      <w:sz w:val="18"/>
                      <w:szCs w:val="18"/>
                    </w:rPr>
                    <w:t>Tasmanian Forest Industry Adjustment Package</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42.4</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w:t>
                  </w:r>
                </w:p>
              </w:tc>
            </w:tr>
            <w:tr w:rsidR="00AC2131" w:rsidRPr="00ED68A4" w:rsidTr="00AC2131">
              <w:tc>
                <w:tcPr>
                  <w:tcW w:w="2199" w:type="pct"/>
                  <w:shd w:val="clear" w:color="auto" w:fill="auto"/>
                </w:tcPr>
                <w:p w:rsidR="00AC2131" w:rsidRPr="00ED68A4" w:rsidRDefault="00AC2131" w:rsidP="00AC2131">
                  <w:pPr>
                    <w:ind w:left="227"/>
                    <w:rPr>
                      <w:rFonts w:ascii="Arial" w:hAnsi="Arial" w:cs="Arial"/>
                      <w:sz w:val="18"/>
                      <w:szCs w:val="18"/>
                    </w:rPr>
                  </w:pPr>
                  <w:r w:rsidRPr="00ED68A4">
                    <w:rPr>
                      <w:rFonts w:ascii="Arial" w:hAnsi="Arial" w:cs="Arial"/>
                      <w:sz w:val="18"/>
                      <w:szCs w:val="18"/>
                    </w:rPr>
                    <w:t xml:space="preserve">Tasmanian Forests Agreement </w:t>
                  </w:r>
                  <w:r>
                    <w:rPr>
                      <w:rFonts w:ascii="Arial" w:hAnsi="Arial" w:cs="Arial"/>
                      <w:sz w:val="18"/>
                      <w:szCs w:val="18"/>
                    </w:rPr>
                    <w:t>–</w:t>
                  </w:r>
                  <w:r w:rsidRPr="00ED68A4">
                    <w:rPr>
                      <w:rFonts w:ascii="Arial" w:hAnsi="Arial" w:cs="Arial"/>
                      <w:sz w:val="18"/>
                      <w:szCs w:val="18"/>
                    </w:rPr>
                    <w:t xml:space="preserve"> Implementation Package</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20.3</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tcPr>
                <w:p w:rsidR="00AC2131" w:rsidRPr="00056DB7" w:rsidRDefault="00AC2131" w:rsidP="00AC2131">
                  <w:pPr>
                    <w:pStyle w:val="TableUnitsRow"/>
                    <w:spacing w:after="0"/>
                    <w:ind w:left="113"/>
                    <w:jc w:val="left"/>
                    <w:rPr>
                      <w:i/>
                    </w:rPr>
                  </w:pPr>
                  <w:r w:rsidRPr="00056DB7">
                    <w:rPr>
                      <w:i/>
                    </w:rPr>
                    <w:t>Sector-specific measures</w:t>
                  </w:r>
                </w:p>
              </w:tc>
              <w:tc>
                <w:tcPr>
                  <w:tcW w:w="468"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5" w:type="pct"/>
                </w:tcPr>
                <w:p w:rsidR="00AC2131" w:rsidRDefault="00AC2131" w:rsidP="00AC2131">
                  <w:pPr>
                    <w:pStyle w:val="TableUnitsRow"/>
                    <w:spacing w:after="0"/>
                    <w:ind w:left="113" w:right="28"/>
                  </w:pPr>
                </w:p>
              </w:tc>
            </w:tr>
            <w:tr w:rsidR="00AC2131" w:rsidTr="00AC2131">
              <w:tc>
                <w:tcPr>
                  <w:tcW w:w="2199" w:type="pct"/>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Carbon Farming Futures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0.6</w:t>
                  </w:r>
                </w:p>
              </w:tc>
              <w:tc>
                <w:tcPr>
                  <w:tcW w:w="465" w:type="pct"/>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Carbon Farming Initiative</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interest rate subsidies</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Income tax averaging provisions</w:t>
                  </w:r>
                </w:p>
              </w:tc>
              <w:tc>
                <w:tcPr>
                  <w:tcW w:w="468" w:type="pct"/>
                  <w:vAlign w:val="bottom"/>
                </w:tcPr>
                <w:p w:rsidR="00AC2131" w:rsidRDefault="00AC2131" w:rsidP="00AC2131">
                  <w:pPr>
                    <w:pStyle w:val="TableBodyText"/>
                    <w:spacing w:after="0"/>
                    <w:ind w:left="0" w:right="57"/>
                  </w:pPr>
                  <w:r>
                    <w:t>3.1</w:t>
                  </w:r>
                </w:p>
              </w:tc>
              <w:tc>
                <w:tcPr>
                  <w:tcW w:w="467" w:type="pct"/>
                  <w:vAlign w:val="bottom"/>
                </w:tcPr>
                <w:p w:rsidR="00AC2131" w:rsidRDefault="00AC2131" w:rsidP="00AC2131">
                  <w:pPr>
                    <w:pStyle w:val="TableBodyText"/>
                    <w:spacing w:after="0"/>
                    <w:ind w:left="0" w:right="57"/>
                  </w:pPr>
                  <w:r>
                    <w:t>3.9</w:t>
                  </w:r>
                </w:p>
              </w:tc>
              <w:tc>
                <w:tcPr>
                  <w:tcW w:w="467" w:type="pct"/>
                  <w:vAlign w:val="bottom"/>
                </w:tcPr>
                <w:p w:rsidR="00AC2131" w:rsidRDefault="00AC2131" w:rsidP="00AC2131">
                  <w:pPr>
                    <w:pStyle w:val="TableBodyText"/>
                    <w:spacing w:after="0"/>
                    <w:ind w:left="0" w:right="57"/>
                  </w:pPr>
                  <w:r>
                    <w:t>2.7</w:t>
                  </w:r>
                </w:p>
              </w:tc>
              <w:tc>
                <w:tcPr>
                  <w:tcW w:w="467" w:type="pct"/>
                  <w:vAlign w:val="bottom"/>
                </w:tcPr>
                <w:p w:rsidR="00AC2131" w:rsidRDefault="00AC2131" w:rsidP="00AC2131">
                  <w:pPr>
                    <w:pStyle w:val="TableBodyText"/>
                    <w:spacing w:after="0"/>
                    <w:ind w:left="0" w:right="57"/>
                  </w:pPr>
                  <w:r>
                    <w:t>1.9</w:t>
                  </w:r>
                </w:p>
              </w:tc>
              <w:tc>
                <w:tcPr>
                  <w:tcW w:w="467" w:type="pct"/>
                  <w:shd w:val="clear" w:color="auto" w:fill="auto"/>
                  <w:vAlign w:val="bottom"/>
                </w:tcPr>
                <w:p w:rsidR="00AC2131" w:rsidRDefault="00AC2131" w:rsidP="00AC2131">
                  <w:pPr>
                    <w:pStyle w:val="TableBodyText"/>
                    <w:spacing w:after="0"/>
                    <w:ind w:left="0" w:right="57"/>
                  </w:pPr>
                  <w:r>
                    <w:t>3.4</w:t>
                  </w:r>
                </w:p>
              </w:tc>
              <w:tc>
                <w:tcPr>
                  <w:tcW w:w="465" w:type="pct"/>
                  <w:shd w:val="clear" w:color="auto" w:fill="auto"/>
                  <w:vAlign w:val="bottom"/>
                </w:tcPr>
                <w:p w:rsidR="00AC2131" w:rsidRDefault="00AC2131" w:rsidP="00AC2131">
                  <w:pPr>
                    <w:pStyle w:val="TableBodyText"/>
                    <w:spacing w:after="0"/>
                    <w:ind w:left="0" w:right="57"/>
                  </w:pPr>
                  <w:r>
                    <w:t>3.4</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Industry partnerships program</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Rural Financial Counselling Service</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Tax deduction for conserving or conveying water</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shd w:val="clear" w:color="auto" w:fill="auto"/>
                </w:tcPr>
                <w:p w:rsidR="00AC2131" w:rsidRPr="00056DB7" w:rsidRDefault="00AC2131" w:rsidP="00AC2131">
                  <w:pPr>
                    <w:pStyle w:val="TableBodyText"/>
                    <w:spacing w:before="40" w:after="0"/>
                    <w:ind w:left="113"/>
                    <w:jc w:val="left"/>
                    <w:rPr>
                      <w:rFonts w:cs="Arial"/>
                      <w:i/>
                      <w:szCs w:val="18"/>
                    </w:rPr>
                  </w:pPr>
                  <w:r w:rsidRPr="00056DB7">
                    <w:rPr>
                      <w:rFonts w:cs="Arial"/>
                      <w:i/>
                      <w:szCs w:val="18"/>
                    </w:rPr>
                    <w:t>Rural R&amp;D measures</w:t>
                  </w:r>
                </w:p>
              </w:tc>
              <w:tc>
                <w:tcPr>
                  <w:tcW w:w="468" w:type="pct"/>
                </w:tcPr>
                <w:p w:rsidR="00AC2131" w:rsidRPr="00056DB7" w:rsidRDefault="00AC2131" w:rsidP="00AC2131">
                  <w:pPr>
                    <w:pStyle w:val="TableBodyText"/>
                    <w:spacing w:before="40" w:after="0"/>
                    <w:ind w:left="113"/>
                    <w:rPr>
                      <w:rFonts w:cs="Arial"/>
                      <w:szCs w:val="18"/>
                    </w:rPr>
                  </w:pPr>
                </w:p>
              </w:tc>
              <w:tc>
                <w:tcPr>
                  <w:tcW w:w="467" w:type="pct"/>
                </w:tcPr>
                <w:p w:rsidR="00AC2131" w:rsidRPr="00056DB7" w:rsidRDefault="00AC2131" w:rsidP="00AC2131">
                  <w:pPr>
                    <w:pStyle w:val="TableBodyText"/>
                    <w:spacing w:before="40" w:after="0"/>
                    <w:ind w:left="113"/>
                    <w:rPr>
                      <w:rFonts w:cs="Arial"/>
                      <w:szCs w:val="18"/>
                    </w:rPr>
                  </w:pPr>
                </w:p>
              </w:tc>
              <w:tc>
                <w:tcPr>
                  <w:tcW w:w="467" w:type="pct"/>
                </w:tcPr>
                <w:p w:rsidR="00AC2131" w:rsidRPr="00056DB7" w:rsidRDefault="00AC2131" w:rsidP="00AC2131">
                  <w:pPr>
                    <w:pStyle w:val="TableBodyText"/>
                    <w:spacing w:before="40" w:after="0"/>
                    <w:ind w:left="113"/>
                    <w:rPr>
                      <w:rFonts w:cs="Arial"/>
                      <w:szCs w:val="18"/>
                    </w:rPr>
                  </w:pPr>
                </w:p>
              </w:tc>
              <w:tc>
                <w:tcPr>
                  <w:tcW w:w="467" w:type="pct"/>
                </w:tcPr>
                <w:p w:rsidR="00AC2131" w:rsidRPr="00056DB7" w:rsidRDefault="00AC2131" w:rsidP="00AC2131">
                  <w:pPr>
                    <w:pStyle w:val="TableBodyText"/>
                    <w:spacing w:before="40" w:after="0"/>
                    <w:ind w:left="113"/>
                    <w:rPr>
                      <w:rFonts w:cs="Arial"/>
                      <w:szCs w:val="18"/>
                    </w:rPr>
                  </w:pPr>
                </w:p>
              </w:tc>
              <w:tc>
                <w:tcPr>
                  <w:tcW w:w="467" w:type="pct"/>
                  <w:shd w:val="clear" w:color="auto" w:fill="auto"/>
                </w:tcPr>
                <w:p w:rsidR="00AC2131" w:rsidRPr="00056DB7" w:rsidRDefault="00AC2131" w:rsidP="00AC2131">
                  <w:pPr>
                    <w:pStyle w:val="TableBodyText"/>
                    <w:spacing w:before="40" w:after="0"/>
                    <w:ind w:left="113"/>
                    <w:rPr>
                      <w:rFonts w:cs="Arial"/>
                      <w:szCs w:val="18"/>
                    </w:rPr>
                  </w:pPr>
                </w:p>
              </w:tc>
              <w:tc>
                <w:tcPr>
                  <w:tcW w:w="465" w:type="pct"/>
                  <w:shd w:val="clear" w:color="auto" w:fill="auto"/>
                </w:tcPr>
                <w:p w:rsidR="00AC2131" w:rsidRPr="00056DB7" w:rsidRDefault="00AC2131" w:rsidP="00AC2131">
                  <w:pPr>
                    <w:pStyle w:val="TableBodyText"/>
                    <w:spacing w:before="40" w:after="0"/>
                    <w:ind w:left="113" w:right="28"/>
                    <w:rPr>
                      <w:rFonts w:cs="Arial"/>
                      <w:szCs w:val="18"/>
                    </w:rPr>
                  </w:pP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 xml:space="preserve">Forest </w:t>
                  </w:r>
                  <w:r>
                    <w:rPr>
                      <w:rFonts w:ascii="Arial" w:hAnsi="Arial" w:cs="Arial"/>
                      <w:color w:val="000000"/>
                      <w:sz w:val="18"/>
                      <w:szCs w:val="18"/>
                    </w:rPr>
                    <w:t>and</w:t>
                  </w:r>
                  <w:r w:rsidRPr="00056DB7">
                    <w:rPr>
                      <w:rFonts w:ascii="Arial" w:hAnsi="Arial" w:cs="Arial"/>
                      <w:color w:val="000000"/>
                      <w:sz w:val="18"/>
                      <w:szCs w:val="18"/>
                    </w:rPr>
                    <w:t xml:space="preserve"> Wood </w:t>
                  </w:r>
                  <w:r>
                    <w:rPr>
                      <w:rFonts w:ascii="Arial" w:hAnsi="Arial" w:cs="Arial"/>
                      <w:color w:val="000000"/>
                      <w:sz w:val="18"/>
                      <w:szCs w:val="18"/>
                    </w:rPr>
                    <w:t xml:space="preserve">products </w:t>
                  </w:r>
                  <w:r w:rsidRPr="00056DB7">
                    <w:rPr>
                      <w:rFonts w:ascii="Arial" w:hAnsi="Arial" w:cs="Arial"/>
                      <w:color w:val="000000"/>
                      <w:sz w:val="18"/>
                      <w:szCs w:val="18"/>
                    </w:rPr>
                    <w:t>R</w:t>
                  </w:r>
                  <w:r>
                    <w:rPr>
                      <w:rFonts w:ascii="Arial" w:hAnsi="Arial" w:cs="Arial"/>
                      <w:color w:val="000000"/>
                      <w:sz w:val="18"/>
                      <w:szCs w:val="18"/>
                    </w:rPr>
                    <w:t>&amp;D</w:t>
                  </w:r>
                </w:p>
              </w:tc>
              <w:tc>
                <w:tcPr>
                  <w:tcW w:w="468"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2.6</w:t>
                  </w:r>
                </w:p>
              </w:tc>
              <w:tc>
                <w:tcPr>
                  <w:tcW w:w="467" w:type="pct"/>
                  <w:vAlign w:val="bottom"/>
                </w:tcPr>
                <w:p w:rsidR="00AC2131" w:rsidRDefault="00AC2131" w:rsidP="00AC2131">
                  <w:pPr>
                    <w:pStyle w:val="TableBodyText"/>
                    <w:spacing w:after="0"/>
                    <w:ind w:left="0" w:right="57"/>
                  </w:pPr>
                  <w:r>
                    <w:t>2.4</w:t>
                  </w:r>
                </w:p>
              </w:tc>
              <w:tc>
                <w:tcPr>
                  <w:tcW w:w="467" w:type="pct"/>
                  <w:shd w:val="clear" w:color="auto" w:fill="auto"/>
                  <w:vAlign w:val="bottom"/>
                </w:tcPr>
                <w:p w:rsidR="00AC2131" w:rsidRDefault="00AC2131" w:rsidP="00AC2131">
                  <w:pPr>
                    <w:pStyle w:val="TableBodyText"/>
                    <w:spacing w:after="0"/>
                    <w:ind w:left="0" w:right="57"/>
                  </w:pPr>
                  <w:r>
                    <w:t>1.8</w:t>
                  </w:r>
                </w:p>
              </w:tc>
              <w:tc>
                <w:tcPr>
                  <w:tcW w:w="465" w:type="pct"/>
                  <w:shd w:val="clear" w:color="auto" w:fill="auto"/>
                  <w:vAlign w:val="bottom"/>
                </w:tcPr>
                <w:p w:rsidR="00AC2131" w:rsidRDefault="00AC2131" w:rsidP="00AC2131">
                  <w:pPr>
                    <w:pStyle w:val="TableBodyText"/>
                    <w:spacing w:after="0"/>
                    <w:ind w:left="0" w:right="57"/>
                  </w:pPr>
                  <w:r>
                    <w:t>2.2</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Rural Industries R</w:t>
                  </w:r>
                  <w:r>
                    <w:rPr>
                      <w:rFonts w:ascii="Arial" w:hAnsi="Arial" w:cs="Arial"/>
                      <w:color w:val="000000"/>
                      <w:sz w:val="18"/>
                      <w:szCs w:val="18"/>
                    </w:rPr>
                    <w:t xml:space="preserve">&amp;D </w:t>
                  </w:r>
                  <w:r w:rsidRPr="00056DB7">
                    <w:rPr>
                      <w:rFonts w:ascii="Arial" w:hAnsi="Arial" w:cs="Arial"/>
                      <w:color w:val="000000"/>
                      <w:sz w:val="18"/>
                      <w:szCs w:val="18"/>
                    </w:rPr>
                    <w:t>Corporation</w:t>
                  </w:r>
                </w:p>
              </w:tc>
              <w:tc>
                <w:tcPr>
                  <w:tcW w:w="468"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056DB7" w:rsidRDefault="00AC2131" w:rsidP="00AC2131">
                  <w:pPr>
                    <w:pStyle w:val="TableBodyText"/>
                    <w:spacing w:before="40" w:after="0"/>
                    <w:ind w:left="113"/>
                    <w:jc w:val="left"/>
                    <w:rPr>
                      <w:i/>
                    </w:rPr>
                  </w:pPr>
                  <w:r w:rsidRPr="00056DB7">
                    <w:rPr>
                      <w:i/>
                    </w:rPr>
                    <w:t>General export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tcPr>
                <w:p w:rsidR="00AC2131" w:rsidRDefault="00AC2131" w:rsidP="00AC2131">
                  <w:pPr>
                    <w:pStyle w:val="TableBodyText"/>
                    <w:ind w:left="227" w:right="0"/>
                    <w:jc w:val="left"/>
                  </w:pPr>
                  <w:r w:rsidRPr="00056DB7">
                    <w:t>Export Market Development Grants Scheme</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199" w:type="pct"/>
                  <w:shd w:val="clear" w:color="auto" w:fill="auto"/>
                </w:tcPr>
                <w:p w:rsidR="00AC2131" w:rsidRPr="00056DB7" w:rsidRDefault="00AC2131" w:rsidP="00AC2131">
                  <w:pPr>
                    <w:pStyle w:val="TableBodyText"/>
                    <w:spacing w:before="40" w:after="0"/>
                    <w:ind w:left="113"/>
                    <w:jc w:val="left"/>
                    <w:rPr>
                      <w:i/>
                    </w:rPr>
                  </w:pPr>
                  <w:r w:rsidRPr="00056DB7">
                    <w:rPr>
                      <w:i/>
                    </w:rPr>
                    <w:t>General R&amp;D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Commercial Ready Program</w:t>
                  </w:r>
                </w:p>
              </w:tc>
              <w:tc>
                <w:tcPr>
                  <w:tcW w:w="468"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Cooperative Research Centres</w:t>
                  </w:r>
                </w:p>
              </w:tc>
              <w:tc>
                <w:tcPr>
                  <w:tcW w:w="468" w:type="pct"/>
                  <w:vAlign w:val="bottom"/>
                </w:tcPr>
                <w:p w:rsidR="00AC2131" w:rsidRDefault="00AC2131" w:rsidP="00AC2131">
                  <w:pPr>
                    <w:pStyle w:val="TableBodyText"/>
                    <w:spacing w:after="0"/>
                    <w:ind w:left="0" w:right="57"/>
                  </w:pPr>
                  <w:r>
                    <w:t>4.6</w:t>
                  </w:r>
                </w:p>
              </w:tc>
              <w:tc>
                <w:tcPr>
                  <w:tcW w:w="467" w:type="pct"/>
                  <w:vAlign w:val="bottom"/>
                </w:tcPr>
                <w:p w:rsidR="00AC2131" w:rsidRDefault="00AC2131" w:rsidP="00AC2131">
                  <w:pPr>
                    <w:pStyle w:val="TableBodyText"/>
                    <w:spacing w:after="0"/>
                    <w:ind w:left="0" w:right="57"/>
                  </w:pPr>
                  <w:r>
                    <w:t>4.8</w:t>
                  </w:r>
                </w:p>
              </w:tc>
              <w:tc>
                <w:tcPr>
                  <w:tcW w:w="467" w:type="pct"/>
                  <w:vAlign w:val="bottom"/>
                </w:tcPr>
                <w:p w:rsidR="00AC2131" w:rsidRDefault="00AC2131" w:rsidP="00AC2131">
                  <w:pPr>
                    <w:pStyle w:val="TableBodyText"/>
                    <w:spacing w:after="0"/>
                    <w:ind w:left="0" w:right="57"/>
                  </w:pPr>
                  <w:r>
                    <w:t>3.8</w:t>
                  </w:r>
                </w:p>
              </w:tc>
              <w:tc>
                <w:tcPr>
                  <w:tcW w:w="467" w:type="pct"/>
                  <w:vAlign w:val="bottom"/>
                </w:tcPr>
                <w:p w:rsidR="00AC2131" w:rsidRDefault="00AC2131" w:rsidP="00AC2131">
                  <w:pPr>
                    <w:pStyle w:val="TableBodyText"/>
                    <w:spacing w:after="0"/>
                    <w:ind w:left="0" w:right="57"/>
                  </w:pPr>
                  <w:r>
                    <w:t>3.2</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CSIRO</w:t>
                  </w:r>
                </w:p>
              </w:tc>
              <w:tc>
                <w:tcPr>
                  <w:tcW w:w="468" w:type="pct"/>
                  <w:vAlign w:val="bottom"/>
                </w:tcPr>
                <w:p w:rsidR="00AC2131" w:rsidRDefault="00AC2131" w:rsidP="00AC2131">
                  <w:pPr>
                    <w:pStyle w:val="TableBodyText"/>
                    <w:spacing w:after="0"/>
                    <w:ind w:left="0" w:right="57"/>
                  </w:pPr>
                  <w:r>
                    <w:t>6.2</w:t>
                  </w:r>
                </w:p>
              </w:tc>
              <w:tc>
                <w:tcPr>
                  <w:tcW w:w="467" w:type="pct"/>
                  <w:vAlign w:val="bottom"/>
                </w:tcPr>
                <w:p w:rsidR="00AC2131" w:rsidRDefault="00AC2131" w:rsidP="00AC2131">
                  <w:pPr>
                    <w:pStyle w:val="TableBodyText"/>
                    <w:spacing w:after="0"/>
                    <w:ind w:left="0" w:right="57"/>
                  </w:pPr>
                  <w:r>
                    <w:t>6.7</w:t>
                  </w:r>
                </w:p>
              </w:tc>
              <w:tc>
                <w:tcPr>
                  <w:tcW w:w="467" w:type="pct"/>
                  <w:vAlign w:val="bottom"/>
                </w:tcPr>
                <w:p w:rsidR="00AC2131" w:rsidRDefault="00AC2131" w:rsidP="00AC2131">
                  <w:pPr>
                    <w:pStyle w:val="TableBodyText"/>
                    <w:spacing w:after="0"/>
                    <w:ind w:left="0" w:right="57"/>
                  </w:pPr>
                  <w:r>
                    <w:t>6.8</w:t>
                  </w:r>
                </w:p>
              </w:tc>
              <w:tc>
                <w:tcPr>
                  <w:tcW w:w="467" w:type="pct"/>
                  <w:vAlign w:val="bottom"/>
                </w:tcPr>
                <w:p w:rsidR="00AC2131" w:rsidRDefault="00AC2131" w:rsidP="00AC2131">
                  <w:pPr>
                    <w:pStyle w:val="TableBodyText"/>
                    <w:spacing w:after="0"/>
                    <w:ind w:left="0" w:right="57"/>
                  </w:pPr>
                  <w:r>
                    <w:t>10.5</w:t>
                  </w:r>
                </w:p>
              </w:tc>
              <w:tc>
                <w:tcPr>
                  <w:tcW w:w="467" w:type="pct"/>
                  <w:shd w:val="clear" w:color="auto" w:fill="auto"/>
                  <w:vAlign w:val="bottom"/>
                </w:tcPr>
                <w:p w:rsidR="00AC2131" w:rsidRDefault="00AC2131" w:rsidP="00AC2131">
                  <w:pPr>
                    <w:pStyle w:val="TableBodyText"/>
                    <w:spacing w:after="0"/>
                    <w:ind w:left="0" w:right="57"/>
                  </w:pPr>
                  <w:r>
                    <w:t>8.5</w:t>
                  </w:r>
                </w:p>
              </w:tc>
              <w:tc>
                <w:tcPr>
                  <w:tcW w:w="465" w:type="pct"/>
                  <w:shd w:val="clear" w:color="auto" w:fill="auto"/>
                  <w:vAlign w:val="bottom"/>
                </w:tcPr>
                <w:p w:rsidR="00AC2131" w:rsidRDefault="00AC2131" w:rsidP="00AC2131">
                  <w:pPr>
                    <w:pStyle w:val="TableBodyText"/>
                    <w:spacing w:after="0"/>
                    <w:ind w:left="0" w:right="57"/>
                  </w:pPr>
                  <w:r>
                    <w:t>7.8</w:t>
                  </w:r>
                </w:p>
              </w:tc>
            </w:tr>
            <w:tr w:rsidR="00AC2131" w:rsidTr="00AC2131">
              <w:tc>
                <w:tcPr>
                  <w:tcW w:w="2199" w:type="pct"/>
                  <w:tcBorders>
                    <w:bottom w:val="single" w:sz="6" w:space="0" w:color="BFBFBF"/>
                  </w:tcBorders>
                  <w:shd w:val="clear" w:color="auto" w:fill="auto"/>
                  <w:vAlign w:val="bottom"/>
                </w:tcPr>
                <w:p w:rsidR="00AC2131" w:rsidRPr="00056DB7" w:rsidRDefault="00AC2131" w:rsidP="00AC2131">
                  <w:pPr>
                    <w:ind w:left="227"/>
                    <w:rPr>
                      <w:rFonts w:ascii="Arial" w:hAnsi="Arial" w:cs="Arial"/>
                      <w:color w:val="000000"/>
                      <w:sz w:val="18"/>
                      <w:szCs w:val="18"/>
                    </w:rPr>
                  </w:pPr>
                  <w:r w:rsidRPr="00056DB7">
                    <w:rPr>
                      <w:rFonts w:ascii="Arial" w:hAnsi="Arial" w:cs="Arial"/>
                      <w:color w:val="000000"/>
                      <w:sz w:val="18"/>
                      <w:szCs w:val="18"/>
                    </w:rPr>
                    <w:t>R&amp;D tax concession</w:t>
                  </w:r>
                </w:p>
              </w:tc>
              <w:tc>
                <w:tcPr>
                  <w:tcW w:w="468" w:type="pct"/>
                  <w:tcBorders>
                    <w:bottom w:val="single" w:sz="6" w:space="0" w:color="BFBFBF"/>
                  </w:tcBorders>
                  <w:vAlign w:val="bottom"/>
                </w:tcPr>
                <w:p w:rsidR="00AC2131" w:rsidRDefault="00AC2131" w:rsidP="00AC2131">
                  <w:pPr>
                    <w:pStyle w:val="TableBodyText"/>
                    <w:spacing w:after="0"/>
                    <w:ind w:left="0" w:right="57"/>
                  </w:pPr>
                  <w:r>
                    <w:t>0.1</w:t>
                  </w:r>
                </w:p>
              </w:tc>
              <w:tc>
                <w:tcPr>
                  <w:tcW w:w="467" w:type="pct"/>
                  <w:tcBorders>
                    <w:bottom w:val="single" w:sz="6" w:space="0" w:color="BFBFBF"/>
                  </w:tcBorders>
                  <w:vAlign w:val="bottom"/>
                </w:tcPr>
                <w:p w:rsidR="00AC2131" w:rsidRDefault="00AC2131" w:rsidP="00AC2131">
                  <w:pPr>
                    <w:pStyle w:val="TableBodyText"/>
                    <w:spacing w:after="0"/>
                    <w:ind w:left="0" w:right="57"/>
                  </w:pPr>
                  <w:r>
                    <w:t>0.2</w:t>
                  </w:r>
                </w:p>
              </w:tc>
              <w:tc>
                <w:tcPr>
                  <w:tcW w:w="467" w:type="pct"/>
                  <w:tcBorders>
                    <w:bottom w:val="single" w:sz="6" w:space="0" w:color="BFBFBF"/>
                  </w:tcBorders>
                  <w:vAlign w:val="bottom"/>
                </w:tcPr>
                <w:p w:rsidR="00AC2131" w:rsidRDefault="00AC2131" w:rsidP="00AC2131">
                  <w:pPr>
                    <w:pStyle w:val="TableBodyText"/>
                    <w:spacing w:after="0"/>
                    <w:ind w:left="0" w:right="57"/>
                  </w:pPr>
                  <w:r>
                    <w:t>0.2</w:t>
                  </w:r>
                </w:p>
              </w:tc>
              <w:tc>
                <w:tcPr>
                  <w:tcW w:w="467" w:type="pct"/>
                  <w:tcBorders>
                    <w:bottom w:val="single" w:sz="6" w:space="0" w:color="BFBFBF"/>
                  </w:tcBorders>
                  <w:vAlign w:val="bottom"/>
                </w:tcPr>
                <w:p w:rsidR="00AC2131" w:rsidRDefault="00AC2131" w:rsidP="00AC2131">
                  <w:pPr>
                    <w:pStyle w:val="TableBodyText"/>
                    <w:spacing w:after="0"/>
                    <w:ind w:left="0" w:right="57"/>
                  </w:pPr>
                  <w:r>
                    <w:t>0.3</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0.1</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&lt;0.1</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jc w:val="right"/>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A.10</w:t>
            </w:r>
            <w:r>
              <w:tab/>
            </w:r>
            <w:r w:rsidRPr="006B64DF">
              <w:rPr>
                <w:b w:val="0"/>
                <w:sz w:val="18"/>
                <w:szCs w:val="18"/>
              </w:rPr>
              <w:t>(continued)</w:t>
            </w:r>
          </w:p>
        </w:tc>
      </w:tr>
      <w:tr w:rsidR="00AC2131" w:rsidTr="00AC2131">
        <w:trPr>
          <w:cantSplit/>
        </w:trPr>
        <w:tc>
          <w:tcPr>
            <w:tcW w:w="8767" w:type="dxa"/>
            <w:tcBorders>
              <w:top w:val="nil"/>
              <w:left w:val="nil"/>
              <w:bottom w:val="nil"/>
              <w:right w:val="nil"/>
            </w:tcBorders>
            <w:shd w:val="clear" w:color="auto" w:fill="auto"/>
          </w:tcPr>
          <w:tbl>
            <w:tblPr>
              <w:tblW w:w="8510" w:type="dxa"/>
              <w:tblLayout w:type="fixed"/>
              <w:tblCellMar>
                <w:top w:w="28" w:type="dxa"/>
                <w:left w:w="0" w:type="dxa"/>
                <w:right w:w="0" w:type="dxa"/>
              </w:tblCellMar>
              <w:tblLook w:val="0000" w:firstRow="0" w:lastRow="0" w:firstColumn="0" w:lastColumn="0" w:noHBand="0" w:noVBand="0"/>
            </w:tblPr>
            <w:tblGrid>
              <w:gridCol w:w="3742"/>
              <w:gridCol w:w="797"/>
              <w:gridCol w:w="795"/>
              <w:gridCol w:w="795"/>
              <w:gridCol w:w="795"/>
              <w:gridCol w:w="795"/>
              <w:gridCol w:w="791"/>
            </w:tblGrid>
            <w:tr w:rsidR="00AC2131" w:rsidTr="00AC2131">
              <w:tc>
                <w:tcPr>
                  <w:tcW w:w="21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8"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199" w:type="pct"/>
                  <w:shd w:val="clear" w:color="auto" w:fill="auto"/>
                </w:tcPr>
                <w:p w:rsidR="00AC2131" w:rsidRPr="00056DB7" w:rsidRDefault="00AC2131" w:rsidP="00AC2131">
                  <w:pPr>
                    <w:pStyle w:val="TableBodyText"/>
                    <w:spacing w:before="40" w:after="0"/>
                    <w:ind w:left="113"/>
                    <w:jc w:val="left"/>
                    <w:rPr>
                      <w:i/>
                    </w:rPr>
                  </w:pPr>
                  <w:r w:rsidRPr="00056DB7">
                    <w:rPr>
                      <w:i/>
                    </w:rPr>
                    <w:t>General R&amp;D measures</w:t>
                  </w:r>
                  <w:r>
                    <w:rPr>
                      <w:i/>
                    </w:rPr>
                    <w:t xml:space="preserve"> (continued)</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0.7</w:t>
                  </w:r>
                </w:p>
              </w:tc>
              <w:tc>
                <w:tcPr>
                  <w:tcW w:w="465" w:type="pct"/>
                  <w:shd w:val="clear" w:color="auto" w:fill="auto"/>
                  <w:vAlign w:val="bottom"/>
                </w:tcPr>
                <w:p w:rsidR="00AC2131" w:rsidRDefault="00AC2131" w:rsidP="00AC2131">
                  <w:pPr>
                    <w:pStyle w:val="TableBodyText"/>
                    <w:spacing w:after="0"/>
                    <w:ind w:left="0" w:right="57"/>
                  </w:pPr>
                  <w:r>
                    <w:t>0.6</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0.5</w:t>
                  </w:r>
                </w:p>
              </w:tc>
            </w:tr>
            <w:tr w:rsidR="00AC2131" w:rsidTr="00AC2131">
              <w:tc>
                <w:tcPr>
                  <w:tcW w:w="2199" w:type="pct"/>
                  <w:shd w:val="clear" w:color="auto" w:fill="auto"/>
                  <w:vAlign w:val="bottom"/>
                </w:tcPr>
                <w:p w:rsidR="00AC2131" w:rsidRPr="00056DB7"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AD4C85" w:rsidRDefault="00AC2131" w:rsidP="00AC2131">
                  <w:pPr>
                    <w:pStyle w:val="TableBodyText"/>
                    <w:spacing w:before="40" w:after="0"/>
                    <w:ind w:left="113"/>
                    <w:jc w:val="left"/>
                    <w:rPr>
                      <w:i/>
                    </w:rPr>
                  </w:pPr>
                  <w:r w:rsidRPr="00AD4C85">
                    <w:rPr>
                      <w:i/>
                    </w:rPr>
                    <w:t>Other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AD4C85" w:rsidRDefault="00AC2131" w:rsidP="00AC2131">
                  <w:pPr>
                    <w:ind w:left="227"/>
                    <w:rPr>
                      <w:rFonts w:ascii="Arial" w:hAnsi="Arial" w:cs="Arial"/>
                      <w:color w:val="000000"/>
                      <w:sz w:val="18"/>
                      <w:szCs w:val="18"/>
                    </w:rPr>
                  </w:pPr>
                  <w:r w:rsidRPr="00AD4C85">
                    <w:rPr>
                      <w:rFonts w:ascii="Arial" w:hAnsi="Arial" w:cs="Arial"/>
                      <w:color w:val="000000"/>
                      <w:sz w:val="18"/>
                      <w:szCs w:val="18"/>
                    </w:rPr>
                    <w:t>25 per cent entrepreneurs' tax offset</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AD4C85" w:rsidRDefault="00AC2131" w:rsidP="00AC2131">
                  <w:pPr>
                    <w:ind w:left="227"/>
                    <w:rPr>
                      <w:rFonts w:ascii="Arial" w:hAnsi="Arial" w:cs="Arial"/>
                      <w:color w:val="000000"/>
                      <w:sz w:val="18"/>
                      <w:szCs w:val="18"/>
                    </w:rPr>
                  </w:pPr>
                  <w:r w:rsidRPr="00AD4C85">
                    <w:rPr>
                      <w:rFonts w:ascii="Arial" w:hAnsi="Arial" w:cs="Arial"/>
                      <w:color w:val="000000"/>
                      <w:sz w:val="18"/>
                      <w:szCs w:val="18"/>
                    </w:rPr>
                    <w:t>North East Tasmania Innovation and Investment Fund</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AD4C85" w:rsidRDefault="00AC2131" w:rsidP="00AC2131">
                  <w:pPr>
                    <w:ind w:left="227"/>
                    <w:rPr>
                      <w:rFonts w:ascii="Arial" w:hAnsi="Arial" w:cs="Arial"/>
                      <w:color w:val="000000"/>
                      <w:sz w:val="18"/>
                      <w:szCs w:val="18"/>
                    </w:rPr>
                  </w:pPr>
                  <w:r w:rsidRPr="00AD4C85">
                    <w:rPr>
                      <w:rFonts w:ascii="Arial" w:hAnsi="Arial" w:cs="Arial"/>
                      <w:color w:val="000000"/>
                      <w:sz w:val="18"/>
                      <w:szCs w:val="18"/>
                    </w:rPr>
                    <w:t>Scottsdale Industry and Community Development Fund</w:t>
                  </w:r>
                </w:p>
              </w:tc>
              <w:tc>
                <w:tcPr>
                  <w:tcW w:w="468"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AD4C85"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6.9</w:t>
                  </w:r>
                </w:p>
              </w:tc>
            </w:tr>
            <w:tr w:rsidR="00AC2131" w:rsidTr="00AC2131">
              <w:tc>
                <w:tcPr>
                  <w:tcW w:w="2199" w:type="pct"/>
                  <w:shd w:val="clear" w:color="auto" w:fill="auto"/>
                  <w:vAlign w:val="bottom"/>
                </w:tcPr>
                <w:p w:rsidR="00AC2131" w:rsidRPr="00AD4C85"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8"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AD4C85" w:rsidRDefault="00AC2131" w:rsidP="00AC2131">
                  <w:pPr>
                    <w:ind w:left="227"/>
                    <w:rPr>
                      <w:rFonts w:ascii="Arial" w:hAnsi="Arial" w:cs="Arial"/>
                      <w:color w:val="000000"/>
                      <w:sz w:val="18"/>
                      <w:szCs w:val="18"/>
                    </w:rPr>
                  </w:pPr>
                  <w:r w:rsidRPr="00AD4C85">
                    <w:rPr>
                      <w:rFonts w:ascii="Arial" w:hAnsi="Arial" w:cs="Arial"/>
                      <w:color w:val="000000"/>
                      <w:sz w:val="18"/>
                      <w:szCs w:val="18"/>
                    </w:rPr>
                    <w:t xml:space="preserve">Small business </w:t>
                  </w:r>
                  <w:r>
                    <w:rPr>
                      <w:rFonts w:ascii="Arial" w:hAnsi="Arial" w:cs="Arial"/>
                      <w:color w:val="000000"/>
                      <w:sz w:val="18"/>
                      <w:szCs w:val="18"/>
                    </w:rPr>
                    <w:t>capital gains tax</w:t>
                  </w:r>
                  <w:r w:rsidRPr="00AD4C85">
                    <w:rPr>
                      <w:rFonts w:ascii="Arial" w:hAnsi="Arial" w:cs="Arial"/>
                      <w:color w:val="000000"/>
                      <w:sz w:val="18"/>
                      <w:szCs w:val="18"/>
                    </w:rPr>
                    <w:t xml:space="preserve"> 50 per cent reduction</w:t>
                  </w:r>
                </w:p>
              </w:tc>
              <w:tc>
                <w:tcPr>
                  <w:tcW w:w="468" w:type="pct"/>
                  <w:vAlign w:val="bottom"/>
                </w:tcPr>
                <w:p w:rsidR="00AC2131" w:rsidRDefault="00AC2131" w:rsidP="00AC2131">
                  <w:pPr>
                    <w:pStyle w:val="TableBodyText"/>
                    <w:spacing w:after="0"/>
                    <w:ind w:left="0" w:right="57"/>
                  </w:pPr>
                  <w:r>
                    <w:t>6.9</w:t>
                  </w:r>
                </w:p>
              </w:tc>
              <w:tc>
                <w:tcPr>
                  <w:tcW w:w="467" w:type="pct"/>
                  <w:vAlign w:val="bottom"/>
                </w:tcPr>
                <w:p w:rsidR="00AC2131" w:rsidRDefault="00AC2131" w:rsidP="00AC2131">
                  <w:pPr>
                    <w:pStyle w:val="TableBodyText"/>
                    <w:spacing w:after="0"/>
                    <w:ind w:left="0" w:right="57"/>
                  </w:pPr>
                  <w:r>
                    <w:t>6.6</w:t>
                  </w:r>
                </w:p>
              </w:tc>
              <w:tc>
                <w:tcPr>
                  <w:tcW w:w="467" w:type="pct"/>
                  <w:vAlign w:val="bottom"/>
                </w:tcPr>
                <w:p w:rsidR="00AC2131" w:rsidRDefault="00AC2131" w:rsidP="00AC2131">
                  <w:pPr>
                    <w:pStyle w:val="TableBodyText"/>
                    <w:spacing w:after="0"/>
                    <w:ind w:left="0" w:right="57"/>
                  </w:pPr>
                  <w:r>
                    <w:t>3.2</w:t>
                  </w:r>
                </w:p>
              </w:tc>
              <w:tc>
                <w:tcPr>
                  <w:tcW w:w="467" w:type="pct"/>
                  <w:vAlign w:val="bottom"/>
                </w:tcPr>
                <w:p w:rsidR="00AC2131" w:rsidRDefault="00AC2131" w:rsidP="00AC2131">
                  <w:pPr>
                    <w:pStyle w:val="TableBodyText"/>
                    <w:spacing w:after="0"/>
                    <w:ind w:left="0" w:right="57"/>
                  </w:pPr>
                  <w:r>
                    <w:t>2.8</w:t>
                  </w:r>
                </w:p>
              </w:tc>
              <w:tc>
                <w:tcPr>
                  <w:tcW w:w="467" w:type="pct"/>
                  <w:shd w:val="clear" w:color="auto" w:fill="auto"/>
                  <w:vAlign w:val="bottom"/>
                </w:tcPr>
                <w:p w:rsidR="00AC2131" w:rsidRDefault="00AC2131" w:rsidP="00AC2131">
                  <w:pPr>
                    <w:pStyle w:val="TableBodyText"/>
                    <w:spacing w:after="0"/>
                    <w:ind w:left="0" w:right="57"/>
                  </w:pPr>
                  <w:r>
                    <w:t>2.9</w:t>
                  </w:r>
                </w:p>
              </w:tc>
              <w:tc>
                <w:tcPr>
                  <w:tcW w:w="465" w:type="pct"/>
                  <w:shd w:val="clear" w:color="auto" w:fill="auto"/>
                  <w:vAlign w:val="bottom"/>
                </w:tcPr>
                <w:p w:rsidR="00AC2131" w:rsidRDefault="00AC2131" w:rsidP="00AC2131">
                  <w:pPr>
                    <w:pStyle w:val="TableBodyText"/>
                    <w:spacing w:after="0"/>
                    <w:ind w:left="0" w:right="57"/>
                  </w:pPr>
                  <w:r>
                    <w:t>3.1</w:t>
                  </w:r>
                </w:p>
              </w:tc>
            </w:tr>
            <w:tr w:rsidR="00AC2131" w:rsidTr="00AC2131">
              <w:tc>
                <w:tcPr>
                  <w:tcW w:w="2199" w:type="pct"/>
                  <w:shd w:val="clear" w:color="auto" w:fill="auto"/>
                  <w:vAlign w:val="bottom"/>
                </w:tcPr>
                <w:p w:rsidR="00AC2131" w:rsidRPr="00AD4C85" w:rsidRDefault="00AC2131" w:rsidP="00AC2131">
                  <w:pPr>
                    <w:ind w:left="227"/>
                    <w:rPr>
                      <w:rFonts w:ascii="Arial" w:hAnsi="Arial" w:cs="Arial"/>
                      <w:color w:val="000000"/>
                      <w:sz w:val="18"/>
                      <w:szCs w:val="18"/>
                    </w:rPr>
                  </w:pPr>
                  <w:r w:rsidRPr="00AD4C85">
                    <w:rPr>
                      <w:rFonts w:ascii="Arial" w:hAnsi="Arial" w:cs="Arial"/>
                      <w:color w:val="000000"/>
                      <w:sz w:val="18"/>
                      <w:szCs w:val="18"/>
                    </w:rPr>
                    <w:t xml:space="preserve">Small business </w:t>
                  </w:r>
                  <w:r>
                    <w:rPr>
                      <w:rFonts w:ascii="Arial" w:hAnsi="Arial" w:cs="Arial"/>
                      <w:color w:val="000000"/>
                      <w:sz w:val="18"/>
                      <w:szCs w:val="18"/>
                    </w:rPr>
                    <w:t>capital gains tax</w:t>
                  </w:r>
                  <w:r w:rsidRPr="00AD4C85">
                    <w:rPr>
                      <w:rFonts w:ascii="Arial" w:hAnsi="Arial" w:cs="Arial"/>
                      <w:color w:val="000000"/>
                      <w:sz w:val="18"/>
                      <w:szCs w:val="18"/>
                    </w:rPr>
                    <w:t xml:space="preserve"> retirement exemption</w:t>
                  </w:r>
                </w:p>
              </w:tc>
              <w:tc>
                <w:tcPr>
                  <w:tcW w:w="468" w:type="pct"/>
                  <w:vAlign w:val="bottom"/>
                </w:tcPr>
                <w:p w:rsidR="00AC2131" w:rsidRDefault="00AC2131" w:rsidP="00AC2131">
                  <w:pPr>
                    <w:pStyle w:val="TableBodyText"/>
                    <w:spacing w:after="0"/>
                    <w:ind w:left="0" w:right="57"/>
                  </w:pPr>
                  <w:r>
                    <w:t>3.1</w:t>
                  </w:r>
                </w:p>
              </w:tc>
              <w:tc>
                <w:tcPr>
                  <w:tcW w:w="467" w:type="pct"/>
                  <w:vAlign w:val="bottom"/>
                </w:tcPr>
                <w:p w:rsidR="00AC2131" w:rsidRDefault="00AC2131" w:rsidP="00AC2131">
                  <w:pPr>
                    <w:pStyle w:val="TableBodyText"/>
                    <w:spacing w:after="0"/>
                    <w:ind w:left="0" w:right="57"/>
                  </w:pPr>
                  <w:r>
                    <w:t>3.3</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1.8</w:t>
                  </w:r>
                </w:p>
              </w:tc>
              <w:tc>
                <w:tcPr>
                  <w:tcW w:w="467" w:type="pct"/>
                  <w:shd w:val="clear" w:color="auto" w:fill="auto"/>
                  <w:vAlign w:val="bottom"/>
                </w:tcPr>
                <w:p w:rsidR="00AC2131" w:rsidRDefault="00AC2131" w:rsidP="00AC2131">
                  <w:pPr>
                    <w:pStyle w:val="TableBodyText"/>
                    <w:spacing w:after="0"/>
                    <w:ind w:left="0" w:right="57"/>
                  </w:pPr>
                  <w:r>
                    <w:t>1.8</w:t>
                  </w:r>
                </w:p>
              </w:tc>
              <w:tc>
                <w:tcPr>
                  <w:tcW w:w="465" w:type="pct"/>
                  <w:shd w:val="clear" w:color="auto" w:fill="auto"/>
                  <w:vAlign w:val="bottom"/>
                </w:tcPr>
                <w:p w:rsidR="00AC2131" w:rsidRDefault="00AC2131" w:rsidP="00AC2131">
                  <w:pPr>
                    <w:pStyle w:val="TableBodyText"/>
                    <w:spacing w:after="0"/>
                    <w:ind w:left="0" w:right="57"/>
                  </w:pPr>
                  <w:r>
                    <w:t>1.9</w:t>
                  </w:r>
                </w:p>
              </w:tc>
            </w:tr>
            <w:tr w:rsidR="00AC2131" w:rsidTr="00AC2131">
              <w:tc>
                <w:tcPr>
                  <w:tcW w:w="2199" w:type="pct"/>
                  <w:shd w:val="clear" w:color="auto" w:fill="auto"/>
                  <w:vAlign w:val="bottom"/>
                </w:tcPr>
                <w:p w:rsidR="00AC2131" w:rsidRPr="00AD4C85" w:rsidRDefault="00AC2131" w:rsidP="00AC2131">
                  <w:pPr>
                    <w:ind w:left="227"/>
                    <w:rPr>
                      <w:rFonts w:ascii="Arial" w:hAnsi="Arial" w:cs="Arial"/>
                      <w:color w:val="000000"/>
                      <w:sz w:val="18"/>
                      <w:szCs w:val="18"/>
                    </w:rPr>
                  </w:pPr>
                  <w:r w:rsidRPr="00AD4C85">
                    <w:rPr>
                      <w:rFonts w:ascii="Arial" w:hAnsi="Arial" w:cs="Arial"/>
                      <w:color w:val="000000"/>
                      <w:sz w:val="18"/>
                      <w:szCs w:val="18"/>
                    </w:rPr>
                    <w:t xml:space="preserve">Small business </w:t>
                  </w:r>
                  <w:r>
                    <w:rPr>
                      <w:rFonts w:ascii="Arial" w:hAnsi="Arial" w:cs="Arial"/>
                      <w:color w:val="000000"/>
                      <w:sz w:val="18"/>
                      <w:szCs w:val="18"/>
                    </w:rPr>
                    <w:t>capital gains tax</w:t>
                  </w:r>
                  <w:r w:rsidRPr="00AD4C85">
                    <w:rPr>
                      <w:rFonts w:ascii="Arial" w:hAnsi="Arial" w:cs="Arial"/>
                      <w:color w:val="000000"/>
                      <w:sz w:val="18"/>
                      <w:szCs w:val="18"/>
                    </w:rPr>
                    <w:t xml:space="preserve"> rollover deferral</w:t>
                  </w:r>
                </w:p>
              </w:tc>
              <w:tc>
                <w:tcPr>
                  <w:tcW w:w="468"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1.1</w:t>
                  </w:r>
                </w:p>
              </w:tc>
              <w:tc>
                <w:tcPr>
                  <w:tcW w:w="465" w:type="pct"/>
                  <w:shd w:val="clear" w:color="auto" w:fill="auto"/>
                  <w:vAlign w:val="bottom"/>
                </w:tcPr>
                <w:p w:rsidR="00AC2131" w:rsidRDefault="00AC2131" w:rsidP="00AC2131">
                  <w:pPr>
                    <w:pStyle w:val="TableBodyText"/>
                    <w:spacing w:after="0"/>
                    <w:ind w:left="0" w:right="57"/>
                  </w:pPr>
                  <w:r>
                    <w:t>1.2</w:t>
                  </w:r>
                </w:p>
              </w:tc>
            </w:tr>
            <w:tr w:rsidR="00AC2131" w:rsidTr="00AC2131">
              <w:tc>
                <w:tcPr>
                  <w:tcW w:w="2199" w:type="pct"/>
                  <w:shd w:val="clear" w:color="auto" w:fill="auto"/>
                  <w:vAlign w:val="bottom"/>
                </w:tcPr>
                <w:p w:rsidR="00AC2131" w:rsidRPr="00AD4C85" w:rsidRDefault="00AC2131" w:rsidP="00AC2131">
                  <w:pPr>
                    <w:ind w:left="227"/>
                    <w:rPr>
                      <w:rFonts w:ascii="Arial" w:hAnsi="Arial" w:cs="Arial"/>
                      <w:color w:val="000000"/>
                      <w:sz w:val="18"/>
                      <w:szCs w:val="18"/>
                    </w:rPr>
                  </w:pPr>
                  <w:r w:rsidRPr="00AD4C85">
                    <w:rPr>
                      <w:rFonts w:ascii="Arial" w:hAnsi="Arial" w:cs="Arial"/>
                      <w:color w:val="000000"/>
                      <w:sz w:val="18"/>
                      <w:szCs w:val="18"/>
                    </w:rPr>
                    <w:t>Tasmanian Freight Equalisation Scheme</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3.7</w:t>
                  </w:r>
                </w:p>
              </w:tc>
              <w:tc>
                <w:tcPr>
                  <w:tcW w:w="467" w:type="pct"/>
                  <w:vAlign w:val="bottom"/>
                </w:tcPr>
                <w:p w:rsidR="00AC2131" w:rsidRDefault="00AC2131" w:rsidP="00AC2131">
                  <w:pPr>
                    <w:pStyle w:val="TableBodyText"/>
                    <w:spacing w:after="0"/>
                    <w:ind w:left="0" w:right="57"/>
                  </w:pPr>
                  <w:r>
                    <w:t>3.7</w:t>
                  </w:r>
                </w:p>
              </w:tc>
              <w:tc>
                <w:tcPr>
                  <w:tcW w:w="467" w:type="pct"/>
                  <w:vAlign w:val="bottom"/>
                </w:tcPr>
                <w:p w:rsidR="00AC2131" w:rsidRDefault="00AC2131" w:rsidP="00AC2131">
                  <w:pPr>
                    <w:pStyle w:val="TableBodyText"/>
                    <w:spacing w:after="0"/>
                    <w:ind w:left="0" w:right="57"/>
                  </w:pPr>
                  <w:r>
                    <w:t>3.5</w:t>
                  </w:r>
                </w:p>
              </w:tc>
              <w:tc>
                <w:tcPr>
                  <w:tcW w:w="467" w:type="pct"/>
                  <w:shd w:val="clear" w:color="auto" w:fill="auto"/>
                  <w:vAlign w:val="bottom"/>
                </w:tcPr>
                <w:p w:rsidR="00AC2131" w:rsidRDefault="00AC2131" w:rsidP="00AC2131">
                  <w:pPr>
                    <w:pStyle w:val="TableBodyText"/>
                    <w:spacing w:after="0"/>
                    <w:ind w:left="0" w:right="57"/>
                  </w:pPr>
                  <w:r>
                    <w:t>4.2</w:t>
                  </w:r>
                </w:p>
              </w:tc>
              <w:tc>
                <w:tcPr>
                  <w:tcW w:w="465" w:type="pct"/>
                  <w:shd w:val="clear" w:color="auto" w:fill="auto"/>
                  <w:vAlign w:val="bottom"/>
                </w:tcPr>
                <w:p w:rsidR="00AC2131" w:rsidRDefault="00AC2131" w:rsidP="00AC2131">
                  <w:pPr>
                    <w:pStyle w:val="TableBodyText"/>
                    <w:spacing w:after="0"/>
                    <w:ind w:left="0" w:right="57"/>
                  </w:pPr>
                  <w:r>
                    <w:t>3.9</w:t>
                  </w:r>
                </w:p>
              </w:tc>
            </w:tr>
            <w:tr w:rsidR="00AC2131" w:rsidTr="00AC2131">
              <w:tc>
                <w:tcPr>
                  <w:tcW w:w="2199" w:type="pct"/>
                  <w:shd w:val="clear" w:color="auto" w:fill="auto"/>
                  <w:vAlign w:val="bottom"/>
                </w:tcPr>
                <w:p w:rsidR="00AC2131" w:rsidRPr="00AD4C85" w:rsidRDefault="00AC2131" w:rsidP="00AC2131">
                  <w:pPr>
                    <w:ind w:left="227"/>
                    <w:rPr>
                      <w:rFonts w:ascii="Arial" w:hAnsi="Arial" w:cs="Arial"/>
                      <w:color w:val="000000"/>
                      <w:sz w:val="18"/>
                      <w:szCs w:val="18"/>
                    </w:rPr>
                  </w:pPr>
                  <w:r w:rsidRPr="00AD4C85">
                    <w:rPr>
                      <w:rFonts w:ascii="Arial" w:hAnsi="Arial" w:cs="Arial"/>
                      <w:color w:val="000000"/>
                      <w:sz w:val="18"/>
                      <w:szCs w:val="18"/>
                    </w:rPr>
                    <w:t>Temporary Assistance for Tasmanian Exporters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AD4C85" w:rsidRDefault="00AC2131" w:rsidP="00AC2131">
                  <w:pPr>
                    <w:ind w:left="227"/>
                    <w:rPr>
                      <w:rFonts w:ascii="Arial" w:hAnsi="Arial" w:cs="Arial"/>
                      <w:color w:val="000000"/>
                      <w:sz w:val="18"/>
                      <w:szCs w:val="18"/>
                    </w:rPr>
                  </w:pPr>
                  <w:r w:rsidRPr="00AD4C85">
                    <w:rPr>
                      <w:rFonts w:ascii="Arial" w:hAnsi="Arial" w:cs="Arial"/>
                      <w:color w:val="000000"/>
                      <w:sz w:val="18"/>
                      <w:szCs w:val="18"/>
                    </w:rPr>
                    <w:t>The Small Business and General Business Tax Break</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3.6</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AD4C85" w:rsidRDefault="00AC2131" w:rsidP="00AC2131">
                  <w:pPr>
                    <w:pStyle w:val="TableBodyText"/>
                    <w:spacing w:before="20" w:after="20"/>
                    <w:jc w:val="left"/>
                    <w:rPr>
                      <w:i/>
                    </w:rPr>
                  </w:pPr>
                  <w:r w:rsidRPr="00AD4C85">
                    <w:rPr>
                      <w:i/>
                    </w:rPr>
                    <w:t>Total</w:t>
                  </w:r>
                </w:p>
              </w:tc>
              <w:tc>
                <w:tcPr>
                  <w:tcW w:w="468" w:type="pct"/>
                  <w:vAlign w:val="bottom"/>
                </w:tcPr>
                <w:p w:rsidR="00AC2131" w:rsidRPr="007F7CB8" w:rsidRDefault="00AC2131" w:rsidP="00AC2131">
                  <w:pPr>
                    <w:pStyle w:val="TableBodyText"/>
                    <w:spacing w:after="0"/>
                    <w:ind w:left="0" w:right="57"/>
                    <w:rPr>
                      <w:i/>
                    </w:rPr>
                  </w:pPr>
                  <w:r w:rsidRPr="007F7CB8">
                    <w:rPr>
                      <w:i/>
                    </w:rPr>
                    <w:t>-63.5</w:t>
                  </w:r>
                </w:p>
              </w:tc>
              <w:tc>
                <w:tcPr>
                  <w:tcW w:w="467" w:type="pct"/>
                  <w:vAlign w:val="bottom"/>
                </w:tcPr>
                <w:p w:rsidR="00AC2131" w:rsidRPr="007F7CB8" w:rsidRDefault="00AC2131" w:rsidP="00AC2131">
                  <w:pPr>
                    <w:pStyle w:val="TableBodyText"/>
                    <w:spacing w:after="0"/>
                    <w:ind w:left="0" w:right="57"/>
                    <w:rPr>
                      <w:i/>
                    </w:rPr>
                  </w:pPr>
                  <w:r w:rsidRPr="007F7CB8">
                    <w:rPr>
                      <w:i/>
                    </w:rPr>
                    <w:t>38.7</w:t>
                  </w:r>
                </w:p>
              </w:tc>
              <w:tc>
                <w:tcPr>
                  <w:tcW w:w="467" w:type="pct"/>
                  <w:vAlign w:val="bottom"/>
                </w:tcPr>
                <w:p w:rsidR="00AC2131" w:rsidRPr="007F7CB8" w:rsidRDefault="00AC2131" w:rsidP="00AC2131">
                  <w:pPr>
                    <w:pStyle w:val="TableBodyText"/>
                    <w:spacing w:after="0"/>
                    <w:ind w:left="0" w:right="57"/>
                    <w:rPr>
                      <w:i/>
                    </w:rPr>
                  </w:pPr>
                  <w:r w:rsidRPr="007F7CB8">
                    <w:rPr>
                      <w:i/>
                    </w:rPr>
                    <w:t>46.1</w:t>
                  </w:r>
                </w:p>
              </w:tc>
              <w:tc>
                <w:tcPr>
                  <w:tcW w:w="467" w:type="pct"/>
                  <w:vAlign w:val="bottom"/>
                </w:tcPr>
                <w:p w:rsidR="00AC2131" w:rsidRPr="007F7CB8" w:rsidRDefault="00AC2131" w:rsidP="00AC2131">
                  <w:pPr>
                    <w:pStyle w:val="TableBodyText"/>
                    <w:spacing w:after="0"/>
                    <w:ind w:left="0" w:right="57"/>
                    <w:rPr>
                      <w:i/>
                    </w:rPr>
                  </w:pPr>
                  <w:r w:rsidRPr="007F7CB8">
                    <w:rPr>
                      <w:i/>
                    </w:rPr>
                    <w:t>72.3</w:t>
                  </w:r>
                </w:p>
              </w:tc>
              <w:tc>
                <w:tcPr>
                  <w:tcW w:w="467" w:type="pct"/>
                  <w:shd w:val="clear" w:color="auto" w:fill="auto"/>
                  <w:vAlign w:val="bottom"/>
                </w:tcPr>
                <w:p w:rsidR="00AC2131" w:rsidRPr="007F7CB8" w:rsidRDefault="00AC2131" w:rsidP="00AC2131">
                  <w:pPr>
                    <w:pStyle w:val="TableBodyText"/>
                    <w:spacing w:after="0"/>
                    <w:ind w:left="0" w:right="57"/>
                    <w:rPr>
                      <w:i/>
                    </w:rPr>
                  </w:pPr>
                  <w:r w:rsidRPr="007F7CB8">
                    <w:rPr>
                      <w:i/>
                    </w:rPr>
                    <w:t>46.3</w:t>
                  </w:r>
                </w:p>
              </w:tc>
              <w:tc>
                <w:tcPr>
                  <w:tcW w:w="465" w:type="pct"/>
                  <w:shd w:val="clear" w:color="auto" w:fill="auto"/>
                  <w:vAlign w:val="bottom"/>
                </w:tcPr>
                <w:p w:rsidR="00AC2131" w:rsidRPr="007F7CB8" w:rsidRDefault="00AC2131" w:rsidP="00AC2131">
                  <w:pPr>
                    <w:pStyle w:val="TableBodyText"/>
                    <w:spacing w:after="0"/>
                    <w:ind w:left="0" w:right="57"/>
                    <w:rPr>
                      <w:i/>
                    </w:rPr>
                  </w:pPr>
                  <w:r w:rsidRPr="007F7CB8">
                    <w:rPr>
                      <w:i/>
                    </w:rPr>
                    <w:t>31.5</w:t>
                  </w:r>
                </w:p>
              </w:tc>
            </w:tr>
            <w:tr w:rsidR="00AC2131" w:rsidTr="00AC2131">
              <w:tc>
                <w:tcPr>
                  <w:tcW w:w="2199" w:type="pct"/>
                </w:tcPr>
                <w:p w:rsidR="00AC2131" w:rsidRPr="00806930" w:rsidRDefault="00AC2131" w:rsidP="00AC2131">
                  <w:pPr>
                    <w:pStyle w:val="TableUnitsRow"/>
                    <w:ind w:hanging="6"/>
                    <w:jc w:val="left"/>
                    <w:rPr>
                      <w:b/>
                    </w:rPr>
                  </w:pPr>
                  <w:r w:rsidRPr="00806930">
                    <w:rPr>
                      <w:b/>
                    </w:rPr>
                    <w:t>Primary production support services</w:t>
                  </w:r>
                </w:p>
              </w:tc>
              <w:tc>
                <w:tcPr>
                  <w:tcW w:w="468" w:type="pct"/>
                </w:tcPr>
                <w:p w:rsidR="00AC2131" w:rsidRDefault="00AC2131" w:rsidP="00AC2131">
                  <w:pPr>
                    <w:pStyle w:val="TableUnitsRow"/>
                  </w:pPr>
                </w:p>
              </w:tc>
              <w:tc>
                <w:tcPr>
                  <w:tcW w:w="467" w:type="pct"/>
                </w:tcPr>
                <w:p w:rsidR="00AC2131" w:rsidRDefault="00AC2131" w:rsidP="00AC2131">
                  <w:pPr>
                    <w:pStyle w:val="TableUnitsRow"/>
                  </w:pPr>
                </w:p>
              </w:tc>
              <w:tc>
                <w:tcPr>
                  <w:tcW w:w="467" w:type="pct"/>
                </w:tcPr>
                <w:p w:rsidR="00AC2131" w:rsidRDefault="00AC2131" w:rsidP="00AC2131">
                  <w:pPr>
                    <w:pStyle w:val="TableUnitsRow"/>
                  </w:pPr>
                </w:p>
              </w:tc>
              <w:tc>
                <w:tcPr>
                  <w:tcW w:w="467" w:type="pct"/>
                </w:tcPr>
                <w:p w:rsidR="00AC2131" w:rsidRDefault="00AC2131" w:rsidP="00AC2131">
                  <w:pPr>
                    <w:pStyle w:val="TableUnitsRow"/>
                  </w:pPr>
                </w:p>
              </w:tc>
              <w:tc>
                <w:tcPr>
                  <w:tcW w:w="467" w:type="pct"/>
                </w:tcPr>
                <w:p w:rsidR="00AC2131" w:rsidRDefault="00AC2131" w:rsidP="00AC2131">
                  <w:pPr>
                    <w:pStyle w:val="TableUnitsRow"/>
                  </w:pPr>
                </w:p>
              </w:tc>
              <w:tc>
                <w:tcPr>
                  <w:tcW w:w="465" w:type="pct"/>
                </w:tcPr>
                <w:p w:rsidR="00AC2131" w:rsidRDefault="00AC2131" w:rsidP="00AC2131">
                  <w:pPr>
                    <w:pStyle w:val="TableUnitsRow"/>
                    <w:ind w:right="28"/>
                  </w:pPr>
                </w:p>
              </w:tc>
            </w:tr>
            <w:tr w:rsidR="00AC2131" w:rsidTr="00AC2131">
              <w:tc>
                <w:tcPr>
                  <w:tcW w:w="2199" w:type="pct"/>
                </w:tcPr>
                <w:p w:rsidR="00AC2131" w:rsidRPr="00806930" w:rsidRDefault="00AC2131" w:rsidP="00AC2131">
                  <w:pPr>
                    <w:pStyle w:val="TableBodyText"/>
                    <w:spacing w:before="40" w:after="0"/>
                    <w:ind w:left="113"/>
                    <w:jc w:val="left"/>
                    <w:rPr>
                      <w:i/>
                    </w:rPr>
                  </w:pPr>
                  <w:r w:rsidRPr="00806930">
                    <w:rPr>
                      <w:i/>
                    </w:rPr>
                    <w:t>Sector-specific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5" w:type="pct"/>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806930" w:rsidRDefault="00AC2131" w:rsidP="00AC2131">
                  <w:pPr>
                    <w:ind w:left="227"/>
                    <w:rPr>
                      <w:rFonts w:ascii="Arial" w:hAnsi="Arial" w:cs="Arial"/>
                      <w:color w:val="000000"/>
                      <w:sz w:val="18"/>
                      <w:szCs w:val="18"/>
                    </w:rPr>
                  </w:pPr>
                  <w:r w:rsidRPr="00806930">
                    <w:rPr>
                      <w:rFonts w:ascii="Arial" w:hAnsi="Arial" w:cs="Arial"/>
                      <w:color w:val="000000"/>
                      <w:sz w:val="18"/>
                      <w:szCs w:val="18"/>
                    </w:rPr>
                    <w:t>Carbon Farming Futures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2.3</w:t>
                  </w:r>
                </w:p>
              </w:tc>
            </w:tr>
            <w:tr w:rsidR="00AC2131" w:rsidTr="00AC2131">
              <w:tc>
                <w:tcPr>
                  <w:tcW w:w="2199" w:type="pct"/>
                  <w:shd w:val="clear" w:color="auto" w:fill="auto"/>
                  <w:vAlign w:val="bottom"/>
                </w:tcPr>
                <w:p w:rsidR="00AC2131" w:rsidRPr="00806930" w:rsidRDefault="00AC2131" w:rsidP="00AC2131">
                  <w:pPr>
                    <w:ind w:left="227"/>
                    <w:rPr>
                      <w:rFonts w:ascii="Arial" w:hAnsi="Arial" w:cs="Arial"/>
                      <w:color w:val="000000"/>
                      <w:sz w:val="18"/>
                      <w:szCs w:val="18"/>
                    </w:rPr>
                  </w:pPr>
                  <w:r w:rsidRPr="00806930">
                    <w:rPr>
                      <w:rFonts w:ascii="Arial" w:hAnsi="Arial" w:cs="Arial"/>
                      <w:color w:val="000000"/>
                      <w:sz w:val="18"/>
                      <w:szCs w:val="18"/>
                    </w:rPr>
                    <w:t>Carbon Farming Initiative</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2.0</w:t>
                  </w:r>
                </w:p>
              </w:tc>
              <w:tc>
                <w:tcPr>
                  <w:tcW w:w="467" w:type="pct"/>
                  <w:shd w:val="clear" w:color="auto" w:fill="auto"/>
                  <w:vAlign w:val="bottom"/>
                </w:tcPr>
                <w:p w:rsidR="00AC2131" w:rsidRDefault="00AC2131" w:rsidP="00AC2131">
                  <w:pPr>
                    <w:pStyle w:val="TableBodyText"/>
                    <w:spacing w:after="0"/>
                    <w:ind w:left="0" w:right="57"/>
                  </w:pPr>
                  <w:r>
                    <w:t>1.8</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806930" w:rsidRDefault="00AC2131" w:rsidP="00AC2131">
                  <w:pPr>
                    <w:ind w:left="227"/>
                    <w:rPr>
                      <w:rFonts w:ascii="Arial" w:hAnsi="Arial" w:cs="Arial"/>
                      <w:color w:val="000000"/>
                      <w:sz w:val="18"/>
                      <w:szCs w:val="18"/>
                    </w:rPr>
                  </w:pPr>
                  <w:r w:rsidRPr="00806930">
                    <w:rPr>
                      <w:rFonts w:ascii="Arial" w:hAnsi="Arial" w:cs="Arial"/>
                      <w:color w:val="000000"/>
                      <w:sz w:val="18"/>
                      <w:szCs w:val="18"/>
                    </w:rPr>
                    <w:t xml:space="preserve">Exceptional Circumstances </w:t>
                  </w:r>
                  <w:r>
                    <w:rPr>
                      <w:rFonts w:ascii="Arial" w:hAnsi="Arial" w:cs="Arial"/>
                      <w:color w:val="000000"/>
                      <w:sz w:val="18"/>
                      <w:szCs w:val="18"/>
                    </w:rPr>
                    <w:t>–</w:t>
                  </w:r>
                  <w:r w:rsidRPr="00806930">
                    <w:rPr>
                      <w:rFonts w:ascii="Arial" w:hAnsi="Arial" w:cs="Arial"/>
                      <w:color w:val="000000"/>
                      <w:sz w:val="18"/>
                      <w:szCs w:val="18"/>
                    </w:rPr>
                    <w:t xml:space="preserve"> interest rate subsid</w:t>
                  </w:r>
                  <w:r>
                    <w:rPr>
                      <w:rFonts w:ascii="Arial" w:hAnsi="Arial" w:cs="Arial"/>
                      <w:color w:val="000000"/>
                      <w:sz w:val="18"/>
                      <w:szCs w:val="18"/>
                    </w:rPr>
                    <w:t>y</w:t>
                  </w:r>
                </w:p>
              </w:tc>
              <w:tc>
                <w:tcPr>
                  <w:tcW w:w="468"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1.8</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806930"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relief payments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806930" w:rsidRDefault="00AC2131" w:rsidP="00AC2131">
                  <w:pPr>
                    <w:ind w:left="227"/>
                    <w:rPr>
                      <w:rFonts w:ascii="Arial" w:hAnsi="Arial" w:cs="Arial"/>
                      <w:color w:val="000000"/>
                      <w:sz w:val="18"/>
                      <w:szCs w:val="18"/>
                    </w:rPr>
                  </w:pPr>
                  <w:r w:rsidRPr="00806930">
                    <w:rPr>
                      <w:rFonts w:ascii="Arial" w:hAnsi="Arial" w:cs="Arial"/>
                      <w:color w:val="000000"/>
                      <w:sz w:val="18"/>
                      <w:szCs w:val="18"/>
                    </w:rPr>
                    <w:t>Income tax averaging provisions</w:t>
                  </w:r>
                </w:p>
              </w:tc>
              <w:tc>
                <w:tcPr>
                  <w:tcW w:w="468" w:type="pct"/>
                  <w:vAlign w:val="bottom"/>
                </w:tcPr>
                <w:p w:rsidR="00AC2131" w:rsidRDefault="00AC2131" w:rsidP="00AC2131">
                  <w:pPr>
                    <w:pStyle w:val="TableBodyText"/>
                    <w:spacing w:after="0"/>
                    <w:ind w:left="0" w:right="57"/>
                  </w:pPr>
                  <w:r>
                    <w:t>5.2</w:t>
                  </w:r>
                </w:p>
              </w:tc>
              <w:tc>
                <w:tcPr>
                  <w:tcW w:w="467" w:type="pct"/>
                  <w:vAlign w:val="bottom"/>
                </w:tcPr>
                <w:p w:rsidR="00AC2131" w:rsidRDefault="00AC2131" w:rsidP="00AC2131">
                  <w:pPr>
                    <w:pStyle w:val="TableBodyText"/>
                    <w:spacing w:after="0"/>
                    <w:ind w:left="0" w:right="57"/>
                  </w:pPr>
                  <w:r>
                    <w:t>3.9</w:t>
                  </w:r>
                </w:p>
              </w:tc>
              <w:tc>
                <w:tcPr>
                  <w:tcW w:w="467" w:type="pct"/>
                  <w:vAlign w:val="bottom"/>
                </w:tcPr>
                <w:p w:rsidR="00AC2131" w:rsidRDefault="00AC2131" w:rsidP="00AC2131">
                  <w:pPr>
                    <w:pStyle w:val="TableBodyText"/>
                    <w:spacing w:after="0"/>
                    <w:ind w:left="0" w:right="57"/>
                  </w:pPr>
                  <w:r>
                    <w:t>7.3</w:t>
                  </w:r>
                </w:p>
              </w:tc>
              <w:tc>
                <w:tcPr>
                  <w:tcW w:w="467" w:type="pct"/>
                  <w:vAlign w:val="bottom"/>
                </w:tcPr>
                <w:p w:rsidR="00AC2131" w:rsidRDefault="00AC2131" w:rsidP="00AC2131">
                  <w:pPr>
                    <w:pStyle w:val="TableBodyText"/>
                    <w:spacing w:after="0"/>
                    <w:ind w:left="0" w:right="57"/>
                  </w:pPr>
                  <w:r>
                    <w:t>9.6</w:t>
                  </w:r>
                </w:p>
              </w:tc>
              <w:tc>
                <w:tcPr>
                  <w:tcW w:w="467" w:type="pct"/>
                  <w:shd w:val="clear" w:color="auto" w:fill="auto"/>
                  <w:vAlign w:val="bottom"/>
                </w:tcPr>
                <w:p w:rsidR="00AC2131" w:rsidRDefault="00AC2131" w:rsidP="00AC2131">
                  <w:pPr>
                    <w:pStyle w:val="TableBodyText"/>
                    <w:spacing w:after="0"/>
                    <w:ind w:left="0" w:right="57"/>
                  </w:pPr>
                  <w:r>
                    <w:t>12.0</w:t>
                  </w:r>
                </w:p>
              </w:tc>
              <w:tc>
                <w:tcPr>
                  <w:tcW w:w="465" w:type="pct"/>
                  <w:shd w:val="clear" w:color="auto" w:fill="auto"/>
                  <w:vAlign w:val="bottom"/>
                </w:tcPr>
                <w:p w:rsidR="00AC2131" w:rsidRDefault="00AC2131" w:rsidP="00AC2131">
                  <w:pPr>
                    <w:pStyle w:val="TableBodyText"/>
                    <w:spacing w:after="0"/>
                    <w:ind w:left="0" w:right="57"/>
                  </w:pPr>
                  <w:r>
                    <w:t>12.0</w:t>
                  </w:r>
                </w:p>
              </w:tc>
            </w:tr>
            <w:tr w:rsidR="00AC2131" w:rsidTr="00AC2131">
              <w:tc>
                <w:tcPr>
                  <w:tcW w:w="2199" w:type="pct"/>
                  <w:shd w:val="clear" w:color="auto" w:fill="auto"/>
                  <w:vAlign w:val="bottom"/>
                </w:tcPr>
                <w:p w:rsidR="00AC2131" w:rsidRPr="00806930" w:rsidRDefault="00AC2131" w:rsidP="00AC2131">
                  <w:pPr>
                    <w:ind w:left="227"/>
                    <w:rPr>
                      <w:rFonts w:ascii="Arial" w:hAnsi="Arial" w:cs="Arial"/>
                      <w:color w:val="000000"/>
                      <w:sz w:val="18"/>
                      <w:szCs w:val="18"/>
                    </w:rPr>
                  </w:pPr>
                  <w:r w:rsidRPr="00806930">
                    <w:rPr>
                      <w:rFonts w:ascii="Arial" w:hAnsi="Arial" w:cs="Arial"/>
                      <w:color w:val="000000"/>
                      <w:sz w:val="18"/>
                      <w:szCs w:val="18"/>
                    </w:rPr>
                    <w:t>Interim Income Support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806930" w:rsidRDefault="00AC2131" w:rsidP="00AC2131">
                  <w:pPr>
                    <w:ind w:left="227"/>
                    <w:rPr>
                      <w:rFonts w:ascii="Arial" w:hAnsi="Arial" w:cs="Arial"/>
                      <w:color w:val="000000"/>
                      <w:sz w:val="18"/>
                      <w:szCs w:val="18"/>
                    </w:rPr>
                  </w:pPr>
                  <w:r w:rsidRPr="00806930">
                    <w:rPr>
                      <w:rFonts w:ascii="Arial" w:hAnsi="Arial" w:cs="Arial"/>
                      <w:color w:val="000000"/>
                      <w:sz w:val="18"/>
                      <w:szCs w:val="18"/>
                    </w:rPr>
                    <w:t>Tax deduction for conserving or conveying water</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0.6</w:t>
                  </w:r>
                </w:p>
              </w:tc>
              <w:tc>
                <w:tcPr>
                  <w:tcW w:w="467" w:type="pct"/>
                  <w:shd w:val="clear" w:color="auto" w:fill="auto"/>
                  <w:vAlign w:val="bottom"/>
                </w:tcPr>
                <w:p w:rsidR="00AC2131" w:rsidRDefault="00AC2131" w:rsidP="00AC2131">
                  <w:pPr>
                    <w:pStyle w:val="TableBodyText"/>
                    <w:spacing w:after="0"/>
                    <w:ind w:left="0" w:right="57"/>
                  </w:pPr>
                  <w:r>
                    <w:t>1.8</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199" w:type="pct"/>
                  <w:shd w:val="clear" w:color="auto" w:fill="auto"/>
                </w:tcPr>
                <w:p w:rsidR="00AC2131" w:rsidRPr="00804086" w:rsidRDefault="00AC2131" w:rsidP="00AC2131">
                  <w:pPr>
                    <w:pStyle w:val="TableBodyText"/>
                    <w:spacing w:before="40" w:after="0"/>
                    <w:ind w:left="113"/>
                    <w:jc w:val="left"/>
                    <w:rPr>
                      <w:i/>
                    </w:rPr>
                  </w:pPr>
                  <w:r w:rsidRPr="00804086">
                    <w:rPr>
                      <w:i/>
                    </w:rPr>
                    <w:t>General export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Export Market Development Grants Scheme</w:t>
                  </w:r>
                </w:p>
              </w:tc>
              <w:tc>
                <w:tcPr>
                  <w:tcW w:w="468"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0.4</w:t>
                  </w:r>
                </w:p>
              </w:tc>
              <w:tc>
                <w:tcPr>
                  <w:tcW w:w="465" w:type="pct"/>
                  <w:shd w:val="clear" w:color="auto" w:fill="auto"/>
                  <w:vAlign w:val="bottom"/>
                </w:tcPr>
                <w:p w:rsidR="00AC2131" w:rsidRDefault="00AC2131" w:rsidP="00AC2131">
                  <w:pPr>
                    <w:pStyle w:val="TableBodyText"/>
                    <w:spacing w:after="0"/>
                    <w:ind w:left="0" w:right="57"/>
                  </w:pPr>
                  <w:r>
                    <w:t>0.6</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TRADEX</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shd w:val="clear" w:color="auto" w:fill="auto"/>
                </w:tcPr>
                <w:p w:rsidR="00AC2131" w:rsidRPr="00804086" w:rsidRDefault="00AC2131" w:rsidP="00AC2131">
                  <w:pPr>
                    <w:pStyle w:val="TableBodyText"/>
                    <w:spacing w:before="40" w:after="0"/>
                    <w:ind w:left="113"/>
                    <w:jc w:val="left"/>
                    <w:rPr>
                      <w:i/>
                    </w:rPr>
                  </w:pPr>
                  <w:r w:rsidRPr="00804086">
                    <w:rPr>
                      <w:i/>
                    </w:rPr>
                    <w:t>General R&amp;D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 xml:space="preserve">Clean Business Australia </w:t>
                  </w:r>
                  <w:r>
                    <w:rPr>
                      <w:rFonts w:ascii="Arial" w:hAnsi="Arial" w:cs="Arial"/>
                      <w:color w:val="000000"/>
                      <w:sz w:val="18"/>
                      <w:szCs w:val="18"/>
                    </w:rPr>
                    <w:t>–</w:t>
                  </w:r>
                  <w:r w:rsidRPr="00804086">
                    <w:rPr>
                      <w:rFonts w:ascii="Arial" w:hAnsi="Arial" w:cs="Arial"/>
                      <w:color w:val="000000"/>
                      <w:sz w:val="18"/>
                      <w:szCs w:val="18"/>
                    </w:rPr>
                    <w:t xml:space="preserve"> Climate Ready Program</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COMET Program</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Commercial Ready Program</w:t>
                  </w:r>
                </w:p>
              </w:tc>
              <w:tc>
                <w:tcPr>
                  <w:tcW w:w="468"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tcBorders>
                    <w:bottom w:val="single" w:sz="6" w:space="0" w:color="BFBFBF"/>
                  </w:tcBorders>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Commercialisation Australia</w:t>
                  </w:r>
                </w:p>
              </w:tc>
              <w:tc>
                <w:tcPr>
                  <w:tcW w:w="468"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&lt;0.1</w:t>
                  </w:r>
                </w:p>
              </w:tc>
              <w:tc>
                <w:tcPr>
                  <w:tcW w:w="467" w:type="pct"/>
                  <w:tcBorders>
                    <w:bottom w:val="single" w:sz="6" w:space="0" w:color="BFBFBF"/>
                  </w:tcBorders>
                  <w:vAlign w:val="bottom"/>
                </w:tcPr>
                <w:p w:rsidR="00AC2131" w:rsidRDefault="00AC2131" w:rsidP="00AC2131">
                  <w:pPr>
                    <w:pStyle w:val="TableBodyText"/>
                    <w:spacing w:after="0"/>
                    <w:ind w:left="0" w:right="57"/>
                  </w:pPr>
                  <w:r>
                    <w:t>0.1</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0.4</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0.3</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jc w:val="right"/>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A.10</w:t>
            </w:r>
            <w:r>
              <w:tab/>
            </w:r>
            <w:r w:rsidRPr="006B64DF">
              <w:rPr>
                <w:b w:val="0"/>
                <w:sz w:val="18"/>
                <w:szCs w:val="18"/>
              </w:rPr>
              <w:t>(continued)</w:t>
            </w:r>
          </w:p>
        </w:tc>
      </w:tr>
      <w:tr w:rsidR="00AC2131" w:rsidTr="00AC2131">
        <w:trPr>
          <w:cantSplit/>
        </w:trPr>
        <w:tc>
          <w:tcPr>
            <w:tcW w:w="8771" w:type="dxa"/>
            <w:tcBorders>
              <w:top w:val="nil"/>
              <w:left w:val="nil"/>
              <w:bottom w:val="nil"/>
              <w:right w:val="nil"/>
            </w:tcBorders>
            <w:shd w:val="clear" w:color="auto" w:fill="auto"/>
          </w:tcPr>
          <w:tbl>
            <w:tblPr>
              <w:tblW w:w="8510" w:type="dxa"/>
              <w:tblLayout w:type="fixed"/>
              <w:tblCellMar>
                <w:top w:w="28" w:type="dxa"/>
                <w:left w:w="0" w:type="dxa"/>
                <w:right w:w="0" w:type="dxa"/>
              </w:tblCellMar>
              <w:tblLook w:val="0000" w:firstRow="0" w:lastRow="0" w:firstColumn="0" w:lastColumn="0" w:noHBand="0" w:noVBand="0"/>
            </w:tblPr>
            <w:tblGrid>
              <w:gridCol w:w="3742"/>
              <w:gridCol w:w="797"/>
              <w:gridCol w:w="795"/>
              <w:gridCol w:w="795"/>
              <w:gridCol w:w="795"/>
              <w:gridCol w:w="795"/>
              <w:gridCol w:w="791"/>
            </w:tblGrid>
            <w:tr w:rsidR="00AC2131" w:rsidTr="00AC2131">
              <w:tc>
                <w:tcPr>
                  <w:tcW w:w="21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8"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199" w:type="pct"/>
                  <w:shd w:val="clear" w:color="auto" w:fill="auto"/>
                </w:tcPr>
                <w:p w:rsidR="00AC2131" w:rsidRPr="00804086" w:rsidRDefault="00AC2131" w:rsidP="00AC2131">
                  <w:pPr>
                    <w:pStyle w:val="TableBodyText"/>
                    <w:spacing w:before="40" w:after="0"/>
                    <w:ind w:left="113"/>
                    <w:jc w:val="left"/>
                    <w:rPr>
                      <w:i/>
                    </w:rPr>
                  </w:pPr>
                  <w:r w:rsidRPr="00804086">
                    <w:rPr>
                      <w:i/>
                    </w:rPr>
                    <w:t>General R&amp;D measures</w:t>
                  </w:r>
                  <w:r>
                    <w:rPr>
                      <w:i/>
                    </w:rPr>
                    <w:t xml:space="preserve"> (continued)</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R&amp;D tax concession</w:t>
                  </w:r>
                </w:p>
              </w:tc>
              <w:tc>
                <w:tcPr>
                  <w:tcW w:w="468"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1.9</w:t>
                  </w:r>
                </w:p>
              </w:tc>
              <w:tc>
                <w:tcPr>
                  <w:tcW w:w="467" w:type="pct"/>
                  <w:shd w:val="clear" w:color="auto" w:fill="auto"/>
                  <w:vAlign w:val="bottom"/>
                </w:tcPr>
                <w:p w:rsidR="00AC2131" w:rsidRDefault="00AC2131" w:rsidP="00AC2131">
                  <w:pPr>
                    <w:pStyle w:val="TableBodyText"/>
                    <w:spacing w:after="0"/>
                    <w:ind w:left="0" w:right="57"/>
                  </w:pPr>
                  <w:r>
                    <w:t>0.9</w:t>
                  </w:r>
                </w:p>
              </w:tc>
              <w:tc>
                <w:tcPr>
                  <w:tcW w:w="465" w:type="pct"/>
                  <w:shd w:val="clear" w:color="auto" w:fill="auto"/>
                  <w:vAlign w:val="bottom"/>
                </w:tcPr>
                <w:p w:rsidR="00AC2131" w:rsidRDefault="00AC2131" w:rsidP="00AC2131">
                  <w:pPr>
                    <w:pStyle w:val="TableBodyText"/>
                    <w:spacing w:after="0"/>
                    <w:ind w:left="0" w:right="57"/>
                  </w:pPr>
                  <w:r>
                    <w:t>0.3</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-0.5</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1.6</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1.0</w:t>
                  </w:r>
                </w:p>
              </w:tc>
              <w:tc>
                <w:tcPr>
                  <w:tcW w:w="465" w:type="pct"/>
                  <w:shd w:val="clear" w:color="auto" w:fill="auto"/>
                  <w:vAlign w:val="bottom"/>
                </w:tcPr>
                <w:p w:rsidR="00AC2131" w:rsidRDefault="00AC2131" w:rsidP="00AC2131">
                  <w:pPr>
                    <w:pStyle w:val="TableBodyText"/>
                    <w:spacing w:after="0"/>
                    <w:ind w:left="0" w:right="57"/>
                  </w:pPr>
                  <w:r>
                    <w:t>1.7</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8" w:type="pct"/>
                  <w:vAlign w:val="bottom"/>
                </w:tcPr>
                <w:p w:rsidR="00AC2131" w:rsidRDefault="00AC2131" w:rsidP="00AC2131">
                  <w:pPr>
                    <w:pStyle w:val="TableBodyText"/>
                    <w:spacing w:after="0"/>
                    <w:ind w:left="0" w:right="57"/>
                  </w:pPr>
                  <w:r>
                    <w:t>2.5</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1.2</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804086" w:rsidRDefault="00AC2131" w:rsidP="00AC2131">
                  <w:pPr>
                    <w:pStyle w:val="TableBodyText"/>
                    <w:spacing w:before="40" w:after="0"/>
                    <w:ind w:left="113"/>
                    <w:jc w:val="left"/>
                    <w:rPr>
                      <w:i/>
                    </w:rPr>
                  </w:pPr>
                  <w:r w:rsidRPr="00804086">
                    <w:rPr>
                      <w:i/>
                    </w:rPr>
                    <w:t>Other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25 per cent entrepreneurs' tax offset</w:t>
                  </w:r>
                </w:p>
              </w:tc>
              <w:tc>
                <w:tcPr>
                  <w:tcW w:w="468"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1.2</w:t>
                  </w:r>
                </w:p>
              </w:tc>
              <w:tc>
                <w:tcPr>
                  <w:tcW w:w="467" w:type="pct"/>
                  <w:shd w:val="clear" w:color="auto" w:fill="auto"/>
                  <w:vAlign w:val="bottom"/>
                </w:tcPr>
                <w:p w:rsidR="00AC2131" w:rsidRDefault="00AC2131" w:rsidP="00AC2131">
                  <w:pPr>
                    <w:pStyle w:val="TableBodyText"/>
                    <w:spacing w:after="0"/>
                    <w:ind w:left="0" w:right="57"/>
                  </w:pPr>
                  <w:r>
                    <w:t>1.5</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Enterprise Connect Innovation Centres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Illawarra Region Innovation and Investment Fund</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North West and Northern Tasmania Innovation and Investment Fund</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8"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9.0</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 xml:space="preserve">Small business </w:t>
                  </w:r>
                  <w:r>
                    <w:rPr>
                      <w:rFonts w:ascii="Arial" w:hAnsi="Arial" w:cs="Arial"/>
                      <w:color w:val="000000"/>
                      <w:sz w:val="18"/>
                      <w:szCs w:val="18"/>
                    </w:rPr>
                    <w:t>capital gains tax</w:t>
                  </w:r>
                  <w:r w:rsidRPr="00804086">
                    <w:rPr>
                      <w:rFonts w:ascii="Arial" w:hAnsi="Arial" w:cs="Arial"/>
                      <w:color w:val="000000"/>
                      <w:sz w:val="18"/>
                      <w:szCs w:val="18"/>
                    </w:rPr>
                    <w:t xml:space="preserve"> 50 per cent reduction</w:t>
                  </w:r>
                </w:p>
              </w:tc>
              <w:tc>
                <w:tcPr>
                  <w:tcW w:w="468" w:type="pct"/>
                  <w:vAlign w:val="bottom"/>
                </w:tcPr>
                <w:p w:rsidR="00AC2131" w:rsidRDefault="00AC2131" w:rsidP="00AC2131">
                  <w:pPr>
                    <w:pStyle w:val="TableBodyText"/>
                    <w:spacing w:after="0"/>
                    <w:ind w:left="0" w:right="57"/>
                  </w:pPr>
                  <w:r>
                    <w:t>6.2</w:t>
                  </w:r>
                </w:p>
              </w:tc>
              <w:tc>
                <w:tcPr>
                  <w:tcW w:w="467" w:type="pct"/>
                  <w:vAlign w:val="bottom"/>
                </w:tcPr>
                <w:p w:rsidR="00AC2131" w:rsidRDefault="00AC2131" w:rsidP="00AC2131">
                  <w:pPr>
                    <w:pStyle w:val="TableBodyText"/>
                    <w:spacing w:after="0"/>
                    <w:ind w:left="0" w:right="57"/>
                  </w:pPr>
                  <w:r>
                    <w:t>3.5</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1.5</w:t>
                  </w:r>
                </w:p>
              </w:tc>
              <w:tc>
                <w:tcPr>
                  <w:tcW w:w="467" w:type="pct"/>
                  <w:shd w:val="clear" w:color="auto" w:fill="auto"/>
                  <w:vAlign w:val="bottom"/>
                </w:tcPr>
                <w:p w:rsidR="00AC2131" w:rsidRDefault="00AC2131" w:rsidP="00AC2131">
                  <w:pPr>
                    <w:pStyle w:val="TableBodyText"/>
                    <w:spacing w:after="0"/>
                    <w:ind w:left="0" w:right="57"/>
                  </w:pPr>
                  <w:r>
                    <w:t>1.6</w:t>
                  </w:r>
                </w:p>
              </w:tc>
              <w:tc>
                <w:tcPr>
                  <w:tcW w:w="465" w:type="pct"/>
                  <w:shd w:val="clear" w:color="auto" w:fill="auto"/>
                  <w:vAlign w:val="bottom"/>
                </w:tcPr>
                <w:p w:rsidR="00AC2131" w:rsidRDefault="00AC2131" w:rsidP="00AC2131">
                  <w:pPr>
                    <w:pStyle w:val="TableBodyText"/>
                    <w:spacing w:after="0"/>
                    <w:ind w:left="0" w:right="57"/>
                  </w:pPr>
                  <w:r>
                    <w:t>1.6</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 xml:space="preserve">Small business </w:t>
                  </w:r>
                  <w:r>
                    <w:rPr>
                      <w:rFonts w:ascii="Arial" w:hAnsi="Arial" w:cs="Arial"/>
                      <w:color w:val="000000"/>
                      <w:sz w:val="18"/>
                      <w:szCs w:val="18"/>
                    </w:rPr>
                    <w:t>capital gains tax</w:t>
                  </w:r>
                  <w:r w:rsidRPr="00804086">
                    <w:rPr>
                      <w:rFonts w:ascii="Arial" w:hAnsi="Arial" w:cs="Arial"/>
                      <w:color w:val="000000"/>
                      <w:sz w:val="18"/>
                      <w:szCs w:val="18"/>
                    </w:rPr>
                    <w:t xml:space="preserve"> retirement exemption</w:t>
                  </w:r>
                </w:p>
              </w:tc>
              <w:tc>
                <w:tcPr>
                  <w:tcW w:w="468"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0.4</w:t>
                  </w:r>
                </w:p>
              </w:tc>
              <w:tc>
                <w:tcPr>
                  <w:tcW w:w="465" w:type="pct"/>
                  <w:shd w:val="clear" w:color="auto" w:fill="auto"/>
                  <w:vAlign w:val="bottom"/>
                </w:tcPr>
                <w:p w:rsidR="00AC2131" w:rsidRDefault="00AC2131" w:rsidP="00AC2131">
                  <w:pPr>
                    <w:pStyle w:val="TableBodyText"/>
                    <w:spacing w:after="0"/>
                    <w:ind w:left="0" w:right="57"/>
                  </w:pPr>
                  <w:r>
                    <w:t>0.5</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 xml:space="preserve">Small business </w:t>
                  </w:r>
                  <w:r>
                    <w:rPr>
                      <w:rFonts w:ascii="Arial" w:hAnsi="Arial" w:cs="Arial"/>
                      <w:color w:val="000000"/>
                      <w:sz w:val="18"/>
                      <w:szCs w:val="18"/>
                    </w:rPr>
                    <w:t>capital gains tax</w:t>
                  </w:r>
                  <w:r w:rsidRPr="00804086">
                    <w:rPr>
                      <w:rFonts w:ascii="Arial" w:hAnsi="Arial" w:cs="Arial"/>
                      <w:color w:val="000000"/>
                      <w:sz w:val="18"/>
                      <w:szCs w:val="18"/>
                    </w:rPr>
                    <w:t xml:space="preserve"> rollover deferral</w:t>
                  </w:r>
                </w:p>
              </w:tc>
              <w:tc>
                <w:tcPr>
                  <w:tcW w:w="468" w:type="pct"/>
                  <w:vAlign w:val="bottom"/>
                </w:tcPr>
                <w:p w:rsidR="00AC2131" w:rsidRDefault="00AC2131" w:rsidP="00AC2131">
                  <w:pPr>
                    <w:pStyle w:val="TableBodyText"/>
                    <w:spacing w:after="0"/>
                    <w:ind w:left="0" w:right="57"/>
                  </w:pPr>
                  <w:r>
                    <w:t>2.5</w:t>
                  </w:r>
                </w:p>
              </w:tc>
              <w:tc>
                <w:tcPr>
                  <w:tcW w:w="467" w:type="pct"/>
                  <w:vAlign w:val="bottom"/>
                </w:tcPr>
                <w:p w:rsidR="00AC2131" w:rsidRDefault="00AC2131" w:rsidP="00AC2131">
                  <w:pPr>
                    <w:pStyle w:val="TableBodyText"/>
                    <w:spacing w:after="0"/>
                    <w:ind w:left="0" w:right="57"/>
                  </w:pPr>
                  <w:r>
                    <w:t>1.9</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1.0</w:t>
                  </w:r>
                </w:p>
              </w:tc>
              <w:tc>
                <w:tcPr>
                  <w:tcW w:w="465" w:type="pct"/>
                  <w:shd w:val="clear" w:color="auto" w:fill="auto"/>
                  <w:vAlign w:val="bottom"/>
                </w:tcPr>
                <w:p w:rsidR="00AC2131" w:rsidRDefault="00AC2131" w:rsidP="00AC2131">
                  <w:pPr>
                    <w:pStyle w:val="TableBodyText"/>
                    <w:spacing w:after="0"/>
                    <w:ind w:left="0" w:right="57"/>
                  </w:pPr>
                  <w:r>
                    <w:t>1.1</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The Small Business and General Business Tax Break</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13.7</w:t>
                  </w:r>
                </w:p>
              </w:tc>
              <w:tc>
                <w:tcPr>
                  <w:tcW w:w="467" w:type="pct"/>
                  <w:vAlign w:val="bottom"/>
                </w:tcPr>
                <w:p w:rsidR="00AC2131" w:rsidRDefault="00AC2131" w:rsidP="00AC2131">
                  <w:pPr>
                    <w:pStyle w:val="TableBodyText"/>
                    <w:spacing w:after="0"/>
                    <w:ind w:left="0" w:right="57"/>
                  </w:pPr>
                  <w:r>
                    <w:t>16.2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804086" w:rsidRDefault="00AC2131" w:rsidP="00AC2131">
                  <w:pPr>
                    <w:pStyle w:val="TableBodyText"/>
                    <w:spacing w:before="20" w:after="20"/>
                    <w:jc w:val="left"/>
                    <w:rPr>
                      <w:i/>
                    </w:rPr>
                  </w:pPr>
                  <w:r w:rsidRPr="00804086">
                    <w:rPr>
                      <w:i/>
                    </w:rPr>
                    <w:t>Total</w:t>
                  </w:r>
                </w:p>
              </w:tc>
              <w:tc>
                <w:tcPr>
                  <w:tcW w:w="468" w:type="pct"/>
                  <w:vAlign w:val="bottom"/>
                </w:tcPr>
                <w:p w:rsidR="00AC2131" w:rsidRPr="003A732A" w:rsidRDefault="00AC2131" w:rsidP="00AC2131">
                  <w:pPr>
                    <w:pStyle w:val="TableBodyText"/>
                    <w:spacing w:after="0"/>
                    <w:ind w:left="0" w:right="57"/>
                    <w:rPr>
                      <w:i/>
                    </w:rPr>
                  </w:pPr>
                  <w:r w:rsidRPr="003A732A">
                    <w:rPr>
                      <w:i/>
                    </w:rPr>
                    <w:t>24.6</w:t>
                  </w:r>
                </w:p>
              </w:tc>
              <w:tc>
                <w:tcPr>
                  <w:tcW w:w="467" w:type="pct"/>
                  <w:vAlign w:val="bottom"/>
                </w:tcPr>
                <w:p w:rsidR="00AC2131" w:rsidRPr="003A732A" w:rsidRDefault="00AC2131" w:rsidP="00AC2131">
                  <w:pPr>
                    <w:pStyle w:val="TableBodyText"/>
                    <w:spacing w:after="0"/>
                    <w:ind w:left="0" w:right="57"/>
                    <w:rPr>
                      <w:i/>
                    </w:rPr>
                  </w:pPr>
                  <w:r w:rsidRPr="003A732A">
                    <w:rPr>
                      <w:i/>
                    </w:rPr>
                    <w:t>32.5</w:t>
                  </w:r>
                </w:p>
              </w:tc>
              <w:tc>
                <w:tcPr>
                  <w:tcW w:w="467" w:type="pct"/>
                  <w:vAlign w:val="bottom"/>
                </w:tcPr>
                <w:p w:rsidR="00AC2131" w:rsidRPr="003A732A" w:rsidRDefault="00AC2131" w:rsidP="00AC2131">
                  <w:pPr>
                    <w:pStyle w:val="TableBodyText"/>
                    <w:spacing w:after="0"/>
                    <w:ind w:left="0" w:right="57"/>
                    <w:rPr>
                      <w:i/>
                    </w:rPr>
                  </w:pPr>
                  <w:r w:rsidRPr="003A732A">
                    <w:rPr>
                      <w:i/>
                    </w:rPr>
                    <w:t>33.0</w:t>
                  </w:r>
                </w:p>
              </w:tc>
              <w:tc>
                <w:tcPr>
                  <w:tcW w:w="467" w:type="pct"/>
                  <w:vAlign w:val="bottom"/>
                </w:tcPr>
                <w:p w:rsidR="00AC2131" w:rsidRPr="003A732A" w:rsidRDefault="00AC2131" w:rsidP="00AC2131">
                  <w:pPr>
                    <w:pStyle w:val="TableBodyText"/>
                    <w:spacing w:after="0"/>
                    <w:ind w:left="0" w:right="57"/>
                    <w:rPr>
                      <w:i/>
                    </w:rPr>
                  </w:pPr>
                  <w:r w:rsidRPr="003A732A">
                    <w:rPr>
                      <w:i/>
                    </w:rPr>
                    <w:t>21.9</w:t>
                  </w:r>
                </w:p>
              </w:tc>
              <w:tc>
                <w:tcPr>
                  <w:tcW w:w="467" w:type="pct"/>
                  <w:shd w:val="clear" w:color="auto" w:fill="auto"/>
                  <w:vAlign w:val="bottom"/>
                </w:tcPr>
                <w:p w:rsidR="00AC2131" w:rsidRPr="003A732A" w:rsidRDefault="00AC2131" w:rsidP="00AC2131">
                  <w:pPr>
                    <w:pStyle w:val="TableBodyText"/>
                    <w:spacing w:after="0"/>
                    <w:ind w:left="0" w:right="57"/>
                    <w:rPr>
                      <w:i/>
                    </w:rPr>
                  </w:pPr>
                  <w:r w:rsidRPr="003A732A">
                    <w:rPr>
                      <w:i/>
                    </w:rPr>
                    <w:t>24.3</w:t>
                  </w:r>
                </w:p>
              </w:tc>
              <w:tc>
                <w:tcPr>
                  <w:tcW w:w="465" w:type="pct"/>
                  <w:shd w:val="clear" w:color="auto" w:fill="auto"/>
                  <w:vAlign w:val="bottom"/>
                </w:tcPr>
                <w:p w:rsidR="00AC2131" w:rsidRPr="003A732A" w:rsidRDefault="00AC2131" w:rsidP="00AC2131">
                  <w:pPr>
                    <w:pStyle w:val="TableBodyText"/>
                    <w:spacing w:after="0"/>
                    <w:ind w:left="0" w:right="57"/>
                    <w:rPr>
                      <w:i/>
                    </w:rPr>
                  </w:pPr>
                  <w:r w:rsidRPr="003A732A">
                    <w:rPr>
                      <w:i/>
                    </w:rPr>
                    <w:t>29.0</w:t>
                  </w:r>
                </w:p>
              </w:tc>
            </w:tr>
            <w:tr w:rsidR="00AC2131" w:rsidTr="00AC2131">
              <w:tc>
                <w:tcPr>
                  <w:tcW w:w="2199" w:type="pct"/>
                  <w:shd w:val="clear" w:color="auto" w:fill="auto"/>
                </w:tcPr>
                <w:p w:rsidR="00AC2131" w:rsidRPr="00804086" w:rsidRDefault="00AC2131" w:rsidP="00AC2131">
                  <w:pPr>
                    <w:pStyle w:val="TableBodyText"/>
                    <w:spacing w:before="40"/>
                    <w:jc w:val="left"/>
                    <w:rPr>
                      <w:b/>
                    </w:rPr>
                  </w:pPr>
                  <w:r w:rsidRPr="00804086">
                    <w:rPr>
                      <w:b/>
                    </w:rPr>
                    <w:t>Unallocated primary production</w:t>
                  </w:r>
                </w:p>
              </w:tc>
              <w:tc>
                <w:tcPr>
                  <w:tcW w:w="468"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5" w:type="pct"/>
                  <w:shd w:val="clear" w:color="auto" w:fill="auto"/>
                </w:tcPr>
                <w:p w:rsidR="00AC2131" w:rsidRDefault="00AC2131" w:rsidP="00AC2131">
                  <w:pPr>
                    <w:pStyle w:val="TableBodyText"/>
                    <w:spacing w:before="40"/>
                    <w:ind w:right="28"/>
                  </w:pPr>
                </w:p>
              </w:tc>
            </w:tr>
            <w:tr w:rsidR="00AC2131" w:rsidTr="00AC2131">
              <w:tc>
                <w:tcPr>
                  <w:tcW w:w="2199" w:type="pct"/>
                  <w:shd w:val="clear" w:color="auto" w:fill="auto"/>
                </w:tcPr>
                <w:p w:rsidR="00AC2131" w:rsidRPr="00804086" w:rsidRDefault="00AC2131" w:rsidP="00AC2131">
                  <w:pPr>
                    <w:pStyle w:val="TableBodyText"/>
                    <w:spacing w:before="40" w:after="0"/>
                    <w:ind w:left="113"/>
                    <w:jc w:val="left"/>
                    <w:rPr>
                      <w:i/>
                    </w:rPr>
                  </w:pPr>
                  <w:r w:rsidRPr="00804086">
                    <w:rPr>
                      <w:i/>
                    </w:rPr>
                    <w:t>Industry-specific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Australian Animal Health Laboratory</w:t>
                  </w:r>
                </w:p>
              </w:tc>
              <w:tc>
                <w:tcPr>
                  <w:tcW w:w="468" w:type="pct"/>
                  <w:vAlign w:val="bottom"/>
                </w:tcPr>
                <w:p w:rsidR="00AC2131" w:rsidRDefault="00AC2131" w:rsidP="00AC2131">
                  <w:pPr>
                    <w:pStyle w:val="TableBodyText"/>
                    <w:spacing w:after="0"/>
                    <w:ind w:left="0" w:right="57"/>
                  </w:pPr>
                  <w:r>
                    <w:t>7.1</w:t>
                  </w:r>
                </w:p>
              </w:tc>
              <w:tc>
                <w:tcPr>
                  <w:tcW w:w="467" w:type="pct"/>
                  <w:vAlign w:val="bottom"/>
                </w:tcPr>
                <w:p w:rsidR="00AC2131" w:rsidRDefault="00AC2131" w:rsidP="00AC2131">
                  <w:pPr>
                    <w:pStyle w:val="TableBodyText"/>
                    <w:spacing w:after="0"/>
                    <w:ind w:left="0" w:right="57"/>
                  </w:pPr>
                  <w:r>
                    <w:t>7.2</w:t>
                  </w:r>
                </w:p>
              </w:tc>
              <w:tc>
                <w:tcPr>
                  <w:tcW w:w="467" w:type="pct"/>
                  <w:vAlign w:val="bottom"/>
                </w:tcPr>
                <w:p w:rsidR="00AC2131" w:rsidRDefault="00AC2131" w:rsidP="00AC2131">
                  <w:pPr>
                    <w:pStyle w:val="TableBodyText"/>
                    <w:spacing w:after="0"/>
                    <w:ind w:left="0" w:right="57"/>
                  </w:pPr>
                  <w:r>
                    <w:t>7.3</w:t>
                  </w:r>
                </w:p>
              </w:tc>
              <w:tc>
                <w:tcPr>
                  <w:tcW w:w="467" w:type="pct"/>
                  <w:vAlign w:val="bottom"/>
                </w:tcPr>
                <w:p w:rsidR="00AC2131" w:rsidRDefault="00AC2131" w:rsidP="00AC2131">
                  <w:pPr>
                    <w:pStyle w:val="TableBodyText"/>
                    <w:spacing w:after="0"/>
                    <w:ind w:left="0" w:right="57"/>
                  </w:pPr>
                  <w:r>
                    <w:t>7.4</w:t>
                  </w:r>
                </w:p>
              </w:tc>
              <w:tc>
                <w:tcPr>
                  <w:tcW w:w="467" w:type="pct"/>
                  <w:shd w:val="clear" w:color="auto" w:fill="auto"/>
                  <w:vAlign w:val="bottom"/>
                </w:tcPr>
                <w:p w:rsidR="00AC2131" w:rsidRDefault="00AC2131" w:rsidP="00AC2131">
                  <w:pPr>
                    <w:pStyle w:val="TableBodyText"/>
                    <w:spacing w:after="0"/>
                    <w:ind w:left="0" w:right="57"/>
                  </w:pPr>
                  <w:r>
                    <w:t>7.5</w:t>
                  </w:r>
                </w:p>
              </w:tc>
              <w:tc>
                <w:tcPr>
                  <w:tcW w:w="465" w:type="pct"/>
                  <w:shd w:val="clear" w:color="auto" w:fill="auto"/>
                  <w:vAlign w:val="bottom"/>
                </w:tcPr>
                <w:p w:rsidR="00AC2131" w:rsidRDefault="00AC2131" w:rsidP="00AC2131">
                  <w:pPr>
                    <w:pStyle w:val="TableBodyText"/>
                    <w:spacing w:after="0"/>
                    <w:ind w:left="0" w:right="57"/>
                  </w:pPr>
                  <w:r>
                    <w:t>7.7</w:t>
                  </w:r>
                </w:p>
              </w:tc>
            </w:tr>
            <w:tr w:rsidR="00AC2131" w:rsidTr="00AC2131">
              <w:tc>
                <w:tcPr>
                  <w:tcW w:w="2199" w:type="pct"/>
                  <w:shd w:val="clear" w:color="auto" w:fill="auto"/>
                  <w:vAlign w:val="bottom"/>
                </w:tcPr>
                <w:p w:rsidR="00AC2131" w:rsidRPr="00804086" w:rsidRDefault="00AC2131" w:rsidP="00AC2131">
                  <w:pPr>
                    <w:ind w:left="227"/>
                    <w:rPr>
                      <w:rFonts w:ascii="Arial" w:hAnsi="Arial" w:cs="Arial"/>
                      <w:color w:val="000000"/>
                      <w:sz w:val="18"/>
                      <w:szCs w:val="18"/>
                    </w:rPr>
                  </w:pPr>
                  <w:r w:rsidRPr="00804086">
                    <w:rPr>
                      <w:rFonts w:ascii="Arial" w:hAnsi="Arial" w:cs="Arial"/>
                      <w:color w:val="000000"/>
                      <w:sz w:val="18"/>
                      <w:szCs w:val="18"/>
                    </w:rPr>
                    <w:t>Exotic Disease Preparedness Program</w:t>
                  </w:r>
                </w:p>
              </w:tc>
              <w:tc>
                <w:tcPr>
                  <w:tcW w:w="468"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0.6</w:t>
                  </w:r>
                </w:p>
              </w:tc>
              <w:tc>
                <w:tcPr>
                  <w:tcW w:w="467" w:type="pct"/>
                  <w:shd w:val="clear" w:color="auto" w:fill="auto"/>
                  <w:vAlign w:val="bottom"/>
                </w:tcPr>
                <w:p w:rsidR="00AC2131" w:rsidRDefault="00AC2131" w:rsidP="00AC2131">
                  <w:pPr>
                    <w:pStyle w:val="TableBodyText"/>
                    <w:spacing w:after="0"/>
                    <w:ind w:left="0" w:right="57"/>
                  </w:pPr>
                  <w:r>
                    <w:t>0.6</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tcPr>
                <w:p w:rsidR="00AC2131" w:rsidRPr="004829A9" w:rsidRDefault="00AC2131" w:rsidP="00AC2131">
                  <w:pPr>
                    <w:pStyle w:val="TableUnitsRow"/>
                    <w:tabs>
                      <w:tab w:val="left" w:pos="2850"/>
                    </w:tabs>
                    <w:spacing w:after="0"/>
                    <w:ind w:left="113"/>
                    <w:jc w:val="left"/>
                    <w:rPr>
                      <w:i/>
                    </w:rPr>
                  </w:pPr>
                  <w:r w:rsidRPr="004829A9">
                    <w:rPr>
                      <w:i/>
                    </w:rPr>
                    <w:t>Sector-specific measures</w:t>
                  </w:r>
                </w:p>
              </w:tc>
              <w:tc>
                <w:tcPr>
                  <w:tcW w:w="468"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5" w:type="pct"/>
                </w:tcPr>
                <w:p w:rsidR="00AC2131" w:rsidRDefault="00AC2131" w:rsidP="00AC2131">
                  <w:pPr>
                    <w:pStyle w:val="TableUnitsRow"/>
                    <w:spacing w:after="0"/>
                    <w:ind w:left="113" w:right="28"/>
                  </w:pPr>
                </w:p>
              </w:tc>
            </w:tr>
            <w:tr w:rsidR="00AC2131" w:rsidTr="00AC2131">
              <w:tc>
                <w:tcPr>
                  <w:tcW w:w="2199" w:type="pct"/>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 xml:space="preserve">Caring for Our Country </w:t>
                  </w:r>
                  <w:r>
                    <w:rPr>
                      <w:rFonts w:ascii="Arial" w:hAnsi="Arial" w:cs="Arial"/>
                      <w:color w:val="000000"/>
                      <w:sz w:val="18"/>
                      <w:szCs w:val="18"/>
                    </w:rPr>
                    <w:t>–</w:t>
                  </w:r>
                  <w:r w:rsidRPr="004829A9">
                    <w:rPr>
                      <w:rFonts w:ascii="Arial" w:hAnsi="Arial" w:cs="Arial"/>
                      <w:color w:val="000000"/>
                      <w:sz w:val="18"/>
                      <w:szCs w:val="18"/>
                    </w:rPr>
                    <w:t xml:space="preserve"> Landcare</w:t>
                  </w:r>
                </w:p>
              </w:tc>
              <w:tc>
                <w:tcPr>
                  <w:tcW w:w="468" w:type="pct"/>
                  <w:vAlign w:val="bottom"/>
                </w:tcPr>
                <w:p w:rsidR="00AC2131" w:rsidRDefault="00AC2131" w:rsidP="00AC2131">
                  <w:pPr>
                    <w:pStyle w:val="TableBodyText"/>
                    <w:spacing w:after="0"/>
                    <w:ind w:left="0" w:right="57"/>
                  </w:pPr>
                  <w:r>
                    <w:t>35.2</w:t>
                  </w:r>
                </w:p>
              </w:tc>
              <w:tc>
                <w:tcPr>
                  <w:tcW w:w="467" w:type="pct"/>
                  <w:vAlign w:val="bottom"/>
                </w:tcPr>
                <w:p w:rsidR="00AC2131" w:rsidRDefault="00AC2131" w:rsidP="00AC2131">
                  <w:pPr>
                    <w:pStyle w:val="TableBodyText"/>
                    <w:spacing w:after="0"/>
                    <w:ind w:left="0" w:right="57"/>
                  </w:pPr>
                  <w:r>
                    <w:t>32.1</w:t>
                  </w:r>
                </w:p>
              </w:tc>
              <w:tc>
                <w:tcPr>
                  <w:tcW w:w="467" w:type="pct"/>
                  <w:vAlign w:val="bottom"/>
                </w:tcPr>
                <w:p w:rsidR="00AC2131" w:rsidRDefault="00AC2131" w:rsidP="00AC2131">
                  <w:pPr>
                    <w:pStyle w:val="TableBodyText"/>
                    <w:spacing w:after="0"/>
                    <w:ind w:left="0" w:right="57"/>
                  </w:pPr>
                  <w:r>
                    <w:t>34.0</w:t>
                  </w:r>
                </w:p>
              </w:tc>
              <w:tc>
                <w:tcPr>
                  <w:tcW w:w="467" w:type="pct"/>
                  <w:vAlign w:val="bottom"/>
                </w:tcPr>
                <w:p w:rsidR="00AC2131" w:rsidRDefault="00AC2131" w:rsidP="00AC2131">
                  <w:pPr>
                    <w:pStyle w:val="TableBodyText"/>
                    <w:spacing w:after="0"/>
                    <w:ind w:left="0" w:right="57"/>
                  </w:pPr>
                  <w:r>
                    <w:t>36.8</w:t>
                  </w:r>
                </w:p>
              </w:tc>
              <w:tc>
                <w:tcPr>
                  <w:tcW w:w="467" w:type="pct"/>
                  <w:vAlign w:val="bottom"/>
                </w:tcPr>
                <w:p w:rsidR="00AC2131" w:rsidRDefault="00AC2131" w:rsidP="00AC2131">
                  <w:pPr>
                    <w:pStyle w:val="TableBodyText"/>
                    <w:spacing w:after="0"/>
                    <w:ind w:left="0" w:right="57"/>
                  </w:pPr>
                  <w:r>
                    <w:t>35.1</w:t>
                  </w:r>
                </w:p>
              </w:tc>
              <w:tc>
                <w:tcPr>
                  <w:tcW w:w="465" w:type="pct"/>
                  <w:vAlign w:val="bottom"/>
                </w:tcPr>
                <w:p w:rsidR="00AC2131" w:rsidRDefault="00AC2131" w:rsidP="00AC2131">
                  <w:pPr>
                    <w:pStyle w:val="TableBodyText"/>
                    <w:spacing w:after="0"/>
                    <w:ind w:left="0" w:right="57"/>
                  </w:pPr>
                  <w:r>
                    <w:t>17.2</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Climate Change Adjustment Program</w:t>
                  </w:r>
                </w:p>
              </w:tc>
              <w:tc>
                <w:tcPr>
                  <w:tcW w:w="468" w:type="pct"/>
                  <w:vAlign w:val="bottom"/>
                </w:tcPr>
                <w:p w:rsidR="00AC2131" w:rsidRDefault="00AC2131" w:rsidP="00AC2131">
                  <w:pPr>
                    <w:pStyle w:val="TableBodyText"/>
                    <w:spacing w:after="0"/>
                    <w:ind w:left="0" w:right="57"/>
                  </w:pPr>
                  <w:r>
                    <w:t>3.5</w:t>
                  </w:r>
                </w:p>
              </w:tc>
              <w:tc>
                <w:tcPr>
                  <w:tcW w:w="467" w:type="pct"/>
                  <w:vAlign w:val="bottom"/>
                </w:tcPr>
                <w:p w:rsidR="00AC2131" w:rsidRDefault="00AC2131" w:rsidP="00AC2131">
                  <w:pPr>
                    <w:pStyle w:val="TableBodyText"/>
                    <w:spacing w:after="0"/>
                    <w:ind w:left="0" w:right="57"/>
                  </w:pPr>
                  <w:r>
                    <w:t>12.4</w:t>
                  </w:r>
                </w:p>
              </w:tc>
              <w:tc>
                <w:tcPr>
                  <w:tcW w:w="467" w:type="pct"/>
                  <w:vAlign w:val="bottom"/>
                </w:tcPr>
                <w:p w:rsidR="00AC2131" w:rsidRDefault="00AC2131" w:rsidP="00AC2131">
                  <w:pPr>
                    <w:pStyle w:val="TableBodyText"/>
                    <w:spacing w:after="0"/>
                    <w:ind w:left="0" w:right="57"/>
                  </w:pPr>
                  <w:r>
                    <w:t>8.7</w:t>
                  </w:r>
                </w:p>
              </w:tc>
              <w:tc>
                <w:tcPr>
                  <w:tcW w:w="467" w:type="pct"/>
                  <w:vAlign w:val="bottom"/>
                </w:tcPr>
                <w:p w:rsidR="00AC2131" w:rsidRDefault="00AC2131" w:rsidP="00AC2131">
                  <w:pPr>
                    <w:pStyle w:val="TableBodyText"/>
                    <w:spacing w:after="0"/>
                    <w:ind w:left="0" w:right="57"/>
                  </w:pPr>
                  <w:r>
                    <w:t>16.2</w:t>
                  </w:r>
                </w:p>
              </w:tc>
              <w:tc>
                <w:tcPr>
                  <w:tcW w:w="467" w:type="pct"/>
                  <w:shd w:val="clear" w:color="auto" w:fill="auto"/>
                  <w:vAlign w:val="bottom"/>
                </w:tcPr>
                <w:p w:rsidR="00AC2131" w:rsidRDefault="00AC2131" w:rsidP="00AC2131">
                  <w:pPr>
                    <w:pStyle w:val="TableBodyText"/>
                    <w:spacing w:after="0"/>
                    <w:ind w:left="0" w:right="57"/>
                  </w:pPr>
                  <w:r>
                    <w:t>0.6</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 xml:space="preserve">Drought assistance </w:t>
                  </w:r>
                  <w:r>
                    <w:rPr>
                      <w:rFonts w:ascii="Arial" w:hAnsi="Arial" w:cs="Arial"/>
                      <w:color w:val="000000"/>
                      <w:sz w:val="18"/>
                      <w:szCs w:val="18"/>
                    </w:rPr>
                    <w:t>–</w:t>
                  </w:r>
                  <w:r w:rsidRPr="004829A9">
                    <w:rPr>
                      <w:rFonts w:ascii="Arial" w:hAnsi="Arial" w:cs="Arial"/>
                      <w:color w:val="000000"/>
                      <w:sz w:val="18"/>
                      <w:szCs w:val="18"/>
                    </w:rPr>
                    <w:t xml:space="preserve"> Murray Darling Basin Grants to Irrigators</w:t>
                  </w:r>
                </w:p>
              </w:tc>
              <w:tc>
                <w:tcPr>
                  <w:tcW w:w="468" w:type="pct"/>
                  <w:vAlign w:val="bottom"/>
                </w:tcPr>
                <w:p w:rsidR="00AC2131" w:rsidRDefault="00AC2131" w:rsidP="00AC2131">
                  <w:pPr>
                    <w:pStyle w:val="TableBodyText"/>
                    <w:spacing w:after="0"/>
                    <w:ind w:left="0" w:right="57"/>
                  </w:pPr>
                  <w:r>
                    <w:t>60.4</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 xml:space="preserve">Drought assistance </w:t>
                  </w:r>
                  <w:r>
                    <w:rPr>
                      <w:rFonts w:ascii="Arial" w:hAnsi="Arial" w:cs="Arial"/>
                      <w:color w:val="000000"/>
                      <w:sz w:val="18"/>
                      <w:szCs w:val="18"/>
                    </w:rPr>
                    <w:t>–</w:t>
                  </w:r>
                  <w:r w:rsidRPr="004829A9">
                    <w:rPr>
                      <w:rFonts w:ascii="Arial" w:hAnsi="Arial" w:cs="Arial"/>
                      <w:color w:val="000000"/>
                      <w:sz w:val="18"/>
                      <w:szCs w:val="18"/>
                    </w:rPr>
                    <w:t xml:space="preserve"> professional advice</w:t>
                  </w:r>
                </w:p>
              </w:tc>
              <w:tc>
                <w:tcPr>
                  <w:tcW w:w="468" w:type="pct"/>
                  <w:vAlign w:val="bottom"/>
                </w:tcPr>
                <w:p w:rsidR="00AC2131" w:rsidRDefault="00AC2131" w:rsidP="00AC2131">
                  <w:pPr>
                    <w:pStyle w:val="TableBodyText"/>
                    <w:spacing w:after="0"/>
                    <w:ind w:left="0" w:right="57"/>
                  </w:pPr>
                  <w:r>
                    <w:t>14.2</w:t>
                  </w:r>
                </w:p>
              </w:tc>
              <w:tc>
                <w:tcPr>
                  <w:tcW w:w="467" w:type="pct"/>
                  <w:vAlign w:val="bottom"/>
                </w:tcPr>
                <w:p w:rsidR="00AC2131" w:rsidRDefault="00AC2131" w:rsidP="00AC2131">
                  <w:pPr>
                    <w:pStyle w:val="TableBodyText"/>
                    <w:spacing w:after="0"/>
                    <w:ind w:left="0" w:right="57"/>
                  </w:pPr>
                  <w:r>
                    <w:t>12.5</w:t>
                  </w:r>
                </w:p>
              </w:tc>
              <w:tc>
                <w:tcPr>
                  <w:tcW w:w="467" w:type="pct"/>
                  <w:vAlign w:val="bottom"/>
                </w:tcPr>
                <w:p w:rsidR="00AC2131" w:rsidRDefault="00AC2131" w:rsidP="00AC2131">
                  <w:pPr>
                    <w:pStyle w:val="TableBodyText"/>
                    <w:spacing w:after="0"/>
                    <w:ind w:left="0" w:right="57"/>
                  </w:pPr>
                  <w:r>
                    <w:t>7.1</w:t>
                  </w:r>
                </w:p>
              </w:tc>
              <w:tc>
                <w:tcPr>
                  <w:tcW w:w="467" w:type="pct"/>
                  <w:vAlign w:val="bottom"/>
                </w:tcPr>
                <w:p w:rsidR="00AC2131" w:rsidRDefault="00AC2131" w:rsidP="00AC2131">
                  <w:pPr>
                    <w:pStyle w:val="TableBodyText"/>
                    <w:spacing w:after="0"/>
                    <w:ind w:left="0" w:right="57"/>
                  </w:pPr>
                  <w:r>
                    <w:t>1.9</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 xml:space="preserve">Drought assistance </w:t>
                  </w:r>
                  <w:r>
                    <w:rPr>
                      <w:rFonts w:ascii="Arial" w:hAnsi="Arial" w:cs="Arial"/>
                      <w:color w:val="000000"/>
                      <w:sz w:val="18"/>
                      <w:szCs w:val="18"/>
                    </w:rPr>
                    <w:t>–</w:t>
                  </w:r>
                  <w:r w:rsidRPr="004829A9">
                    <w:rPr>
                      <w:rFonts w:ascii="Arial" w:hAnsi="Arial" w:cs="Arial"/>
                      <w:color w:val="000000"/>
                      <w:sz w:val="18"/>
                      <w:szCs w:val="18"/>
                    </w:rPr>
                    <w:t xml:space="preserve"> re-establishment assistance</w:t>
                  </w:r>
                </w:p>
              </w:tc>
              <w:tc>
                <w:tcPr>
                  <w:tcW w:w="468" w:type="pct"/>
                  <w:vAlign w:val="bottom"/>
                </w:tcPr>
                <w:p w:rsidR="00AC2131" w:rsidRDefault="00AC2131" w:rsidP="00AC2131">
                  <w:pPr>
                    <w:pStyle w:val="TableBodyText"/>
                    <w:spacing w:after="0"/>
                    <w:ind w:left="0" w:right="57"/>
                  </w:pPr>
                  <w:r>
                    <w:t>17.6</w:t>
                  </w:r>
                </w:p>
              </w:tc>
              <w:tc>
                <w:tcPr>
                  <w:tcW w:w="467" w:type="pct"/>
                  <w:vAlign w:val="bottom"/>
                </w:tcPr>
                <w:p w:rsidR="00AC2131" w:rsidRDefault="00AC2131" w:rsidP="00AC2131">
                  <w:pPr>
                    <w:pStyle w:val="TableBodyText"/>
                    <w:spacing w:after="0"/>
                    <w:ind w:left="0" w:right="57"/>
                  </w:pPr>
                  <w:r>
                    <w:t>20.0</w:t>
                  </w:r>
                </w:p>
              </w:tc>
              <w:tc>
                <w:tcPr>
                  <w:tcW w:w="467" w:type="pct"/>
                  <w:vAlign w:val="bottom"/>
                </w:tcPr>
                <w:p w:rsidR="00AC2131" w:rsidRDefault="00AC2131" w:rsidP="00AC2131">
                  <w:pPr>
                    <w:pStyle w:val="TableBodyText"/>
                    <w:spacing w:after="0"/>
                    <w:ind w:left="0" w:right="57"/>
                  </w:pPr>
                  <w:r>
                    <w:t>23.9</w:t>
                  </w:r>
                </w:p>
              </w:tc>
              <w:tc>
                <w:tcPr>
                  <w:tcW w:w="467" w:type="pct"/>
                  <w:vAlign w:val="bottom"/>
                </w:tcPr>
                <w:p w:rsidR="00AC2131" w:rsidRDefault="00AC2131" w:rsidP="00AC2131">
                  <w:pPr>
                    <w:pStyle w:val="TableBodyText"/>
                    <w:spacing w:after="0"/>
                    <w:ind w:left="0" w:right="57"/>
                  </w:pPr>
                  <w:r>
                    <w:t>16.4</w:t>
                  </w:r>
                </w:p>
              </w:tc>
              <w:tc>
                <w:tcPr>
                  <w:tcW w:w="467" w:type="pct"/>
                  <w:shd w:val="clear" w:color="auto" w:fill="auto"/>
                  <w:vAlign w:val="bottom"/>
                </w:tcPr>
                <w:p w:rsidR="00AC2131" w:rsidRDefault="00AC2131" w:rsidP="00AC2131">
                  <w:pPr>
                    <w:pStyle w:val="TableBodyText"/>
                    <w:spacing w:after="0"/>
                    <w:ind w:left="0" w:right="57"/>
                  </w:pPr>
                  <w:r>
                    <w:t>2.2</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3A732A">
                    <w:rPr>
                      <w:rFonts w:ascii="Arial" w:hAnsi="Arial" w:cs="Arial"/>
                      <w:color w:val="000000"/>
                      <w:sz w:val="18"/>
                      <w:szCs w:val="18"/>
                    </w:rPr>
                    <w:t>Drought Assistance Package - concessional loans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2.0</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Environmental Stewardship Program</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8.9</w:t>
                  </w:r>
                </w:p>
              </w:tc>
              <w:tc>
                <w:tcPr>
                  <w:tcW w:w="467" w:type="pct"/>
                  <w:vAlign w:val="bottom"/>
                </w:tcPr>
                <w:p w:rsidR="00AC2131" w:rsidRDefault="00AC2131" w:rsidP="00AC2131">
                  <w:pPr>
                    <w:pStyle w:val="TableBodyText"/>
                    <w:spacing w:after="0"/>
                    <w:ind w:left="0" w:right="57"/>
                  </w:pPr>
                  <w:r>
                    <w:t>13.3</w:t>
                  </w:r>
                </w:p>
              </w:tc>
              <w:tc>
                <w:tcPr>
                  <w:tcW w:w="467" w:type="pct"/>
                  <w:vAlign w:val="bottom"/>
                </w:tcPr>
                <w:p w:rsidR="00AC2131" w:rsidRDefault="00AC2131" w:rsidP="00AC2131">
                  <w:pPr>
                    <w:pStyle w:val="TableBodyText"/>
                    <w:spacing w:after="0"/>
                    <w:ind w:left="0" w:right="57"/>
                  </w:pPr>
                  <w:r>
                    <w:t>13.2</w:t>
                  </w:r>
                </w:p>
              </w:tc>
              <w:tc>
                <w:tcPr>
                  <w:tcW w:w="467" w:type="pct"/>
                  <w:shd w:val="clear" w:color="auto" w:fill="auto"/>
                  <w:vAlign w:val="bottom"/>
                </w:tcPr>
                <w:p w:rsidR="00AC2131" w:rsidRDefault="00AC2131" w:rsidP="00AC2131">
                  <w:pPr>
                    <w:pStyle w:val="TableBodyText"/>
                    <w:spacing w:after="0"/>
                    <w:ind w:left="0" w:right="57"/>
                  </w:pPr>
                  <w:r>
                    <w:t>11.0</w:t>
                  </w:r>
                </w:p>
              </w:tc>
              <w:tc>
                <w:tcPr>
                  <w:tcW w:w="465" w:type="pct"/>
                  <w:shd w:val="clear" w:color="auto" w:fill="auto"/>
                  <w:vAlign w:val="bottom"/>
                </w:tcPr>
                <w:p w:rsidR="00AC2131" w:rsidRDefault="00AC2131" w:rsidP="00AC2131">
                  <w:pPr>
                    <w:pStyle w:val="TableBodyText"/>
                    <w:spacing w:after="0"/>
                    <w:ind w:left="0" w:right="57"/>
                  </w:pPr>
                  <w:r>
                    <w:t>14.0</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interest rate subsidies</w:t>
                  </w:r>
                </w:p>
              </w:tc>
              <w:tc>
                <w:tcPr>
                  <w:tcW w:w="468" w:type="pct"/>
                  <w:vAlign w:val="bottom"/>
                </w:tcPr>
                <w:p w:rsidR="00AC2131" w:rsidRDefault="00AC2131" w:rsidP="00AC2131">
                  <w:pPr>
                    <w:pStyle w:val="TableBodyText"/>
                    <w:spacing w:after="0"/>
                    <w:ind w:left="0" w:right="57"/>
                  </w:pPr>
                  <w:r>
                    <w:t>3.9</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relief payments</w:t>
                  </w:r>
                </w:p>
              </w:tc>
              <w:tc>
                <w:tcPr>
                  <w:tcW w:w="468" w:type="pct"/>
                  <w:vAlign w:val="bottom"/>
                </w:tcPr>
                <w:p w:rsidR="00AC2131" w:rsidRDefault="00AC2131" w:rsidP="00AC2131">
                  <w:pPr>
                    <w:pStyle w:val="TableBodyText"/>
                    <w:spacing w:after="0"/>
                    <w:ind w:left="0" w:right="57"/>
                  </w:pPr>
                  <w:r>
                    <w:t>22.8</w:t>
                  </w:r>
                </w:p>
              </w:tc>
              <w:tc>
                <w:tcPr>
                  <w:tcW w:w="467" w:type="pct"/>
                  <w:vAlign w:val="bottom"/>
                </w:tcPr>
                <w:p w:rsidR="00AC2131" w:rsidRDefault="00AC2131" w:rsidP="00AC2131">
                  <w:pPr>
                    <w:pStyle w:val="TableBodyText"/>
                    <w:spacing w:after="0"/>
                    <w:ind w:left="0" w:right="57"/>
                  </w:pPr>
                  <w:r>
                    <w:t>13.9</w:t>
                  </w:r>
                </w:p>
              </w:tc>
              <w:tc>
                <w:tcPr>
                  <w:tcW w:w="467" w:type="pct"/>
                  <w:vAlign w:val="bottom"/>
                </w:tcPr>
                <w:p w:rsidR="00AC2131" w:rsidRDefault="00AC2131" w:rsidP="00AC2131">
                  <w:pPr>
                    <w:pStyle w:val="TableBodyText"/>
                    <w:spacing w:after="0"/>
                    <w:ind w:left="0" w:right="57"/>
                  </w:pPr>
                  <w:r>
                    <w:t>14.6</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1.6</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3A732A">
                    <w:rPr>
                      <w:rFonts w:ascii="Arial" w:hAnsi="Arial" w:cs="Arial"/>
                      <w:color w:val="000000"/>
                      <w:sz w:val="18"/>
                      <w:szCs w:val="18"/>
                    </w:rPr>
                    <w:t>Farm Finance - concessional loans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9.8</w:t>
                  </w:r>
                </w:p>
              </w:tc>
            </w:tr>
            <w:tr w:rsidR="00AC2131" w:rsidTr="00AC2131">
              <w:tc>
                <w:tcPr>
                  <w:tcW w:w="2199" w:type="pct"/>
                  <w:tcBorders>
                    <w:bottom w:val="single" w:sz="6" w:space="0" w:color="BFBFBF"/>
                  </w:tcBorders>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Farm Help</w:t>
                  </w:r>
                </w:p>
              </w:tc>
              <w:tc>
                <w:tcPr>
                  <w:tcW w:w="468"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0.1</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jc w:val="right"/>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A.10</w:t>
            </w:r>
            <w:r>
              <w:tab/>
            </w:r>
            <w:r w:rsidRPr="006B64DF">
              <w:rPr>
                <w:b w:val="0"/>
                <w:sz w:val="18"/>
                <w:szCs w:val="18"/>
              </w:rPr>
              <w:t>(continued)</w:t>
            </w:r>
          </w:p>
        </w:tc>
      </w:tr>
      <w:tr w:rsidR="00AC2131" w:rsidTr="00AC2131">
        <w:trPr>
          <w:cantSplit/>
        </w:trPr>
        <w:tc>
          <w:tcPr>
            <w:tcW w:w="8767" w:type="dxa"/>
            <w:tcBorders>
              <w:top w:val="nil"/>
              <w:left w:val="nil"/>
              <w:bottom w:val="nil"/>
              <w:right w:val="nil"/>
            </w:tcBorders>
            <w:shd w:val="clear" w:color="auto" w:fill="auto"/>
          </w:tcPr>
          <w:tbl>
            <w:tblPr>
              <w:tblW w:w="8510" w:type="dxa"/>
              <w:tblLayout w:type="fixed"/>
              <w:tblCellMar>
                <w:top w:w="28" w:type="dxa"/>
                <w:left w:w="0" w:type="dxa"/>
                <w:right w:w="0" w:type="dxa"/>
              </w:tblCellMar>
              <w:tblLook w:val="0000" w:firstRow="0" w:lastRow="0" w:firstColumn="0" w:lastColumn="0" w:noHBand="0" w:noVBand="0"/>
            </w:tblPr>
            <w:tblGrid>
              <w:gridCol w:w="3742"/>
              <w:gridCol w:w="797"/>
              <w:gridCol w:w="795"/>
              <w:gridCol w:w="795"/>
              <w:gridCol w:w="795"/>
              <w:gridCol w:w="795"/>
              <w:gridCol w:w="791"/>
            </w:tblGrid>
            <w:tr w:rsidR="00AC2131" w:rsidTr="00AC2131">
              <w:tc>
                <w:tcPr>
                  <w:tcW w:w="21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8"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199" w:type="pct"/>
                  <w:tcBorders>
                    <w:top w:val="single" w:sz="6" w:space="0" w:color="BFBFBF"/>
                  </w:tcBorders>
                </w:tcPr>
                <w:p w:rsidR="00AC2131" w:rsidRPr="004829A9" w:rsidRDefault="00AC2131" w:rsidP="00AC2131">
                  <w:pPr>
                    <w:pStyle w:val="TableUnitsRow"/>
                    <w:tabs>
                      <w:tab w:val="left" w:pos="2850"/>
                    </w:tabs>
                    <w:spacing w:after="0"/>
                    <w:ind w:left="113"/>
                    <w:jc w:val="left"/>
                    <w:rPr>
                      <w:i/>
                    </w:rPr>
                  </w:pPr>
                  <w:r w:rsidRPr="004829A9">
                    <w:rPr>
                      <w:i/>
                    </w:rPr>
                    <w:t>Sector-specific measures</w:t>
                  </w:r>
                  <w:r>
                    <w:rPr>
                      <w:i/>
                    </w:rPr>
                    <w:t xml:space="preserve"> (continued)</w:t>
                  </w:r>
                </w:p>
              </w:tc>
              <w:tc>
                <w:tcPr>
                  <w:tcW w:w="468"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5" w:type="pct"/>
                  <w:tcBorders>
                    <w:top w:val="single" w:sz="6" w:space="0" w:color="BFBFBF"/>
                  </w:tcBorders>
                </w:tcPr>
                <w:p w:rsidR="00AC2131" w:rsidRDefault="00AC2131" w:rsidP="00AC2131">
                  <w:pPr>
                    <w:pStyle w:val="TableUnitsRow"/>
                    <w:spacing w:after="0"/>
                    <w:ind w:left="113" w:right="28"/>
                  </w:pP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Farm Management Deposits Scheme</w:t>
                  </w:r>
                </w:p>
              </w:tc>
              <w:tc>
                <w:tcPr>
                  <w:tcW w:w="468" w:type="pct"/>
                  <w:vAlign w:val="bottom"/>
                </w:tcPr>
                <w:p w:rsidR="00AC2131" w:rsidRDefault="00AC2131" w:rsidP="00AC2131">
                  <w:pPr>
                    <w:pStyle w:val="TableBodyText"/>
                    <w:spacing w:after="0"/>
                    <w:ind w:left="0" w:right="57"/>
                  </w:pPr>
                  <w:r>
                    <w:t>7.6</w:t>
                  </w:r>
                </w:p>
              </w:tc>
              <w:tc>
                <w:tcPr>
                  <w:tcW w:w="467" w:type="pct"/>
                  <w:vAlign w:val="bottom"/>
                </w:tcPr>
                <w:p w:rsidR="00AC2131" w:rsidRDefault="00AC2131" w:rsidP="00AC2131">
                  <w:pPr>
                    <w:pStyle w:val="TableBodyText"/>
                    <w:spacing w:after="0"/>
                    <w:ind w:left="0" w:right="57"/>
                  </w:pPr>
                  <w:r>
                    <w:t>5.1</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1.8</w:t>
                  </w:r>
                </w:p>
              </w:tc>
              <w:tc>
                <w:tcPr>
                  <w:tcW w:w="467" w:type="pct"/>
                  <w:shd w:val="clear" w:color="auto" w:fill="auto"/>
                  <w:vAlign w:val="bottom"/>
                </w:tcPr>
                <w:p w:rsidR="00AC2131" w:rsidRDefault="00AC2131" w:rsidP="00AC2131">
                  <w:pPr>
                    <w:pStyle w:val="TableBodyText"/>
                    <w:spacing w:after="0"/>
                    <w:ind w:left="0" w:right="57"/>
                  </w:pPr>
                  <w:r>
                    <w:t>4.8</w:t>
                  </w:r>
                </w:p>
              </w:tc>
              <w:tc>
                <w:tcPr>
                  <w:tcW w:w="465" w:type="pct"/>
                  <w:shd w:val="clear" w:color="auto" w:fill="auto"/>
                  <w:vAlign w:val="bottom"/>
                </w:tcPr>
                <w:p w:rsidR="00AC2131" w:rsidRDefault="00AC2131" w:rsidP="00AC2131">
                  <w:pPr>
                    <w:pStyle w:val="TableBodyText"/>
                    <w:spacing w:after="0"/>
                    <w:ind w:left="0" w:right="57"/>
                  </w:pPr>
                  <w:r>
                    <w:t>2.7</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Industry partnerships program</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Interim Income Support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Promoting Australian Produce Program</w:t>
                  </w:r>
                </w:p>
              </w:tc>
              <w:tc>
                <w:tcPr>
                  <w:tcW w:w="468" w:type="pct"/>
                  <w:vAlign w:val="bottom"/>
                </w:tcPr>
                <w:p w:rsidR="00AC2131" w:rsidRDefault="00AC2131" w:rsidP="00AC2131">
                  <w:pPr>
                    <w:pStyle w:val="TableBodyText"/>
                    <w:spacing w:after="0"/>
                    <w:ind w:left="0" w:right="57"/>
                  </w:pPr>
                  <w:r>
                    <w:t>3.0</w:t>
                  </w:r>
                </w:p>
              </w:tc>
              <w:tc>
                <w:tcPr>
                  <w:tcW w:w="467"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3.8</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Rural Financial Counselling Service</w:t>
                  </w:r>
                </w:p>
              </w:tc>
              <w:tc>
                <w:tcPr>
                  <w:tcW w:w="468" w:type="pct"/>
                  <w:vAlign w:val="bottom"/>
                </w:tcPr>
                <w:p w:rsidR="00AC2131" w:rsidRDefault="00AC2131" w:rsidP="00AC2131">
                  <w:pPr>
                    <w:pStyle w:val="TableBodyText"/>
                    <w:spacing w:after="0"/>
                    <w:ind w:left="0" w:right="57"/>
                  </w:pPr>
                  <w:r>
                    <w:t>2.3</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1.9</w:t>
                  </w:r>
                </w:p>
              </w:tc>
              <w:tc>
                <w:tcPr>
                  <w:tcW w:w="467" w:type="pct"/>
                  <w:shd w:val="clear" w:color="auto" w:fill="auto"/>
                  <w:vAlign w:val="bottom"/>
                </w:tcPr>
                <w:p w:rsidR="00AC2131" w:rsidRDefault="00AC2131" w:rsidP="00AC2131">
                  <w:pPr>
                    <w:pStyle w:val="TableBodyText"/>
                    <w:spacing w:after="0"/>
                    <w:ind w:left="0" w:right="57"/>
                  </w:pPr>
                  <w:r>
                    <w:t>0.6</w:t>
                  </w:r>
                </w:p>
              </w:tc>
              <w:tc>
                <w:tcPr>
                  <w:tcW w:w="465" w:type="pct"/>
                  <w:shd w:val="clear" w:color="auto" w:fill="auto"/>
                  <w:vAlign w:val="bottom"/>
                </w:tcPr>
                <w:p w:rsidR="00AC2131" w:rsidRDefault="00AC2131" w:rsidP="00AC2131">
                  <w:pPr>
                    <w:pStyle w:val="TableBodyText"/>
                    <w:spacing w:after="0"/>
                    <w:ind w:left="0" w:right="57"/>
                  </w:pPr>
                  <w:r>
                    <w:t>0.5</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Sustainable Rural Water Use and Infrastructure Program</w:t>
                  </w:r>
                </w:p>
              </w:tc>
              <w:tc>
                <w:tcPr>
                  <w:tcW w:w="468" w:type="pct"/>
                  <w:vAlign w:val="bottom"/>
                </w:tcPr>
                <w:p w:rsidR="00AC2131" w:rsidRDefault="00AC2131" w:rsidP="00AC2131">
                  <w:pPr>
                    <w:pStyle w:val="TableBodyText"/>
                    <w:spacing w:after="0"/>
                    <w:ind w:left="0" w:right="57"/>
                  </w:pPr>
                  <w:r>
                    <w:t>17.3</w:t>
                  </w:r>
                </w:p>
              </w:tc>
              <w:tc>
                <w:tcPr>
                  <w:tcW w:w="467" w:type="pct"/>
                  <w:vAlign w:val="bottom"/>
                </w:tcPr>
                <w:p w:rsidR="00AC2131" w:rsidRDefault="00AC2131" w:rsidP="00AC2131">
                  <w:pPr>
                    <w:pStyle w:val="TableBodyText"/>
                    <w:spacing w:after="0"/>
                    <w:ind w:left="0" w:right="57"/>
                  </w:pPr>
                  <w:r>
                    <w:t>54.2</w:t>
                  </w:r>
                </w:p>
              </w:tc>
              <w:tc>
                <w:tcPr>
                  <w:tcW w:w="467" w:type="pct"/>
                  <w:vAlign w:val="bottom"/>
                </w:tcPr>
                <w:p w:rsidR="00AC2131" w:rsidRDefault="00AC2131" w:rsidP="00AC2131">
                  <w:pPr>
                    <w:pStyle w:val="TableBodyText"/>
                    <w:spacing w:after="0"/>
                    <w:ind w:left="0" w:right="57"/>
                  </w:pPr>
                  <w:r>
                    <w:t>59.2</w:t>
                  </w:r>
                </w:p>
              </w:tc>
              <w:tc>
                <w:tcPr>
                  <w:tcW w:w="467" w:type="pct"/>
                  <w:vAlign w:val="bottom"/>
                </w:tcPr>
                <w:p w:rsidR="00AC2131" w:rsidRDefault="00AC2131" w:rsidP="00AC2131">
                  <w:pPr>
                    <w:pStyle w:val="TableBodyText"/>
                    <w:spacing w:after="0"/>
                    <w:ind w:left="0" w:right="57"/>
                  </w:pPr>
                  <w:r>
                    <w:t>191.8</w:t>
                  </w:r>
                </w:p>
              </w:tc>
              <w:tc>
                <w:tcPr>
                  <w:tcW w:w="467" w:type="pct"/>
                  <w:shd w:val="clear" w:color="auto" w:fill="auto"/>
                  <w:vAlign w:val="bottom"/>
                </w:tcPr>
                <w:p w:rsidR="00AC2131" w:rsidRDefault="00AC2131" w:rsidP="00AC2131">
                  <w:pPr>
                    <w:pStyle w:val="TableBodyText"/>
                    <w:spacing w:after="0"/>
                    <w:ind w:left="0" w:right="57"/>
                  </w:pPr>
                  <w:r>
                    <w:t>140.5</w:t>
                  </w:r>
                </w:p>
              </w:tc>
              <w:tc>
                <w:tcPr>
                  <w:tcW w:w="465" w:type="pct"/>
                  <w:shd w:val="clear" w:color="auto" w:fill="auto"/>
                  <w:vAlign w:val="bottom"/>
                </w:tcPr>
                <w:p w:rsidR="00AC2131" w:rsidRDefault="00AC2131" w:rsidP="00AC2131">
                  <w:pPr>
                    <w:pStyle w:val="TableBodyText"/>
                    <w:spacing w:after="0"/>
                    <w:ind w:left="0" w:right="57"/>
                  </w:pPr>
                  <w:r>
                    <w:t>143.7</w:t>
                  </w:r>
                </w:p>
              </w:tc>
            </w:tr>
            <w:tr w:rsidR="00AC2131" w:rsidTr="00AC2131">
              <w:tc>
                <w:tcPr>
                  <w:tcW w:w="2199" w:type="pct"/>
                  <w:shd w:val="clear" w:color="auto" w:fill="auto"/>
                  <w:vAlign w:val="bottom"/>
                </w:tcPr>
                <w:p w:rsidR="00AC2131" w:rsidRPr="004829A9" w:rsidRDefault="00AC2131" w:rsidP="00AC2131">
                  <w:pPr>
                    <w:spacing w:before="40"/>
                    <w:ind w:left="113"/>
                    <w:rPr>
                      <w:rFonts w:ascii="Arial" w:hAnsi="Arial" w:cs="Arial"/>
                      <w:i/>
                      <w:color w:val="000000"/>
                      <w:sz w:val="18"/>
                      <w:szCs w:val="18"/>
                    </w:rPr>
                  </w:pPr>
                  <w:r w:rsidRPr="004829A9">
                    <w:rPr>
                      <w:rFonts w:ascii="Arial" w:hAnsi="Arial" w:cs="Arial"/>
                      <w:i/>
                      <w:color w:val="000000"/>
                      <w:sz w:val="18"/>
                      <w:szCs w:val="18"/>
                    </w:rPr>
                    <w:t>Rural R&amp;D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Climate Change Adaption Partnerships Program</w:t>
                  </w:r>
                </w:p>
              </w:tc>
              <w:tc>
                <w:tcPr>
                  <w:tcW w:w="468" w:type="pct"/>
                  <w:vAlign w:val="bottom"/>
                </w:tcPr>
                <w:p w:rsidR="00AC2131" w:rsidRDefault="00AC2131" w:rsidP="00AC2131">
                  <w:pPr>
                    <w:pStyle w:val="TableBodyText"/>
                    <w:spacing w:after="0"/>
                    <w:ind w:left="0" w:right="57"/>
                  </w:pPr>
                  <w:r>
                    <w:t>10.1</w:t>
                  </w:r>
                </w:p>
              </w:tc>
              <w:tc>
                <w:tcPr>
                  <w:tcW w:w="467" w:type="pct"/>
                  <w:vAlign w:val="bottom"/>
                </w:tcPr>
                <w:p w:rsidR="00AC2131" w:rsidRDefault="00AC2131" w:rsidP="00AC2131">
                  <w:pPr>
                    <w:pStyle w:val="TableBodyText"/>
                    <w:spacing w:after="0"/>
                    <w:ind w:left="0" w:right="57"/>
                  </w:pPr>
                  <w:r>
                    <w:t>19.3</w:t>
                  </w:r>
                </w:p>
              </w:tc>
              <w:tc>
                <w:tcPr>
                  <w:tcW w:w="467" w:type="pct"/>
                  <w:vAlign w:val="bottom"/>
                </w:tcPr>
                <w:p w:rsidR="00AC2131" w:rsidRDefault="00AC2131" w:rsidP="00AC2131">
                  <w:pPr>
                    <w:pStyle w:val="TableBodyText"/>
                    <w:spacing w:after="0"/>
                    <w:ind w:left="0" w:right="57"/>
                  </w:pPr>
                  <w:r>
                    <w:t>10.8</w:t>
                  </w:r>
                </w:p>
              </w:tc>
              <w:tc>
                <w:tcPr>
                  <w:tcW w:w="467" w:type="pct"/>
                  <w:vAlign w:val="bottom"/>
                </w:tcPr>
                <w:p w:rsidR="00AC2131" w:rsidRDefault="00AC2131" w:rsidP="00AC2131">
                  <w:pPr>
                    <w:pStyle w:val="TableBodyText"/>
                    <w:spacing w:after="0"/>
                    <w:ind w:left="0" w:right="57"/>
                  </w:pPr>
                  <w:r>
                    <w:t>8.5</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Climate Change and Productivity Research Program</w:t>
                  </w:r>
                </w:p>
              </w:tc>
              <w:tc>
                <w:tcPr>
                  <w:tcW w:w="468" w:type="pct"/>
                  <w:vAlign w:val="bottom"/>
                </w:tcPr>
                <w:p w:rsidR="00AC2131" w:rsidRDefault="00AC2131" w:rsidP="00AC2131">
                  <w:pPr>
                    <w:pStyle w:val="TableBodyText"/>
                    <w:spacing w:after="0"/>
                    <w:ind w:left="0" w:right="57"/>
                  </w:pPr>
                  <w:r>
                    <w:t>10.0</w:t>
                  </w:r>
                </w:p>
              </w:tc>
              <w:tc>
                <w:tcPr>
                  <w:tcW w:w="467" w:type="pct"/>
                  <w:vAlign w:val="bottom"/>
                </w:tcPr>
                <w:p w:rsidR="00AC2131" w:rsidRDefault="00AC2131" w:rsidP="00AC2131">
                  <w:pPr>
                    <w:pStyle w:val="TableBodyText"/>
                    <w:spacing w:after="0"/>
                    <w:ind w:left="0" w:right="57"/>
                  </w:pPr>
                  <w:r>
                    <w:t>15.0</w:t>
                  </w:r>
                </w:p>
              </w:tc>
              <w:tc>
                <w:tcPr>
                  <w:tcW w:w="467" w:type="pct"/>
                  <w:vAlign w:val="bottom"/>
                </w:tcPr>
                <w:p w:rsidR="00AC2131" w:rsidRDefault="00AC2131" w:rsidP="00AC2131">
                  <w:pPr>
                    <w:pStyle w:val="TableBodyText"/>
                    <w:spacing w:after="0"/>
                    <w:ind w:left="0" w:right="57"/>
                  </w:pPr>
                  <w:r>
                    <w:t>15.0</w:t>
                  </w:r>
                </w:p>
              </w:tc>
              <w:tc>
                <w:tcPr>
                  <w:tcW w:w="467" w:type="pct"/>
                  <w:vAlign w:val="bottom"/>
                </w:tcPr>
                <w:p w:rsidR="00AC2131" w:rsidRDefault="00AC2131" w:rsidP="00AC2131">
                  <w:pPr>
                    <w:pStyle w:val="TableBodyText"/>
                    <w:spacing w:after="0"/>
                    <w:ind w:left="0" w:right="57"/>
                  </w:pPr>
                  <w:r>
                    <w:t>6.2</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 xml:space="preserve">Land &amp; </w:t>
                  </w:r>
                  <w:r>
                    <w:rPr>
                      <w:rFonts w:ascii="Arial" w:hAnsi="Arial" w:cs="Arial"/>
                      <w:color w:val="000000"/>
                      <w:sz w:val="18"/>
                      <w:szCs w:val="18"/>
                    </w:rPr>
                    <w:t>w</w:t>
                  </w:r>
                  <w:r w:rsidRPr="004829A9">
                    <w:rPr>
                      <w:rFonts w:ascii="Arial" w:hAnsi="Arial" w:cs="Arial"/>
                      <w:color w:val="000000"/>
                      <w:sz w:val="18"/>
                      <w:szCs w:val="18"/>
                    </w:rPr>
                    <w:t xml:space="preserve">ater </w:t>
                  </w:r>
                  <w:r>
                    <w:rPr>
                      <w:rFonts w:ascii="Arial" w:hAnsi="Arial" w:cs="Arial"/>
                      <w:color w:val="000000"/>
                      <w:sz w:val="18"/>
                      <w:szCs w:val="18"/>
                    </w:rPr>
                    <w:t>resources R&amp;D</w:t>
                  </w:r>
                </w:p>
              </w:tc>
              <w:tc>
                <w:tcPr>
                  <w:tcW w:w="468" w:type="pct"/>
                  <w:vAlign w:val="bottom"/>
                </w:tcPr>
                <w:p w:rsidR="00AC2131" w:rsidRDefault="00AC2131" w:rsidP="00AC2131">
                  <w:pPr>
                    <w:pStyle w:val="TableBodyText"/>
                    <w:spacing w:after="0"/>
                    <w:ind w:left="0" w:right="57"/>
                  </w:pPr>
                  <w:r>
                    <w:t>13.0</w:t>
                  </w:r>
                </w:p>
              </w:tc>
              <w:tc>
                <w:tcPr>
                  <w:tcW w:w="467" w:type="pct"/>
                  <w:vAlign w:val="bottom"/>
                </w:tcPr>
                <w:p w:rsidR="00AC2131" w:rsidRDefault="00AC2131" w:rsidP="00AC2131">
                  <w:pPr>
                    <w:pStyle w:val="TableBodyText"/>
                    <w:spacing w:after="0"/>
                    <w:ind w:left="0" w:right="57"/>
                  </w:pPr>
                  <w:r>
                    <w:t>5.7</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National Weeds and Productivity Research Program</w:t>
                  </w:r>
                </w:p>
              </w:tc>
              <w:tc>
                <w:tcPr>
                  <w:tcW w:w="468" w:type="pct"/>
                  <w:vAlign w:val="bottom"/>
                </w:tcPr>
                <w:p w:rsidR="00AC2131" w:rsidRDefault="00AC2131" w:rsidP="00AC2131">
                  <w:pPr>
                    <w:pStyle w:val="TableBodyText"/>
                    <w:spacing w:after="0"/>
                    <w:ind w:left="0" w:right="57"/>
                  </w:pPr>
                  <w:r>
                    <w:t>3.1</w:t>
                  </w:r>
                </w:p>
              </w:tc>
              <w:tc>
                <w:tcPr>
                  <w:tcW w:w="467" w:type="pct"/>
                  <w:vAlign w:val="bottom"/>
                </w:tcPr>
                <w:p w:rsidR="00AC2131" w:rsidRDefault="00AC2131" w:rsidP="00AC2131">
                  <w:pPr>
                    <w:pStyle w:val="TableBodyText"/>
                    <w:spacing w:after="0"/>
                    <w:ind w:left="0" w:right="57"/>
                  </w:pPr>
                  <w:r>
                    <w:t>4.1</w:t>
                  </w:r>
                </w:p>
              </w:tc>
              <w:tc>
                <w:tcPr>
                  <w:tcW w:w="467" w:type="pct"/>
                  <w:vAlign w:val="bottom"/>
                </w:tcPr>
                <w:p w:rsidR="00AC2131" w:rsidRDefault="00AC2131" w:rsidP="00AC2131">
                  <w:pPr>
                    <w:pStyle w:val="TableBodyText"/>
                    <w:spacing w:after="0"/>
                    <w:ind w:left="0" w:right="57"/>
                  </w:pPr>
                  <w:r>
                    <w:t>4.0</w:t>
                  </w:r>
                </w:p>
              </w:tc>
              <w:tc>
                <w:tcPr>
                  <w:tcW w:w="467" w:type="pct"/>
                  <w:vAlign w:val="bottom"/>
                </w:tcPr>
                <w:p w:rsidR="00AC2131" w:rsidRDefault="00AC2131" w:rsidP="00AC2131">
                  <w:pPr>
                    <w:pStyle w:val="TableBodyText"/>
                    <w:spacing w:after="0"/>
                    <w:ind w:left="0" w:right="57"/>
                  </w:pPr>
                  <w:r>
                    <w:t>4.0</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Pr>
                      <w:rFonts w:ascii="Arial" w:hAnsi="Arial" w:cs="Arial"/>
                      <w:color w:val="000000"/>
                      <w:sz w:val="18"/>
                      <w:szCs w:val="18"/>
                    </w:rPr>
                    <w:t>Rural Industries R&amp;D Corporation</w:t>
                  </w:r>
                </w:p>
              </w:tc>
              <w:tc>
                <w:tcPr>
                  <w:tcW w:w="468" w:type="pct"/>
                  <w:vAlign w:val="bottom"/>
                </w:tcPr>
                <w:p w:rsidR="00AC2131" w:rsidRDefault="00AC2131" w:rsidP="00AC2131">
                  <w:pPr>
                    <w:pStyle w:val="TableBodyText"/>
                    <w:spacing w:after="0"/>
                    <w:ind w:left="0" w:right="57"/>
                  </w:pPr>
                  <w:r>
                    <w:t>5.8</w:t>
                  </w:r>
                </w:p>
              </w:tc>
              <w:tc>
                <w:tcPr>
                  <w:tcW w:w="467" w:type="pct"/>
                  <w:vAlign w:val="bottom"/>
                </w:tcPr>
                <w:p w:rsidR="00AC2131" w:rsidRDefault="00AC2131" w:rsidP="00AC2131">
                  <w:pPr>
                    <w:pStyle w:val="TableBodyText"/>
                    <w:spacing w:after="0"/>
                    <w:ind w:left="0" w:right="57"/>
                  </w:pPr>
                  <w:r>
                    <w:t>5.0</w:t>
                  </w:r>
                </w:p>
              </w:tc>
              <w:tc>
                <w:tcPr>
                  <w:tcW w:w="467" w:type="pct"/>
                  <w:vAlign w:val="bottom"/>
                </w:tcPr>
                <w:p w:rsidR="00AC2131" w:rsidRDefault="00AC2131" w:rsidP="00AC2131">
                  <w:pPr>
                    <w:pStyle w:val="TableBodyText"/>
                    <w:spacing w:after="0"/>
                    <w:ind w:left="0" w:right="57"/>
                  </w:pPr>
                  <w:r>
                    <w:t>5.2</w:t>
                  </w:r>
                </w:p>
              </w:tc>
              <w:tc>
                <w:tcPr>
                  <w:tcW w:w="467" w:type="pct"/>
                  <w:vAlign w:val="bottom"/>
                </w:tcPr>
                <w:p w:rsidR="00AC2131" w:rsidRDefault="00AC2131" w:rsidP="00AC2131">
                  <w:pPr>
                    <w:pStyle w:val="TableBodyText"/>
                    <w:spacing w:after="0"/>
                    <w:ind w:left="0" w:right="57"/>
                  </w:pPr>
                  <w:r>
                    <w:t>5.4</w:t>
                  </w:r>
                </w:p>
              </w:tc>
              <w:tc>
                <w:tcPr>
                  <w:tcW w:w="467" w:type="pct"/>
                  <w:shd w:val="clear" w:color="auto" w:fill="auto"/>
                  <w:vAlign w:val="bottom"/>
                </w:tcPr>
                <w:p w:rsidR="00AC2131" w:rsidRDefault="00AC2131" w:rsidP="00AC2131">
                  <w:pPr>
                    <w:pStyle w:val="TableBodyText"/>
                    <w:spacing w:after="0"/>
                    <w:ind w:left="0" w:right="57"/>
                  </w:pPr>
                  <w:r>
                    <w:t>4.3</w:t>
                  </w:r>
                </w:p>
              </w:tc>
              <w:tc>
                <w:tcPr>
                  <w:tcW w:w="465" w:type="pct"/>
                  <w:shd w:val="clear" w:color="auto" w:fill="auto"/>
                  <w:vAlign w:val="bottom"/>
                </w:tcPr>
                <w:p w:rsidR="00AC2131" w:rsidRDefault="00AC2131" w:rsidP="00AC2131">
                  <w:pPr>
                    <w:pStyle w:val="TableBodyText"/>
                    <w:spacing w:after="0"/>
                    <w:ind w:left="0" w:right="57"/>
                  </w:pPr>
                  <w:r>
                    <w:t>4.2</w:t>
                  </w:r>
                </w:p>
              </w:tc>
            </w:tr>
            <w:tr w:rsidR="00AC2131" w:rsidTr="00AC2131">
              <w:tc>
                <w:tcPr>
                  <w:tcW w:w="2199" w:type="pct"/>
                  <w:shd w:val="clear" w:color="auto" w:fill="auto"/>
                </w:tcPr>
                <w:p w:rsidR="00AC2131" w:rsidRPr="004829A9" w:rsidRDefault="00AC2131" w:rsidP="00AC2131">
                  <w:pPr>
                    <w:pStyle w:val="TableBodyText"/>
                    <w:spacing w:before="40" w:after="0"/>
                    <w:ind w:left="113"/>
                    <w:jc w:val="left"/>
                    <w:rPr>
                      <w:i/>
                    </w:rPr>
                  </w:pPr>
                  <w:r w:rsidRPr="004829A9">
                    <w:rPr>
                      <w:i/>
                    </w:rPr>
                    <w:t>General R&amp;D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jc w:val="center"/>
                  </w:pP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Cooperative Research Centres</w:t>
                  </w:r>
                </w:p>
              </w:tc>
              <w:tc>
                <w:tcPr>
                  <w:tcW w:w="468" w:type="pct"/>
                  <w:vAlign w:val="bottom"/>
                </w:tcPr>
                <w:p w:rsidR="00AC2131" w:rsidRDefault="00AC2131" w:rsidP="00AC2131">
                  <w:pPr>
                    <w:pStyle w:val="TableBodyText"/>
                    <w:spacing w:after="0"/>
                    <w:ind w:left="0" w:right="57"/>
                  </w:pPr>
                  <w:r>
                    <w:t>22.4</w:t>
                  </w:r>
                </w:p>
              </w:tc>
              <w:tc>
                <w:tcPr>
                  <w:tcW w:w="467" w:type="pct"/>
                  <w:vAlign w:val="bottom"/>
                </w:tcPr>
                <w:p w:rsidR="00AC2131" w:rsidRDefault="00AC2131" w:rsidP="00AC2131">
                  <w:pPr>
                    <w:pStyle w:val="TableBodyText"/>
                    <w:spacing w:after="0"/>
                    <w:ind w:left="0" w:right="57"/>
                  </w:pPr>
                  <w:r>
                    <w:t>19.1</w:t>
                  </w:r>
                </w:p>
              </w:tc>
              <w:tc>
                <w:tcPr>
                  <w:tcW w:w="467" w:type="pct"/>
                  <w:vAlign w:val="bottom"/>
                </w:tcPr>
                <w:p w:rsidR="00AC2131" w:rsidRDefault="00AC2131" w:rsidP="00AC2131">
                  <w:pPr>
                    <w:pStyle w:val="TableBodyText"/>
                    <w:spacing w:after="0"/>
                    <w:ind w:left="0" w:right="57"/>
                  </w:pPr>
                  <w:r>
                    <w:t>10.8</w:t>
                  </w:r>
                </w:p>
              </w:tc>
              <w:tc>
                <w:tcPr>
                  <w:tcW w:w="467" w:type="pct"/>
                  <w:vAlign w:val="bottom"/>
                </w:tcPr>
                <w:p w:rsidR="00AC2131" w:rsidRDefault="00AC2131" w:rsidP="00AC2131">
                  <w:pPr>
                    <w:pStyle w:val="TableBodyText"/>
                    <w:spacing w:after="0"/>
                    <w:ind w:left="0" w:right="57"/>
                  </w:pPr>
                  <w:r>
                    <w:t>9.5</w:t>
                  </w:r>
                </w:p>
              </w:tc>
              <w:tc>
                <w:tcPr>
                  <w:tcW w:w="467" w:type="pct"/>
                  <w:shd w:val="clear" w:color="auto" w:fill="auto"/>
                  <w:vAlign w:val="bottom"/>
                </w:tcPr>
                <w:p w:rsidR="00AC2131" w:rsidRDefault="00AC2131" w:rsidP="00AC2131">
                  <w:pPr>
                    <w:pStyle w:val="TableBodyText"/>
                    <w:spacing w:after="0"/>
                    <w:ind w:left="0" w:right="57"/>
                  </w:pPr>
                  <w:r>
                    <w:t>9.3</w:t>
                  </w:r>
                </w:p>
              </w:tc>
              <w:tc>
                <w:tcPr>
                  <w:tcW w:w="465" w:type="pct"/>
                  <w:shd w:val="clear" w:color="auto" w:fill="auto"/>
                  <w:vAlign w:val="bottom"/>
                </w:tcPr>
                <w:p w:rsidR="00AC2131" w:rsidRDefault="00AC2131" w:rsidP="00AC2131">
                  <w:pPr>
                    <w:pStyle w:val="TableBodyText"/>
                    <w:spacing w:after="0"/>
                    <w:ind w:left="0" w:right="57"/>
                  </w:pPr>
                  <w:r>
                    <w:t>6.9</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CSIRO</w:t>
                  </w:r>
                </w:p>
              </w:tc>
              <w:tc>
                <w:tcPr>
                  <w:tcW w:w="468" w:type="pct"/>
                  <w:vAlign w:val="bottom"/>
                </w:tcPr>
                <w:p w:rsidR="00AC2131" w:rsidRDefault="00AC2131" w:rsidP="00AC2131">
                  <w:pPr>
                    <w:pStyle w:val="TableBodyText"/>
                    <w:spacing w:after="0"/>
                    <w:ind w:left="0" w:right="57"/>
                  </w:pPr>
                  <w:r>
                    <w:t>24.4</w:t>
                  </w:r>
                </w:p>
              </w:tc>
              <w:tc>
                <w:tcPr>
                  <w:tcW w:w="467" w:type="pct"/>
                  <w:vAlign w:val="bottom"/>
                </w:tcPr>
                <w:p w:rsidR="00AC2131" w:rsidRDefault="00AC2131" w:rsidP="00AC2131">
                  <w:pPr>
                    <w:pStyle w:val="TableBodyText"/>
                    <w:spacing w:after="0"/>
                    <w:ind w:left="0" w:right="57"/>
                  </w:pPr>
                  <w:r>
                    <w:t>26.3</w:t>
                  </w:r>
                </w:p>
              </w:tc>
              <w:tc>
                <w:tcPr>
                  <w:tcW w:w="467" w:type="pct"/>
                  <w:vAlign w:val="bottom"/>
                </w:tcPr>
                <w:p w:rsidR="00AC2131" w:rsidRDefault="00AC2131" w:rsidP="00AC2131">
                  <w:pPr>
                    <w:pStyle w:val="TableBodyText"/>
                    <w:spacing w:after="0"/>
                    <w:ind w:left="0" w:right="57"/>
                  </w:pPr>
                  <w:r>
                    <w:t>26.9</w:t>
                  </w:r>
                </w:p>
              </w:tc>
              <w:tc>
                <w:tcPr>
                  <w:tcW w:w="467" w:type="pct"/>
                  <w:vAlign w:val="bottom"/>
                </w:tcPr>
                <w:p w:rsidR="00AC2131" w:rsidRDefault="00AC2131" w:rsidP="00AC2131">
                  <w:pPr>
                    <w:pStyle w:val="TableBodyText"/>
                    <w:spacing w:after="0"/>
                    <w:ind w:left="0" w:right="57"/>
                  </w:pPr>
                  <w:r>
                    <w:t>17.1</w:t>
                  </w:r>
                </w:p>
              </w:tc>
              <w:tc>
                <w:tcPr>
                  <w:tcW w:w="467" w:type="pct"/>
                  <w:shd w:val="clear" w:color="auto" w:fill="auto"/>
                  <w:vAlign w:val="bottom"/>
                </w:tcPr>
                <w:p w:rsidR="00AC2131" w:rsidRDefault="00AC2131" w:rsidP="00AC2131">
                  <w:pPr>
                    <w:pStyle w:val="TableBodyText"/>
                    <w:spacing w:after="0"/>
                    <w:ind w:left="0" w:right="57"/>
                  </w:pPr>
                  <w:r>
                    <w:t>15.5</w:t>
                  </w:r>
                </w:p>
              </w:tc>
              <w:tc>
                <w:tcPr>
                  <w:tcW w:w="465" w:type="pct"/>
                  <w:shd w:val="clear" w:color="auto" w:fill="auto"/>
                  <w:vAlign w:val="bottom"/>
                </w:tcPr>
                <w:p w:rsidR="00AC2131" w:rsidRDefault="00AC2131" w:rsidP="00AC2131">
                  <w:pPr>
                    <w:pStyle w:val="TableBodyText"/>
                    <w:spacing w:after="0"/>
                    <w:ind w:left="0" w:right="57"/>
                  </w:pPr>
                  <w:r>
                    <w:t>15.2</w:t>
                  </w:r>
                </w:p>
              </w:tc>
            </w:tr>
            <w:tr w:rsidR="00AC2131" w:rsidTr="00AC2131">
              <w:tc>
                <w:tcPr>
                  <w:tcW w:w="2199" w:type="pct"/>
                  <w:shd w:val="clear" w:color="auto" w:fill="auto"/>
                </w:tcPr>
                <w:p w:rsidR="00AC2131" w:rsidRPr="004829A9" w:rsidRDefault="00AC2131" w:rsidP="00AC2131">
                  <w:pPr>
                    <w:pStyle w:val="TableBodyText"/>
                    <w:spacing w:before="40" w:after="0"/>
                    <w:ind w:left="113"/>
                    <w:jc w:val="left"/>
                    <w:rPr>
                      <w:i/>
                    </w:rPr>
                  </w:pPr>
                  <w:r w:rsidRPr="004829A9">
                    <w:rPr>
                      <w:i/>
                    </w:rPr>
                    <w:t>Other measures</w:t>
                  </w: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jc w:val="center"/>
                  </w:pP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Indigenous Carbon Farming Fund</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0.9</w:t>
                  </w:r>
                </w:p>
              </w:tc>
              <w:tc>
                <w:tcPr>
                  <w:tcW w:w="465" w:type="pct"/>
                  <w:shd w:val="clear" w:color="auto" w:fill="auto"/>
                  <w:vAlign w:val="bottom"/>
                </w:tcPr>
                <w:p w:rsidR="00AC2131" w:rsidRDefault="00AC2131" w:rsidP="00AC2131">
                  <w:pPr>
                    <w:pStyle w:val="TableBodyText"/>
                    <w:spacing w:after="0"/>
                    <w:ind w:left="0" w:right="57"/>
                  </w:pPr>
                  <w:r>
                    <w:t>1.5</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Tasmanian Freight Equalisation Scheme</w:t>
                  </w:r>
                </w:p>
              </w:tc>
              <w:tc>
                <w:tcPr>
                  <w:tcW w:w="468" w:type="pct"/>
                  <w:vAlign w:val="bottom"/>
                </w:tcPr>
                <w:p w:rsidR="00AC2131" w:rsidRDefault="00AC2131" w:rsidP="00AC2131">
                  <w:pPr>
                    <w:pStyle w:val="TableBodyText"/>
                    <w:spacing w:after="0"/>
                    <w:ind w:left="0" w:right="57"/>
                  </w:pPr>
                  <w:r>
                    <w:t>12.6</w:t>
                  </w:r>
                </w:p>
              </w:tc>
              <w:tc>
                <w:tcPr>
                  <w:tcW w:w="467" w:type="pct"/>
                  <w:vAlign w:val="bottom"/>
                </w:tcPr>
                <w:p w:rsidR="00AC2131" w:rsidRDefault="00AC2131" w:rsidP="00AC2131">
                  <w:pPr>
                    <w:pStyle w:val="TableBodyText"/>
                    <w:spacing w:after="0"/>
                    <w:ind w:left="0" w:right="57"/>
                  </w:pPr>
                  <w:r>
                    <w:t>14.1</w:t>
                  </w:r>
                </w:p>
              </w:tc>
              <w:tc>
                <w:tcPr>
                  <w:tcW w:w="467" w:type="pct"/>
                  <w:vAlign w:val="bottom"/>
                </w:tcPr>
                <w:p w:rsidR="00AC2131" w:rsidRDefault="00AC2131" w:rsidP="00AC2131">
                  <w:pPr>
                    <w:pStyle w:val="TableBodyText"/>
                    <w:spacing w:after="0"/>
                    <w:ind w:left="0" w:right="57"/>
                  </w:pPr>
                  <w:r>
                    <w:t>14.1</w:t>
                  </w:r>
                </w:p>
              </w:tc>
              <w:tc>
                <w:tcPr>
                  <w:tcW w:w="467" w:type="pct"/>
                  <w:vAlign w:val="bottom"/>
                </w:tcPr>
                <w:p w:rsidR="00AC2131" w:rsidRDefault="00AC2131" w:rsidP="00AC2131">
                  <w:pPr>
                    <w:pStyle w:val="TableBodyText"/>
                    <w:spacing w:after="0"/>
                    <w:ind w:left="0" w:right="57"/>
                  </w:pPr>
                  <w:r>
                    <w:t>13.3</w:t>
                  </w:r>
                </w:p>
              </w:tc>
              <w:tc>
                <w:tcPr>
                  <w:tcW w:w="467" w:type="pct"/>
                  <w:shd w:val="clear" w:color="auto" w:fill="auto"/>
                  <w:vAlign w:val="bottom"/>
                </w:tcPr>
                <w:p w:rsidR="00AC2131" w:rsidRDefault="00AC2131" w:rsidP="00AC2131">
                  <w:pPr>
                    <w:pStyle w:val="TableBodyText"/>
                    <w:spacing w:after="0"/>
                    <w:ind w:left="0" w:right="57"/>
                  </w:pPr>
                  <w:r>
                    <w:t>15.9</w:t>
                  </w:r>
                </w:p>
              </w:tc>
              <w:tc>
                <w:tcPr>
                  <w:tcW w:w="465" w:type="pct"/>
                  <w:shd w:val="clear" w:color="auto" w:fill="auto"/>
                  <w:vAlign w:val="bottom"/>
                </w:tcPr>
                <w:p w:rsidR="00AC2131" w:rsidRDefault="00AC2131" w:rsidP="00AC2131">
                  <w:pPr>
                    <w:pStyle w:val="TableBodyText"/>
                    <w:spacing w:after="0"/>
                    <w:ind w:left="0" w:right="57"/>
                  </w:pPr>
                  <w:r>
                    <w:t>14.6</w:t>
                  </w:r>
                </w:p>
              </w:tc>
            </w:tr>
            <w:tr w:rsidR="00AC2131" w:rsidTr="00AC2131">
              <w:tc>
                <w:tcPr>
                  <w:tcW w:w="2199" w:type="pct"/>
                  <w:shd w:val="clear" w:color="auto" w:fill="auto"/>
                  <w:vAlign w:val="bottom"/>
                </w:tcPr>
                <w:p w:rsidR="00AC2131" w:rsidRPr="004829A9" w:rsidRDefault="00AC2131" w:rsidP="00AC2131">
                  <w:pPr>
                    <w:ind w:left="227"/>
                    <w:rPr>
                      <w:rFonts w:ascii="Arial" w:hAnsi="Arial" w:cs="Arial"/>
                      <w:color w:val="000000"/>
                      <w:sz w:val="18"/>
                      <w:szCs w:val="18"/>
                    </w:rPr>
                  </w:pPr>
                  <w:r w:rsidRPr="004829A9">
                    <w:rPr>
                      <w:rFonts w:ascii="Arial" w:hAnsi="Arial" w:cs="Arial"/>
                      <w:color w:val="000000"/>
                      <w:sz w:val="18"/>
                      <w:szCs w:val="18"/>
                    </w:rPr>
                    <w:t>Temporary Assistance for Tasmanian Exporters</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2.0</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RPr="00974E57" w:rsidTr="00AC2131">
              <w:tc>
                <w:tcPr>
                  <w:tcW w:w="2199" w:type="pct"/>
                  <w:shd w:val="clear" w:color="auto" w:fill="auto"/>
                  <w:vAlign w:val="bottom"/>
                </w:tcPr>
                <w:p w:rsidR="00AC2131" w:rsidRPr="00974E57" w:rsidRDefault="00AC2131" w:rsidP="00AC2131">
                  <w:pPr>
                    <w:spacing w:before="20" w:after="20"/>
                    <w:rPr>
                      <w:rFonts w:ascii="Arial" w:hAnsi="Arial" w:cs="Arial"/>
                      <w:i/>
                      <w:color w:val="000000"/>
                      <w:sz w:val="18"/>
                      <w:szCs w:val="18"/>
                    </w:rPr>
                  </w:pPr>
                  <w:r w:rsidRPr="00974E57">
                    <w:rPr>
                      <w:rFonts w:ascii="Arial" w:hAnsi="Arial" w:cs="Arial"/>
                      <w:i/>
                      <w:color w:val="000000"/>
                      <w:sz w:val="18"/>
                      <w:szCs w:val="18"/>
                    </w:rPr>
                    <w:t>Total</w:t>
                  </w:r>
                </w:p>
              </w:tc>
              <w:tc>
                <w:tcPr>
                  <w:tcW w:w="468" w:type="pct"/>
                  <w:vAlign w:val="bottom"/>
                </w:tcPr>
                <w:p w:rsidR="00AC2131" w:rsidRPr="00392784" w:rsidRDefault="00AC2131" w:rsidP="00AC2131">
                  <w:pPr>
                    <w:pStyle w:val="TableBodyText"/>
                    <w:spacing w:after="0"/>
                    <w:ind w:left="0" w:right="57"/>
                    <w:rPr>
                      <w:i/>
                    </w:rPr>
                  </w:pPr>
                  <w:r w:rsidRPr="00392784">
                    <w:rPr>
                      <w:i/>
                    </w:rPr>
                    <w:t>297.5</w:t>
                  </w:r>
                </w:p>
              </w:tc>
              <w:tc>
                <w:tcPr>
                  <w:tcW w:w="467" w:type="pct"/>
                  <w:vAlign w:val="bottom"/>
                </w:tcPr>
                <w:p w:rsidR="00AC2131" w:rsidRPr="00392784" w:rsidRDefault="00AC2131" w:rsidP="00AC2131">
                  <w:pPr>
                    <w:pStyle w:val="TableBodyText"/>
                    <w:spacing w:after="0"/>
                    <w:ind w:left="0" w:right="57"/>
                    <w:rPr>
                      <w:i/>
                    </w:rPr>
                  </w:pPr>
                  <w:r w:rsidRPr="00392784">
                    <w:rPr>
                      <w:i/>
                    </w:rPr>
                    <w:t>281.1</w:t>
                  </w:r>
                </w:p>
              </w:tc>
              <w:tc>
                <w:tcPr>
                  <w:tcW w:w="467" w:type="pct"/>
                  <w:vAlign w:val="bottom"/>
                </w:tcPr>
                <w:p w:rsidR="00AC2131" w:rsidRPr="00392784" w:rsidRDefault="00AC2131" w:rsidP="00AC2131">
                  <w:pPr>
                    <w:pStyle w:val="TableBodyText"/>
                    <w:spacing w:after="0"/>
                    <w:ind w:left="0" w:right="57"/>
                    <w:rPr>
                      <w:i/>
                    </w:rPr>
                  </w:pPr>
                  <w:r w:rsidRPr="00392784">
                    <w:rPr>
                      <w:i/>
                    </w:rPr>
                    <w:t>262.2</w:t>
                  </w:r>
                </w:p>
              </w:tc>
              <w:tc>
                <w:tcPr>
                  <w:tcW w:w="467" w:type="pct"/>
                  <w:vAlign w:val="bottom"/>
                </w:tcPr>
                <w:p w:rsidR="00AC2131" w:rsidRPr="00392784" w:rsidRDefault="00AC2131" w:rsidP="00AC2131">
                  <w:pPr>
                    <w:pStyle w:val="TableBodyText"/>
                    <w:spacing w:after="0"/>
                    <w:ind w:left="0" w:right="57"/>
                    <w:rPr>
                      <w:i/>
                    </w:rPr>
                  </w:pPr>
                  <w:r w:rsidRPr="00392784">
                    <w:rPr>
                      <w:i/>
                    </w:rPr>
                    <w:t>354.3</w:t>
                  </w:r>
                </w:p>
              </w:tc>
              <w:tc>
                <w:tcPr>
                  <w:tcW w:w="467" w:type="pct"/>
                  <w:shd w:val="clear" w:color="auto" w:fill="auto"/>
                  <w:vAlign w:val="bottom"/>
                </w:tcPr>
                <w:p w:rsidR="00AC2131" w:rsidRPr="00392784" w:rsidRDefault="00AC2131" w:rsidP="00AC2131">
                  <w:pPr>
                    <w:pStyle w:val="TableBodyText"/>
                    <w:spacing w:after="0"/>
                    <w:ind w:left="0" w:right="57"/>
                    <w:rPr>
                      <w:i/>
                    </w:rPr>
                  </w:pPr>
                  <w:r w:rsidRPr="00392784">
                    <w:rPr>
                      <w:i/>
                    </w:rPr>
                    <w:t>250.5</w:t>
                  </w:r>
                </w:p>
              </w:tc>
              <w:tc>
                <w:tcPr>
                  <w:tcW w:w="465" w:type="pct"/>
                  <w:shd w:val="clear" w:color="auto" w:fill="auto"/>
                  <w:vAlign w:val="bottom"/>
                </w:tcPr>
                <w:p w:rsidR="00AC2131" w:rsidRPr="00392784" w:rsidRDefault="00AC2131" w:rsidP="00AC2131">
                  <w:pPr>
                    <w:pStyle w:val="TableBodyText"/>
                    <w:spacing w:after="0"/>
                    <w:ind w:left="0" w:right="57"/>
                    <w:rPr>
                      <w:i/>
                    </w:rPr>
                  </w:pPr>
                  <w:r w:rsidRPr="00392784">
                    <w:rPr>
                      <w:i/>
                    </w:rPr>
                    <w:t>240.0</w:t>
                  </w:r>
                </w:p>
              </w:tc>
            </w:tr>
            <w:tr w:rsidR="00AC2131" w:rsidRPr="00527B68" w:rsidTr="00AC2131">
              <w:tc>
                <w:tcPr>
                  <w:tcW w:w="2199" w:type="pct"/>
                  <w:shd w:val="clear" w:color="auto" w:fill="auto"/>
                  <w:vAlign w:val="bottom"/>
                </w:tcPr>
                <w:p w:rsidR="00AC2131" w:rsidRPr="00527B68" w:rsidRDefault="00AC2131" w:rsidP="00AC2131">
                  <w:pPr>
                    <w:spacing w:before="80" w:after="40"/>
                    <w:rPr>
                      <w:rFonts w:asciiTheme="minorHAnsi" w:hAnsiTheme="minorHAnsi" w:cstheme="minorHAnsi"/>
                      <w:b/>
                      <w:bCs/>
                      <w:color w:val="000000"/>
                      <w:sz w:val="18"/>
                      <w:szCs w:val="18"/>
                    </w:rPr>
                  </w:pPr>
                  <w:r w:rsidRPr="00527B68">
                    <w:rPr>
                      <w:rFonts w:asciiTheme="minorHAnsi" w:hAnsiTheme="minorHAnsi" w:cstheme="minorHAnsi"/>
                      <w:b/>
                      <w:bCs/>
                      <w:color w:val="000000"/>
                      <w:sz w:val="18"/>
                      <w:szCs w:val="18"/>
                    </w:rPr>
                    <w:t>Total outlays</w:t>
                  </w:r>
                </w:p>
              </w:tc>
              <w:tc>
                <w:tcPr>
                  <w:tcW w:w="468" w:type="pct"/>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1424.6</w:t>
                  </w:r>
                </w:p>
              </w:tc>
              <w:tc>
                <w:tcPr>
                  <w:tcW w:w="467" w:type="pct"/>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1274.9</w:t>
                  </w:r>
                </w:p>
              </w:tc>
              <w:tc>
                <w:tcPr>
                  <w:tcW w:w="467" w:type="pct"/>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1044.4</w:t>
                  </w:r>
                </w:p>
              </w:tc>
              <w:tc>
                <w:tcPr>
                  <w:tcW w:w="467" w:type="pct"/>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947.1</w:t>
                  </w:r>
                </w:p>
              </w:tc>
              <w:tc>
                <w:tcPr>
                  <w:tcW w:w="467" w:type="pct"/>
                  <w:shd w:val="clear" w:color="auto" w:fill="auto"/>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717.7</w:t>
                  </w:r>
                </w:p>
              </w:tc>
              <w:tc>
                <w:tcPr>
                  <w:tcW w:w="465" w:type="pct"/>
                  <w:shd w:val="clear" w:color="auto" w:fill="auto"/>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765.9</w:t>
                  </w:r>
                </w:p>
              </w:tc>
            </w:tr>
            <w:tr w:rsidR="00AC2131" w:rsidRPr="00527B68" w:rsidTr="00AC2131">
              <w:tc>
                <w:tcPr>
                  <w:tcW w:w="2199" w:type="pct"/>
                  <w:shd w:val="clear" w:color="auto" w:fill="auto"/>
                  <w:vAlign w:val="bottom"/>
                </w:tcPr>
                <w:p w:rsidR="00AC2131" w:rsidRPr="00527B68" w:rsidRDefault="00AC2131" w:rsidP="00AC2131">
                  <w:pPr>
                    <w:spacing w:before="80" w:after="40"/>
                    <w:rPr>
                      <w:rFonts w:asciiTheme="minorHAnsi" w:hAnsiTheme="minorHAnsi" w:cstheme="minorHAnsi"/>
                      <w:b/>
                      <w:bCs/>
                      <w:color w:val="000000"/>
                      <w:sz w:val="18"/>
                      <w:szCs w:val="18"/>
                    </w:rPr>
                  </w:pPr>
                  <w:r w:rsidRPr="00527B68">
                    <w:rPr>
                      <w:rFonts w:asciiTheme="minorHAnsi" w:hAnsiTheme="minorHAnsi" w:cstheme="minorHAnsi"/>
                      <w:b/>
                      <w:bCs/>
                      <w:color w:val="000000"/>
                      <w:sz w:val="18"/>
                      <w:szCs w:val="18"/>
                    </w:rPr>
                    <w:t>Total tax concessions</w:t>
                  </w:r>
                </w:p>
              </w:tc>
              <w:tc>
                <w:tcPr>
                  <w:tcW w:w="468" w:type="pct"/>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410.6</w:t>
                  </w:r>
                </w:p>
              </w:tc>
              <w:tc>
                <w:tcPr>
                  <w:tcW w:w="467" w:type="pct"/>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562.7</w:t>
                  </w:r>
                </w:p>
              </w:tc>
              <w:tc>
                <w:tcPr>
                  <w:tcW w:w="467" w:type="pct"/>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483.5</w:t>
                  </w:r>
                </w:p>
              </w:tc>
              <w:tc>
                <w:tcPr>
                  <w:tcW w:w="467" w:type="pct"/>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600.9</w:t>
                  </w:r>
                </w:p>
              </w:tc>
              <w:tc>
                <w:tcPr>
                  <w:tcW w:w="467" w:type="pct"/>
                  <w:shd w:val="clear" w:color="auto" w:fill="auto"/>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488.0</w:t>
                  </w:r>
                </w:p>
              </w:tc>
              <w:tc>
                <w:tcPr>
                  <w:tcW w:w="465" w:type="pct"/>
                  <w:shd w:val="clear" w:color="auto" w:fill="auto"/>
                  <w:vAlign w:val="bottom"/>
                </w:tcPr>
                <w:p w:rsidR="00AC2131" w:rsidRDefault="00AC2131" w:rsidP="00AC2131">
                  <w:pPr>
                    <w:spacing w:before="80" w:after="40"/>
                    <w:ind w:right="57"/>
                    <w:jc w:val="right"/>
                    <w:rPr>
                      <w:rFonts w:ascii="Arial" w:hAnsi="Arial" w:cs="Arial"/>
                      <w:b/>
                      <w:bCs/>
                      <w:sz w:val="18"/>
                      <w:szCs w:val="18"/>
                    </w:rPr>
                  </w:pPr>
                  <w:r>
                    <w:rPr>
                      <w:rFonts w:ascii="Arial" w:hAnsi="Arial" w:cs="Arial"/>
                      <w:b/>
                      <w:bCs/>
                      <w:sz w:val="18"/>
                      <w:szCs w:val="18"/>
                    </w:rPr>
                    <w:t>530.1</w:t>
                  </w:r>
                </w:p>
              </w:tc>
            </w:tr>
            <w:tr w:rsidR="00AC2131" w:rsidRPr="00527B68" w:rsidTr="00AC2131">
              <w:tc>
                <w:tcPr>
                  <w:tcW w:w="2199" w:type="pct"/>
                  <w:tcBorders>
                    <w:bottom w:val="single" w:sz="6" w:space="0" w:color="BFBFBF"/>
                  </w:tcBorders>
                  <w:shd w:val="clear" w:color="auto" w:fill="auto"/>
                  <w:vAlign w:val="bottom"/>
                </w:tcPr>
                <w:p w:rsidR="00AC2131" w:rsidRPr="00392784" w:rsidRDefault="00AC2131" w:rsidP="00AC2131">
                  <w:pPr>
                    <w:spacing w:before="80" w:after="40"/>
                    <w:rPr>
                      <w:rFonts w:asciiTheme="minorHAnsi" w:hAnsiTheme="minorHAnsi" w:cstheme="minorHAnsi"/>
                      <w:b/>
                      <w:bCs/>
                      <w:color w:val="000000"/>
                      <w:sz w:val="18"/>
                      <w:szCs w:val="18"/>
                    </w:rPr>
                  </w:pPr>
                  <w:r w:rsidRPr="00392784">
                    <w:rPr>
                      <w:rFonts w:asciiTheme="minorHAnsi" w:hAnsiTheme="minorHAnsi" w:cstheme="minorHAnsi"/>
                      <w:b/>
                      <w:bCs/>
                      <w:color w:val="000000"/>
                      <w:sz w:val="18"/>
                      <w:szCs w:val="18"/>
                    </w:rPr>
                    <w:t>Total budgetary assistance</w:t>
                  </w:r>
                </w:p>
              </w:tc>
              <w:tc>
                <w:tcPr>
                  <w:tcW w:w="468" w:type="pct"/>
                  <w:tcBorders>
                    <w:bottom w:val="single" w:sz="6" w:space="0" w:color="BFBFBF"/>
                  </w:tcBorders>
                  <w:vAlign w:val="bottom"/>
                </w:tcPr>
                <w:p w:rsidR="00AC2131" w:rsidRPr="00392784" w:rsidRDefault="00AC2131" w:rsidP="00AC2131">
                  <w:pPr>
                    <w:pStyle w:val="TableBodyText"/>
                    <w:spacing w:before="80"/>
                    <w:ind w:left="0" w:right="57"/>
                    <w:rPr>
                      <w:b/>
                    </w:rPr>
                  </w:pPr>
                  <w:r w:rsidRPr="00392784">
                    <w:rPr>
                      <w:b/>
                    </w:rPr>
                    <w:t>1835.2</w:t>
                  </w:r>
                </w:p>
              </w:tc>
              <w:tc>
                <w:tcPr>
                  <w:tcW w:w="467" w:type="pct"/>
                  <w:tcBorders>
                    <w:bottom w:val="single" w:sz="6" w:space="0" w:color="BFBFBF"/>
                  </w:tcBorders>
                  <w:vAlign w:val="bottom"/>
                </w:tcPr>
                <w:p w:rsidR="00AC2131" w:rsidRPr="00392784" w:rsidRDefault="00AC2131" w:rsidP="00AC2131">
                  <w:pPr>
                    <w:pStyle w:val="TableBodyText"/>
                    <w:spacing w:before="80"/>
                    <w:ind w:left="0" w:right="57"/>
                    <w:rPr>
                      <w:b/>
                    </w:rPr>
                  </w:pPr>
                  <w:r w:rsidRPr="00392784">
                    <w:rPr>
                      <w:b/>
                    </w:rPr>
                    <w:t>1837.6</w:t>
                  </w:r>
                </w:p>
              </w:tc>
              <w:tc>
                <w:tcPr>
                  <w:tcW w:w="467" w:type="pct"/>
                  <w:tcBorders>
                    <w:bottom w:val="single" w:sz="6" w:space="0" w:color="BFBFBF"/>
                  </w:tcBorders>
                  <w:vAlign w:val="bottom"/>
                </w:tcPr>
                <w:p w:rsidR="00AC2131" w:rsidRPr="00392784" w:rsidRDefault="00AC2131" w:rsidP="00AC2131">
                  <w:pPr>
                    <w:pStyle w:val="TableBodyText"/>
                    <w:spacing w:before="80"/>
                    <w:ind w:left="0" w:right="57"/>
                    <w:rPr>
                      <w:b/>
                    </w:rPr>
                  </w:pPr>
                  <w:r w:rsidRPr="00392784">
                    <w:rPr>
                      <w:b/>
                    </w:rPr>
                    <w:t>1527.9</w:t>
                  </w:r>
                </w:p>
              </w:tc>
              <w:tc>
                <w:tcPr>
                  <w:tcW w:w="467" w:type="pct"/>
                  <w:tcBorders>
                    <w:bottom w:val="single" w:sz="6" w:space="0" w:color="BFBFBF"/>
                  </w:tcBorders>
                  <w:vAlign w:val="bottom"/>
                </w:tcPr>
                <w:p w:rsidR="00AC2131" w:rsidRPr="00392784" w:rsidRDefault="00AC2131" w:rsidP="00AC2131">
                  <w:pPr>
                    <w:pStyle w:val="TableBodyText"/>
                    <w:spacing w:before="80"/>
                    <w:ind w:left="0" w:right="57"/>
                    <w:rPr>
                      <w:b/>
                    </w:rPr>
                  </w:pPr>
                  <w:r w:rsidRPr="00392784">
                    <w:rPr>
                      <w:b/>
                    </w:rPr>
                    <w:t>1547.9</w:t>
                  </w:r>
                </w:p>
              </w:tc>
              <w:tc>
                <w:tcPr>
                  <w:tcW w:w="467" w:type="pct"/>
                  <w:tcBorders>
                    <w:bottom w:val="single" w:sz="6" w:space="0" w:color="BFBFBF"/>
                  </w:tcBorders>
                  <w:shd w:val="clear" w:color="auto" w:fill="auto"/>
                  <w:vAlign w:val="bottom"/>
                </w:tcPr>
                <w:p w:rsidR="00AC2131" w:rsidRPr="00392784" w:rsidRDefault="00AC2131" w:rsidP="00AC2131">
                  <w:pPr>
                    <w:pStyle w:val="TableBodyText"/>
                    <w:spacing w:before="80"/>
                    <w:ind w:left="0" w:right="57"/>
                    <w:rPr>
                      <w:b/>
                    </w:rPr>
                  </w:pPr>
                  <w:r w:rsidRPr="00392784">
                    <w:rPr>
                      <w:b/>
                    </w:rPr>
                    <w:t>1205.7</w:t>
                  </w:r>
                </w:p>
              </w:tc>
              <w:tc>
                <w:tcPr>
                  <w:tcW w:w="465" w:type="pct"/>
                  <w:tcBorders>
                    <w:bottom w:val="single" w:sz="6" w:space="0" w:color="BFBFBF"/>
                  </w:tcBorders>
                  <w:shd w:val="clear" w:color="auto" w:fill="auto"/>
                  <w:vAlign w:val="bottom"/>
                </w:tcPr>
                <w:p w:rsidR="00AC2131" w:rsidRPr="00392784" w:rsidRDefault="00AC2131" w:rsidP="00AC2131">
                  <w:pPr>
                    <w:pStyle w:val="TableBodyText"/>
                    <w:spacing w:before="80"/>
                    <w:ind w:left="0" w:right="57"/>
                    <w:rPr>
                      <w:b/>
                    </w:rPr>
                  </w:pPr>
                  <w:r w:rsidRPr="00392784">
                    <w:rPr>
                      <w:b/>
                    </w:rPr>
                    <w:t>1295.9</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Pr="00BB580D" w:rsidRDefault="00AC2131" w:rsidP="00AC2131">
            <w:pPr>
              <w:pStyle w:val="Note"/>
              <w:rPr>
                <w:i/>
              </w:rPr>
            </w:pPr>
            <w:r w:rsidRPr="00BB580D">
              <w:t xml:space="preserve">– Nil. Figures may not add to totals due to rounding. </w:t>
            </w:r>
            <w:r w:rsidRPr="00BB580D">
              <w:rPr>
                <w:rStyle w:val="NoteLabel"/>
              </w:rPr>
              <w:t>a</w:t>
            </w:r>
            <w:r w:rsidRPr="00BB580D">
              <w:t xml:space="preserve"> The estimates are derived primarily from Australian Government departmental annual reports and Treasury’s Tax Expenditure Statements and unpublished information provided by relevant agencies. </w:t>
            </w:r>
            <w:r w:rsidRPr="00BB580D">
              <w:rPr>
                <w:rStyle w:val="NoteLabel"/>
              </w:rPr>
              <w:t>b</w:t>
            </w:r>
            <w:r w:rsidRPr="00BB580D">
              <w:t xml:space="preserve"> Does not include funding provided under the Australian Government’s Dairy Industry Adjustment Package, which has been included in the estimates of ‘agricultural pricing and regulatory assistance’ reported in recent </w:t>
            </w:r>
            <w:r w:rsidRPr="00BB580D">
              <w:rPr>
                <w:i/>
              </w:rPr>
              <w:t>Reviews</w:t>
            </w:r>
            <w:r w:rsidRPr="00BB580D">
              <w:t xml:space="preserve">. </w:t>
            </w:r>
            <w:r>
              <w:t xml:space="preserve">It is </w:t>
            </w:r>
            <w:r w:rsidRPr="00BB580D">
              <w:t>estimate</w:t>
            </w:r>
            <w:r>
              <w:t>d</w:t>
            </w:r>
            <w:r w:rsidRPr="00BB580D">
              <w:t xml:space="preserve"> that the package provided dairy farmers remaining in the industry with assistance totalling $0.2 million in 200</w:t>
            </w:r>
            <w:r>
              <w:t>8</w:t>
            </w:r>
            <w:r w:rsidRPr="00BB580D">
              <w:noBreakHyphen/>
              <w:t>0</w:t>
            </w:r>
            <w:r>
              <w:t>9</w:t>
            </w:r>
            <w:r w:rsidRPr="00BB580D">
              <w:t>.</w:t>
            </w: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Pr="001B3DDD" w:rsidRDefault="00AC2131" w:rsidP="00AC2131">
      <w:pPr>
        <w:rPr>
          <w:szCs w:val="20"/>
        </w:rPr>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A.11</w:t>
            </w:r>
            <w:r>
              <w:tab/>
              <w:t>Australian Government budgetary assistance to mining, 2008</w:t>
            </w:r>
            <w:r>
              <w:noBreakHyphen/>
              <w:t>09 to 2013</w:t>
            </w:r>
            <w:r>
              <w:noBreakHyphen/>
              <w:t>14</w:t>
            </w:r>
            <w:r w:rsidRPr="006B64DF">
              <w:rPr>
                <w:rStyle w:val="NoteLabel"/>
                <w:b/>
              </w:rPr>
              <w:t>a</w:t>
            </w:r>
          </w:p>
          <w:p w:rsidR="00AC2131" w:rsidRPr="00784A05" w:rsidRDefault="00AC2131" w:rsidP="00AC2131">
            <w:pPr>
              <w:pStyle w:val="Subtitle"/>
            </w:pPr>
            <w:r>
              <w:t>$ million (nominal)</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795"/>
              <w:gridCol w:w="794"/>
              <w:gridCol w:w="794"/>
              <w:gridCol w:w="794"/>
              <w:gridCol w:w="794"/>
              <w:gridCol w:w="791"/>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952562" w:rsidRDefault="00AC2131" w:rsidP="00AC2131">
                  <w:pPr>
                    <w:pStyle w:val="TableUnitsRow"/>
                    <w:spacing w:after="0"/>
                    <w:ind w:left="113"/>
                    <w:jc w:val="left"/>
                    <w:rPr>
                      <w:i/>
                    </w:rPr>
                  </w:pPr>
                  <w:r w:rsidRPr="00952562">
                    <w:rPr>
                      <w:i/>
                    </w:rPr>
                    <w:t>Industry-specific measures</w:t>
                  </w: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5"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vAlign w:val="bottom"/>
                </w:tcPr>
                <w:p w:rsidR="00AC2131" w:rsidRPr="00952562" w:rsidRDefault="00AC2131" w:rsidP="00AC2131">
                  <w:pPr>
                    <w:ind w:left="227"/>
                    <w:rPr>
                      <w:rFonts w:ascii="Arial" w:hAnsi="Arial" w:cs="Arial"/>
                      <w:color w:val="000000"/>
                      <w:sz w:val="18"/>
                      <w:szCs w:val="18"/>
                    </w:rPr>
                  </w:pPr>
                  <w:r w:rsidRPr="00952562">
                    <w:rPr>
                      <w:rFonts w:ascii="Arial" w:hAnsi="Arial" w:cs="Arial"/>
                      <w:color w:val="000000"/>
                      <w:sz w:val="18"/>
                      <w:szCs w:val="18"/>
                    </w:rPr>
                    <w:t>Coal Mining Abatement Support Package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1.0</w:t>
                  </w:r>
                </w:p>
              </w:tc>
              <w:tc>
                <w:tcPr>
                  <w:tcW w:w="465" w:type="pct"/>
                  <w:vAlign w:val="bottom"/>
                </w:tcPr>
                <w:p w:rsidR="00AC2131" w:rsidRDefault="00AC2131" w:rsidP="00AC2131">
                  <w:pPr>
                    <w:pStyle w:val="TableBodyText"/>
                    <w:spacing w:after="0"/>
                    <w:ind w:left="0" w:right="57"/>
                  </w:pPr>
                  <w:r>
                    <w:t>24.0</w:t>
                  </w:r>
                </w:p>
              </w:tc>
            </w:tr>
            <w:tr w:rsidR="00AC2131" w:rsidTr="00AC2131">
              <w:tc>
                <w:tcPr>
                  <w:tcW w:w="2200" w:type="pct"/>
                  <w:shd w:val="clear" w:color="auto" w:fill="auto"/>
                  <w:vAlign w:val="bottom"/>
                </w:tcPr>
                <w:p w:rsidR="00AC2131" w:rsidRPr="00952562" w:rsidRDefault="00AC2131" w:rsidP="00AC2131">
                  <w:pPr>
                    <w:ind w:left="227"/>
                    <w:rPr>
                      <w:rFonts w:ascii="Arial" w:hAnsi="Arial" w:cs="Arial"/>
                      <w:color w:val="000000"/>
                      <w:sz w:val="18"/>
                      <w:szCs w:val="18"/>
                    </w:rPr>
                  </w:pPr>
                  <w:r w:rsidRPr="00952562">
                    <w:rPr>
                      <w:rFonts w:ascii="Arial" w:hAnsi="Arial" w:cs="Arial"/>
                      <w:color w:val="000000"/>
                      <w:sz w:val="18"/>
                      <w:szCs w:val="18"/>
                    </w:rPr>
                    <w:t>Coal Sector Jobs Package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218.8</w:t>
                  </w:r>
                </w:p>
              </w:tc>
              <w:tc>
                <w:tcPr>
                  <w:tcW w:w="467" w:type="pct"/>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52562" w:rsidRDefault="00AC2131" w:rsidP="00AC2131">
                  <w:pPr>
                    <w:ind w:left="227"/>
                    <w:rPr>
                      <w:rFonts w:ascii="Arial" w:hAnsi="Arial" w:cs="Arial"/>
                      <w:color w:val="000000"/>
                      <w:sz w:val="18"/>
                      <w:szCs w:val="18"/>
                    </w:rPr>
                  </w:pPr>
                  <w:r w:rsidRPr="00952562">
                    <w:rPr>
                      <w:rFonts w:ascii="Arial" w:hAnsi="Arial" w:cs="Arial"/>
                      <w:color w:val="000000"/>
                      <w:sz w:val="18"/>
                      <w:szCs w:val="18"/>
                    </w:rPr>
                    <w:t>Greenhouse Gas Abatement Program</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52562" w:rsidRDefault="00AC2131" w:rsidP="00AC2131">
                  <w:pPr>
                    <w:ind w:left="227"/>
                    <w:rPr>
                      <w:rFonts w:ascii="Arial" w:hAnsi="Arial" w:cs="Arial"/>
                      <w:color w:val="000000"/>
                      <w:sz w:val="18"/>
                      <w:szCs w:val="18"/>
                    </w:rPr>
                  </w:pPr>
                  <w:r w:rsidRPr="00952562">
                    <w:rPr>
                      <w:rFonts w:ascii="Arial" w:hAnsi="Arial" w:cs="Arial"/>
                      <w:color w:val="000000"/>
                      <w:sz w:val="18"/>
                      <w:szCs w:val="18"/>
                    </w:rPr>
                    <w:t>National Low Emissions Coal Initiative</w:t>
                  </w:r>
                </w:p>
              </w:tc>
              <w:tc>
                <w:tcPr>
                  <w:tcW w:w="467" w:type="pct"/>
                  <w:vAlign w:val="bottom"/>
                </w:tcPr>
                <w:p w:rsidR="00AC2131" w:rsidRDefault="00AC2131" w:rsidP="00AC2131">
                  <w:pPr>
                    <w:pStyle w:val="TableBodyText"/>
                    <w:spacing w:after="0"/>
                    <w:ind w:left="0" w:right="57"/>
                  </w:pPr>
                  <w:r>
                    <w:t>8.7</w:t>
                  </w:r>
                </w:p>
              </w:tc>
              <w:tc>
                <w:tcPr>
                  <w:tcW w:w="467" w:type="pct"/>
                  <w:vAlign w:val="bottom"/>
                </w:tcPr>
                <w:p w:rsidR="00AC2131" w:rsidRDefault="00AC2131" w:rsidP="00AC2131">
                  <w:pPr>
                    <w:pStyle w:val="TableBodyText"/>
                    <w:spacing w:after="0"/>
                    <w:ind w:left="0" w:right="57"/>
                  </w:pPr>
                  <w:r>
                    <w:t>32.3</w:t>
                  </w:r>
                </w:p>
              </w:tc>
              <w:tc>
                <w:tcPr>
                  <w:tcW w:w="467" w:type="pct"/>
                  <w:vAlign w:val="bottom"/>
                </w:tcPr>
                <w:p w:rsidR="00AC2131" w:rsidRDefault="00AC2131" w:rsidP="00AC2131">
                  <w:pPr>
                    <w:pStyle w:val="TableBodyText"/>
                    <w:spacing w:after="0"/>
                    <w:ind w:left="0" w:right="57"/>
                  </w:pPr>
                  <w:r>
                    <w:t>47.6</w:t>
                  </w:r>
                </w:p>
              </w:tc>
              <w:tc>
                <w:tcPr>
                  <w:tcW w:w="467" w:type="pct"/>
                  <w:vAlign w:val="bottom"/>
                </w:tcPr>
                <w:p w:rsidR="00AC2131" w:rsidRDefault="00AC2131" w:rsidP="00AC2131">
                  <w:pPr>
                    <w:pStyle w:val="TableBodyText"/>
                    <w:spacing w:after="0"/>
                    <w:ind w:left="0" w:right="57"/>
                  </w:pPr>
                  <w:r>
                    <w:t>25.6</w:t>
                  </w:r>
                </w:p>
              </w:tc>
              <w:tc>
                <w:tcPr>
                  <w:tcW w:w="467" w:type="pct"/>
                  <w:vAlign w:val="bottom"/>
                </w:tcPr>
                <w:p w:rsidR="00AC2131" w:rsidRDefault="00AC2131" w:rsidP="00AC2131">
                  <w:pPr>
                    <w:pStyle w:val="TableBodyText"/>
                    <w:spacing w:after="0"/>
                    <w:ind w:left="0" w:right="57"/>
                  </w:pPr>
                  <w:r>
                    <w:t>22.4</w:t>
                  </w:r>
                </w:p>
              </w:tc>
              <w:tc>
                <w:tcPr>
                  <w:tcW w:w="465" w:type="pct"/>
                  <w:shd w:val="clear" w:color="auto" w:fill="auto"/>
                  <w:vAlign w:val="bottom"/>
                </w:tcPr>
                <w:p w:rsidR="00AC2131" w:rsidRDefault="00AC2131" w:rsidP="00AC2131">
                  <w:pPr>
                    <w:pStyle w:val="TableBodyText"/>
                    <w:spacing w:after="0"/>
                    <w:ind w:left="0" w:right="57"/>
                  </w:pPr>
                  <w:r>
                    <w:t>44.1</w:t>
                  </w:r>
                </w:p>
              </w:tc>
            </w:tr>
            <w:tr w:rsidR="00AC2131" w:rsidTr="00AC2131">
              <w:tc>
                <w:tcPr>
                  <w:tcW w:w="2200" w:type="pct"/>
                  <w:shd w:val="clear" w:color="auto" w:fill="auto"/>
                </w:tcPr>
                <w:p w:rsidR="00AC2131" w:rsidRPr="00952562" w:rsidRDefault="00AC2131" w:rsidP="00AC2131">
                  <w:pPr>
                    <w:pStyle w:val="TableBodyText"/>
                    <w:spacing w:before="40" w:after="0"/>
                    <w:ind w:left="113"/>
                    <w:jc w:val="left"/>
                    <w:rPr>
                      <w:i/>
                    </w:rPr>
                  </w:pPr>
                  <w:r w:rsidRPr="00952562">
                    <w:rPr>
                      <w:i/>
                    </w:rPr>
                    <w:t>Sector-specific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Pr="00952562" w:rsidRDefault="00AC2131" w:rsidP="00AC2131">
                  <w:pPr>
                    <w:pStyle w:val="TableBodyText"/>
                    <w:ind w:left="227" w:right="0"/>
                    <w:jc w:val="left"/>
                    <w:rPr>
                      <w:rFonts w:cs="Arial"/>
                    </w:rPr>
                  </w:pPr>
                  <w:r w:rsidRPr="00952562">
                    <w:rPr>
                      <w:rFonts w:cs="Arial"/>
                    </w:rPr>
                    <w:t>Capital expenditure deduction for mining</w:t>
                  </w:r>
                </w:p>
              </w:tc>
              <w:tc>
                <w:tcPr>
                  <w:tcW w:w="467" w:type="pct"/>
                  <w:vAlign w:val="bottom"/>
                </w:tcPr>
                <w:p w:rsidR="00AC2131" w:rsidRDefault="00AC2131" w:rsidP="00AC2131">
                  <w:pPr>
                    <w:pStyle w:val="TableBodyText"/>
                    <w:spacing w:after="0"/>
                    <w:ind w:left="0" w:right="57"/>
                  </w:pPr>
                  <w:r>
                    <w:t>15.0</w:t>
                  </w:r>
                </w:p>
              </w:tc>
              <w:tc>
                <w:tcPr>
                  <w:tcW w:w="467" w:type="pct"/>
                  <w:vAlign w:val="bottom"/>
                </w:tcPr>
                <w:p w:rsidR="00AC2131" w:rsidRDefault="00AC2131" w:rsidP="00AC2131">
                  <w:pPr>
                    <w:pStyle w:val="TableBodyText"/>
                    <w:spacing w:after="0"/>
                    <w:ind w:left="0" w:right="57"/>
                  </w:pPr>
                  <w:r>
                    <w:t>10.0</w:t>
                  </w:r>
                </w:p>
              </w:tc>
              <w:tc>
                <w:tcPr>
                  <w:tcW w:w="467" w:type="pct"/>
                  <w:vAlign w:val="bottom"/>
                </w:tcPr>
                <w:p w:rsidR="00AC2131" w:rsidRDefault="00AC2131" w:rsidP="00AC2131">
                  <w:pPr>
                    <w:pStyle w:val="TableBodyText"/>
                    <w:spacing w:after="0"/>
                    <w:ind w:left="0" w:right="57"/>
                  </w:pPr>
                  <w:r>
                    <w:t>7.0</w:t>
                  </w:r>
                </w:p>
              </w:tc>
              <w:tc>
                <w:tcPr>
                  <w:tcW w:w="467"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2.0</w:t>
                  </w:r>
                </w:p>
              </w:tc>
              <w:tc>
                <w:tcPr>
                  <w:tcW w:w="465" w:type="pct"/>
                  <w:shd w:val="clear" w:color="auto" w:fill="auto"/>
                  <w:vAlign w:val="bottom"/>
                </w:tcPr>
                <w:p w:rsidR="00AC2131" w:rsidRDefault="00AC2131" w:rsidP="00AC2131">
                  <w:pPr>
                    <w:pStyle w:val="TableBodyText"/>
                    <w:spacing w:after="0"/>
                    <w:ind w:left="0" w:right="57"/>
                  </w:pPr>
                  <w:r>
                    <w:t>2.0</w:t>
                  </w:r>
                </w:p>
              </w:tc>
            </w:tr>
            <w:tr w:rsidR="00AC2131" w:rsidTr="00AC2131">
              <w:tc>
                <w:tcPr>
                  <w:tcW w:w="2200" w:type="pct"/>
                  <w:shd w:val="clear" w:color="auto" w:fill="auto"/>
                </w:tcPr>
                <w:p w:rsidR="00AC2131" w:rsidRPr="00952562" w:rsidRDefault="00AC2131" w:rsidP="00AC2131">
                  <w:pPr>
                    <w:pStyle w:val="TableBodyText"/>
                    <w:spacing w:before="40" w:after="0"/>
                    <w:ind w:left="113"/>
                    <w:jc w:val="left"/>
                    <w:rPr>
                      <w:i/>
                    </w:rPr>
                  </w:pPr>
                  <w:r w:rsidRPr="00952562">
                    <w:rPr>
                      <w:i/>
                    </w:rPr>
                    <w:t>General export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952562" w:rsidRDefault="00AC2131" w:rsidP="00AC2131">
                  <w:pPr>
                    <w:ind w:left="227"/>
                    <w:rPr>
                      <w:rFonts w:ascii="Arial" w:hAnsi="Arial" w:cs="Arial"/>
                      <w:color w:val="000000"/>
                      <w:sz w:val="18"/>
                      <w:szCs w:val="18"/>
                    </w:rPr>
                  </w:pPr>
                  <w:r w:rsidRPr="00952562">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1.2</w:t>
                  </w:r>
                </w:p>
              </w:tc>
              <w:tc>
                <w:tcPr>
                  <w:tcW w:w="465" w:type="pct"/>
                  <w:shd w:val="clear" w:color="auto" w:fill="auto"/>
                  <w:vAlign w:val="bottom"/>
                </w:tcPr>
                <w:p w:rsidR="00AC2131" w:rsidRDefault="00AC2131" w:rsidP="00AC2131">
                  <w:pPr>
                    <w:pStyle w:val="TableBodyText"/>
                    <w:spacing w:after="0"/>
                    <w:ind w:left="0" w:right="57"/>
                  </w:pPr>
                  <w:r>
                    <w:t>2.0</w:t>
                  </w:r>
                </w:p>
              </w:tc>
            </w:tr>
            <w:tr w:rsidR="00AC2131" w:rsidTr="00AC2131">
              <w:tc>
                <w:tcPr>
                  <w:tcW w:w="2200" w:type="pct"/>
                  <w:shd w:val="clear" w:color="auto" w:fill="auto"/>
                  <w:vAlign w:val="bottom"/>
                </w:tcPr>
                <w:p w:rsidR="00AC2131" w:rsidRPr="00952562" w:rsidRDefault="00AC2131" w:rsidP="00AC2131">
                  <w:pPr>
                    <w:ind w:left="227"/>
                    <w:rPr>
                      <w:rFonts w:ascii="Arial" w:hAnsi="Arial" w:cs="Arial"/>
                      <w:color w:val="000000"/>
                      <w:sz w:val="18"/>
                      <w:szCs w:val="18"/>
                    </w:rPr>
                  </w:pPr>
                  <w:r w:rsidRPr="00952562">
                    <w:rPr>
                      <w:rFonts w:ascii="Arial" w:hAnsi="Arial" w:cs="Arial"/>
                      <w:color w:val="000000"/>
                      <w:sz w:val="18"/>
                      <w:szCs w:val="18"/>
                    </w:rPr>
                    <w:t>TRADEX</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0.3</w:t>
                  </w:r>
                </w:p>
              </w:tc>
            </w:tr>
            <w:tr w:rsidR="00AC2131" w:rsidTr="00AC2131">
              <w:tc>
                <w:tcPr>
                  <w:tcW w:w="2200" w:type="pct"/>
                  <w:shd w:val="clear" w:color="auto" w:fill="auto"/>
                </w:tcPr>
                <w:p w:rsidR="00AC2131" w:rsidRPr="00D36158" w:rsidRDefault="00AC2131" w:rsidP="00AC2131">
                  <w:pPr>
                    <w:pStyle w:val="TableBodyText"/>
                    <w:spacing w:before="40" w:after="0"/>
                    <w:ind w:left="113"/>
                    <w:jc w:val="left"/>
                    <w:rPr>
                      <w:i/>
                    </w:rPr>
                  </w:pPr>
                  <w:r w:rsidRPr="00D36158">
                    <w:rPr>
                      <w:i/>
                    </w:rPr>
                    <w:t>General R&amp;D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 xml:space="preserve">Clean Business Australia </w:t>
                  </w:r>
                  <w:r>
                    <w:rPr>
                      <w:rFonts w:ascii="Arial" w:hAnsi="Arial" w:cs="Arial"/>
                      <w:color w:val="000000"/>
                      <w:sz w:val="18"/>
                      <w:szCs w:val="18"/>
                    </w:rPr>
                    <w:t>–</w:t>
                  </w:r>
                  <w:r w:rsidRPr="00D36158">
                    <w:rPr>
                      <w:rFonts w:ascii="Arial" w:hAnsi="Arial" w:cs="Arial"/>
                      <w:color w:val="000000"/>
                      <w:sz w:val="18"/>
                      <w:szCs w:val="18"/>
                    </w:rPr>
                    <w:t xml:space="preserve"> Climate Ready Program</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Commercial Ready Program</w:t>
                  </w:r>
                </w:p>
              </w:tc>
              <w:tc>
                <w:tcPr>
                  <w:tcW w:w="467" w:type="pct"/>
                  <w:vAlign w:val="bottom"/>
                </w:tcPr>
                <w:p w:rsidR="00AC2131" w:rsidRDefault="00AC2131" w:rsidP="00AC2131">
                  <w:pPr>
                    <w:pStyle w:val="TableBodyText"/>
                    <w:spacing w:after="0"/>
                    <w:ind w:left="0" w:right="57"/>
                  </w:pPr>
                  <w:r>
                    <w:t>3.7</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1.9</w:t>
                  </w:r>
                </w:p>
              </w:tc>
              <w:tc>
                <w:tcPr>
                  <w:tcW w:w="465" w:type="pct"/>
                  <w:shd w:val="clear" w:color="auto" w:fill="auto"/>
                  <w:vAlign w:val="bottom"/>
                </w:tcPr>
                <w:p w:rsidR="00AC2131" w:rsidRDefault="00AC2131" w:rsidP="00AC2131">
                  <w:pPr>
                    <w:pStyle w:val="TableBodyText"/>
                    <w:spacing w:after="0"/>
                    <w:ind w:left="0" w:right="57"/>
                  </w:pPr>
                  <w:r>
                    <w:t>2.5</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Cooperative Research Centres</w:t>
                  </w:r>
                </w:p>
              </w:tc>
              <w:tc>
                <w:tcPr>
                  <w:tcW w:w="467" w:type="pct"/>
                  <w:vAlign w:val="bottom"/>
                </w:tcPr>
                <w:p w:rsidR="00AC2131" w:rsidRDefault="00AC2131" w:rsidP="00AC2131">
                  <w:pPr>
                    <w:pStyle w:val="TableBodyText"/>
                    <w:spacing w:after="0"/>
                    <w:ind w:left="0" w:right="57"/>
                  </w:pPr>
                  <w:r>
                    <w:t>3.5</w:t>
                  </w:r>
                </w:p>
              </w:tc>
              <w:tc>
                <w:tcPr>
                  <w:tcW w:w="467" w:type="pct"/>
                  <w:vAlign w:val="bottom"/>
                </w:tcPr>
                <w:p w:rsidR="00AC2131" w:rsidRDefault="00AC2131" w:rsidP="00AC2131">
                  <w:pPr>
                    <w:pStyle w:val="TableBodyText"/>
                    <w:spacing w:after="0"/>
                    <w:ind w:left="0" w:right="57"/>
                  </w:pPr>
                  <w:r>
                    <w:t>6.7</w:t>
                  </w:r>
                </w:p>
              </w:tc>
              <w:tc>
                <w:tcPr>
                  <w:tcW w:w="467" w:type="pct"/>
                  <w:vAlign w:val="bottom"/>
                </w:tcPr>
                <w:p w:rsidR="00AC2131" w:rsidRDefault="00AC2131" w:rsidP="00AC2131">
                  <w:pPr>
                    <w:pStyle w:val="TableBodyText"/>
                    <w:spacing w:after="0"/>
                    <w:ind w:left="0" w:right="57"/>
                  </w:pPr>
                  <w:r>
                    <w:t>10.6</w:t>
                  </w:r>
                </w:p>
              </w:tc>
              <w:tc>
                <w:tcPr>
                  <w:tcW w:w="467" w:type="pct"/>
                  <w:vAlign w:val="bottom"/>
                </w:tcPr>
                <w:p w:rsidR="00AC2131" w:rsidRDefault="00AC2131" w:rsidP="00AC2131">
                  <w:pPr>
                    <w:pStyle w:val="TableBodyText"/>
                    <w:spacing w:after="0"/>
                    <w:ind w:left="0" w:right="57"/>
                  </w:pPr>
                  <w:r>
                    <w:t>11.3</w:t>
                  </w:r>
                </w:p>
              </w:tc>
              <w:tc>
                <w:tcPr>
                  <w:tcW w:w="467" w:type="pct"/>
                  <w:vAlign w:val="bottom"/>
                </w:tcPr>
                <w:p w:rsidR="00AC2131" w:rsidRDefault="00AC2131" w:rsidP="00AC2131">
                  <w:pPr>
                    <w:pStyle w:val="TableBodyText"/>
                    <w:spacing w:after="0"/>
                    <w:ind w:left="0" w:right="57"/>
                  </w:pPr>
                  <w:r>
                    <w:t>10.7</w:t>
                  </w:r>
                </w:p>
              </w:tc>
              <w:tc>
                <w:tcPr>
                  <w:tcW w:w="465" w:type="pct"/>
                  <w:shd w:val="clear" w:color="auto" w:fill="auto"/>
                  <w:vAlign w:val="bottom"/>
                </w:tcPr>
                <w:p w:rsidR="00AC2131" w:rsidRDefault="00AC2131" w:rsidP="00AC2131">
                  <w:pPr>
                    <w:pStyle w:val="TableBodyText"/>
                    <w:spacing w:after="0"/>
                    <w:ind w:left="0" w:right="57"/>
                  </w:pPr>
                  <w:r>
                    <w:t>11.3</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59.1</w:t>
                  </w:r>
                </w:p>
              </w:tc>
              <w:tc>
                <w:tcPr>
                  <w:tcW w:w="467" w:type="pct"/>
                  <w:vAlign w:val="bottom"/>
                </w:tcPr>
                <w:p w:rsidR="00AC2131" w:rsidRDefault="00AC2131" w:rsidP="00AC2131">
                  <w:pPr>
                    <w:pStyle w:val="TableBodyText"/>
                    <w:spacing w:after="0"/>
                    <w:ind w:left="0" w:right="57"/>
                  </w:pPr>
                  <w:r>
                    <w:t>63.8</w:t>
                  </w:r>
                </w:p>
              </w:tc>
              <w:tc>
                <w:tcPr>
                  <w:tcW w:w="467" w:type="pct"/>
                  <w:vAlign w:val="bottom"/>
                </w:tcPr>
                <w:p w:rsidR="00AC2131" w:rsidRDefault="00AC2131" w:rsidP="00AC2131">
                  <w:pPr>
                    <w:pStyle w:val="TableBodyText"/>
                    <w:spacing w:after="0"/>
                    <w:ind w:left="0" w:right="57"/>
                  </w:pPr>
                  <w:r>
                    <w:t>65.2</w:t>
                  </w:r>
                </w:p>
              </w:tc>
              <w:tc>
                <w:tcPr>
                  <w:tcW w:w="467" w:type="pct"/>
                  <w:vAlign w:val="bottom"/>
                </w:tcPr>
                <w:p w:rsidR="00AC2131" w:rsidRDefault="00AC2131" w:rsidP="00AC2131">
                  <w:pPr>
                    <w:pStyle w:val="TableBodyText"/>
                    <w:spacing w:after="0"/>
                    <w:ind w:left="0" w:right="57"/>
                  </w:pPr>
                  <w:r>
                    <w:t>71.2</w:t>
                  </w:r>
                </w:p>
              </w:tc>
              <w:tc>
                <w:tcPr>
                  <w:tcW w:w="467" w:type="pct"/>
                  <w:vAlign w:val="bottom"/>
                </w:tcPr>
                <w:p w:rsidR="00AC2131" w:rsidRDefault="00AC2131" w:rsidP="00AC2131">
                  <w:pPr>
                    <w:pStyle w:val="TableBodyText"/>
                    <w:spacing w:after="0"/>
                    <w:ind w:left="0" w:right="57"/>
                  </w:pPr>
                  <w:r>
                    <w:t>80.7</w:t>
                  </w:r>
                </w:p>
              </w:tc>
              <w:tc>
                <w:tcPr>
                  <w:tcW w:w="465" w:type="pct"/>
                  <w:shd w:val="clear" w:color="auto" w:fill="auto"/>
                  <w:vAlign w:val="bottom"/>
                </w:tcPr>
                <w:p w:rsidR="00AC2131" w:rsidRDefault="00AC2131" w:rsidP="00AC2131">
                  <w:pPr>
                    <w:pStyle w:val="TableBodyText"/>
                    <w:spacing w:after="0"/>
                    <w:ind w:left="0" w:right="57"/>
                  </w:pPr>
                  <w:r>
                    <w:t>87.3</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Innovation Investment Fund</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New Industries Development Program</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111.4</w:t>
                  </w:r>
                </w:p>
              </w:tc>
              <w:tc>
                <w:tcPr>
                  <w:tcW w:w="467" w:type="pct"/>
                  <w:vAlign w:val="bottom"/>
                </w:tcPr>
                <w:p w:rsidR="00AC2131" w:rsidRDefault="00AC2131" w:rsidP="00AC2131">
                  <w:pPr>
                    <w:pStyle w:val="TableBodyText"/>
                    <w:spacing w:after="0"/>
                    <w:ind w:left="0" w:right="57"/>
                  </w:pPr>
                  <w:r>
                    <w:t>129.9</w:t>
                  </w:r>
                </w:p>
              </w:tc>
              <w:tc>
                <w:tcPr>
                  <w:tcW w:w="467" w:type="pct"/>
                  <w:vAlign w:val="bottom"/>
                </w:tcPr>
                <w:p w:rsidR="00AC2131" w:rsidRDefault="00AC2131" w:rsidP="00AC2131">
                  <w:pPr>
                    <w:pStyle w:val="TableBodyText"/>
                    <w:spacing w:after="0"/>
                    <w:ind w:left="0" w:right="57"/>
                  </w:pPr>
                  <w:r>
                    <w:t>111.7</w:t>
                  </w:r>
                </w:p>
              </w:tc>
              <w:tc>
                <w:tcPr>
                  <w:tcW w:w="467" w:type="pct"/>
                  <w:vAlign w:val="bottom"/>
                </w:tcPr>
                <w:p w:rsidR="00AC2131" w:rsidRDefault="00AC2131" w:rsidP="00AC2131">
                  <w:pPr>
                    <w:pStyle w:val="TableBodyText"/>
                    <w:spacing w:after="0"/>
                    <w:ind w:left="0" w:right="57"/>
                  </w:pPr>
                  <w:r>
                    <w:t>88.8</w:t>
                  </w:r>
                </w:p>
              </w:tc>
              <w:tc>
                <w:tcPr>
                  <w:tcW w:w="467" w:type="pct"/>
                  <w:vAlign w:val="bottom"/>
                </w:tcPr>
                <w:p w:rsidR="00AC2131" w:rsidRDefault="00AC2131" w:rsidP="00AC2131">
                  <w:pPr>
                    <w:pStyle w:val="TableBodyText"/>
                    <w:spacing w:after="0"/>
                    <w:ind w:left="0" w:right="57"/>
                  </w:pPr>
                  <w:r>
                    <w:t>24.2</w:t>
                  </w:r>
                </w:p>
              </w:tc>
              <w:tc>
                <w:tcPr>
                  <w:tcW w:w="465" w:type="pct"/>
                  <w:shd w:val="clear" w:color="auto" w:fill="auto"/>
                  <w:vAlign w:val="bottom"/>
                </w:tcPr>
                <w:p w:rsidR="00AC2131" w:rsidRDefault="00AC2131" w:rsidP="00AC2131">
                  <w:pPr>
                    <w:pStyle w:val="TableBodyText"/>
                    <w:spacing w:after="0"/>
                    <w:ind w:left="0" w:right="57"/>
                  </w:pPr>
                  <w:r>
                    <w:t>10.1</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R&amp;D Start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195.4</w:t>
                  </w:r>
                </w:p>
              </w:tc>
              <w:tc>
                <w:tcPr>
                  <w:tcW w:w="467" w:type="pct"/>
                  <w:vAlign w:val="bottom"/>
                </w:tcPr>
                <w:p w:rsidR="00AC2131" w:rsidRDefault="00AC2131" w:rsidP="00AC2131">
                  <w:pPr>
                    <w:pStyle w:val="TableBodyText"/>
                    <w:spacing w:after="0"/>
                    <w:ind w:left="0" w:right="57"/>
                  </w:pPr>
                  <w:r>
                    <w:t>222.6</w:t>
                  </w:r>
                </w:p>
              </w:tc>
              <w:tc>
                <w:tcPr>
                  <w:tcW w:w="467" w:type="pct"/>
                  <w:vAlign w:val="bottom"/>
                </w:tcPr>
                <w:p w:rsidR="00AC2131" w:rsidRDefault="00AC2131" w:rsidP="00AC2131">
                  <w:pPr>
                    <w:pStyle w:val="TableBodyText"/>
                    <w:spacing w:after="0"/>
                    <w:ind w:left="0" w:right="57"/>
                  </w:pPr>
                  <w:r>
                    <w:t>222.6</w:t>
                  </w:r>
                </w:p>
              </w:tc>
              <w:tc>
                <w:tcPr>
                  <w:tcW w:w="467" w:type="pct"/>
                  <w:vAlign w:val="bottom"/>
                </w:tcPr>
                <w:p w:rsidR="00AC2131" w:rsidRDefault="00AC2131" w:rsidP="00AC2131">
                  <w:pPr>
                    <w:pStyle w:val="TableBodyText"/>
                    <w:spacing w:after="0"/>
                    <w:ind w:left="0" w:right="57"/>
                  </w:pPr>
                  <w:r>
                    <w:t>252.5</w:t>
                  </w:r>
                </w:p>
              </w:tc>
              <w:tc>
                <w:tcPr>
                  <w:tcW w:w="467" w:type="pct"/>
                  <w:vAlign w:val="bottom"/>
                </w:tcPr>
                <w:p w:rsidR="00AC2131" w:rsidRDefault="00AC2131" w:rsidP="00AC2131">
                  <w:pPr>
                    <w:pStyle w:val="TableBodyText"/>
                    <w:spacing w:after="0"/>
                    <w:ind w:left="0" w:right="57"/>
                  </w:pPr>
                  <w:r>
                    <w:t>112.7</w:t>
                  </w:r>
                </w:p>
              </w:tc>
              <w:tc>
                <w:tcPr>
                  <w:tcW w:w="465" w:type="pct"/>
                  <w:shd w:val="clear" w:color="auto" w:fill="auto"/>
                  <w:vAlign w:val="bottom"/>
                </w:tcPr>
                <w:p w:rsidR="00AC2131" w:rsidRDefault="00AC2131" w:rsidP="00AC2131">
                  <w:pPr>
                    <w:pStyle w:val="TableBodyText"/>
                    <w:spacing w:after="0"/>
                    <w:ind w:left="0" w:right="57"/>
                  </w:pPr>
                  <w:r>
                    <w:t>38.3</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-28.4</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178.1</w:t>
                  </w:r>
                </w:p>
              </w:tc>
              <w:tc>
                <w:tcPr>
                  <w:tcW w:w="465" w:type="pct"/>
                  <w:shd w:val="clear" w:color="auto" w:fill="auto"/>
                  <w:vAlign w:val="bottom"/>
                </w:tcPr>
                <w:p w:rsidR="00AC2131" w:rsidRDefault="00AC2131" w:rsidP="00AC2131">
                  <w:pPr>
                    <w:pStyle w:val="TableBodyText"/>
                    <w:spacing w:after="0"/>
                    <w:ind w:left="0" w:right="57"/>
                  </w:pPr>
                  <w:r>
                    <w:t>223.7</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52.6</w:t>
                  </w:r>
                </w:p>
              </w:tc>
              <w:tc>
                <w:tcPr>
                  <w:tcW w:w="465" w:type="pct"/>
                  <w:shd w:val="clear" w:color="auto" w:fill="auto"/>
                  <w:vAlign w:val="bottom"/>
                </w:tcPr>
                <w:p w:rsidR="00AC2131" w:rsidRDefault="00AC2131" w:rsidP="00AC2131">
                  <w:pPr>
                    <w:pStyle w:val="TableBodyText"/>
                    <w:spacing w:after="0"/>
                    <w:ind w:left="0" w:right="57"/>
                  </w:pPr>
                  <w:r>
                    <w:t>94.1</w:t>
                  </w:r>
                </w:p>
              </w:tc>
            </w:tr>
            <w:tr w:rsidR="00AC2131" w:rsidTr="00AC2131">
              <w:tc>
                <w:tcPr>
                  <w:tcW w:w="2200" w:type="pct"/>
                  <w:shd w:val="clear" w:color="auto" w:fill="auto"/>
                  <w:vAlign w:val="bottom"/>
                </w:tcPr>
                <w:p w:rsidR="00AC2131" w:rsidRPr="00D36158"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36.1</w:t>
                  </w:r>
                </w:p>
              </w:tc>
              <w:tc>
                <w:tcPr>
                  <w:tcW w:w="467" w:type="pct"/>
                  <w:vAlign w:val="bottom"/>
                </w:tcPr>
                <w:p w:rsidR="00AC2131" w:rsidRDefault="00AC2131" w:rsidP="00AC2131">
                  <w:pPr>
                    <w:pStyle w:val="TableBodyText"/>
                    <w:spacing w:after="0"/>
                    <w:ind w:left="0" w:right="57"/>
                  </w:pPr>
                  <w:r>
                    <w:t>63.3</w:t>
                  </w:r>
                </w:p>
              </w:tc>
              <w:tc>
                <w:tcPr>
                  <w:tcW w:w="467" w:type="pct"/>
                  <w:vAlign w:val="bottom"/>
                </w:tcPr>
                <w:p w:rsidR="00AC2131" w:rsidRDefault="00AC2131" w:rsidP="00AC2131">
                  <w:pPr>
                    <w:pStyle w:val="TableBodyText"/>
                    <w:spacing w:after="0"/>
                    <w:ind w:left="0" w:right="57"/>
                  </w:pPr>
                  <w:r>
                    <w:t>60.0</w:t>
                  </w:r>
                </w:p>
              </w:tc>
              <w:tc>
                <w:tcPr>
                  <w:tcW w:w="467" w:type="pct"/>
                  <w:vAlign w:val="bottom"/>
                </w:tcPr>
                <w:p w:rsidR="00AC2131" w:rsidRDefault="00AC2131" w:rsidP="00AC2131">
                  <w:pPr>
                    <w:pStyle w:val="TableBodyText"/>
                    <w:spacing w:after="0"/>
                    <w:ind w:left="0" w:right="57"/>
                  </w:pPr>
                  <w:r>
                    <w:t>67.7</w:t>
                  </w:r>
                </w:p>
              </w:tc>
              <w:tc>
                <w:tcPr>
                  <w:tcW w:w="467" w:type="pct"/>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tcBorders>
                    <w:bottom w:val="single" w:sz="6" w:space="0" w:color="BFBFBF"/>
                  </w:tcBorders>
                  <w:shd w:val="clear" w:color="auto" w:fill="auto"/>
                  <w:vAlign w:val="bottom"/>
                </w:tcPr>
                <w:p w:rsidR="00AC2131" w:rsidRPr="00D36158" w:rsidRDefault="00AC2131" w:rsidP="00AC2131">
                  <w:pPr>
                    <w:ind w:left="227"/>
                    <w:rPr>
                      <w:rFonts w:ascii="Arial" w:hAnsi="Arial" w:cs="Arial"/>
                      <w:color w:val="000000"/>
                      <w:sz w:val="18"/>
                      <w:szCs w:val="18"/>
                    </w:rPr>
                  </w:pPr>
                  <w:r w:rsidRPr="00D36158">
                    <w:rPr>
                      <w:rFonts w:ascii="Arial" w:hAnsi="Arial" w:cs="Arial"/>
                      <w:color w:val="000000"/>
                      <w:sz w:val="18"/>
                      <w:szCs w:val="18"/>
                    </w:rPr>
                    <w:t>Renewable Energy Development Initiative</w:t>
                  </w:r>
                </w:p>
              </w:tc>
              <w:tc>
                <w:tcPr>
                  <w:tcW w:w="467" w:type="pct"/>
                  <w:tcBorders>
                    <w:bottom w:val="single" w:sz="6" w:space="0" w:color="BFBFBF"/>
                  </w:tcBorders>
                  <w:vAlign w:val="bottom"/>
                </w:tcPr>
                <w:p w:rsidR="00AC2131" w:rsidRDefault="00AC2131" w:rsidP="00AC2131">
                  <w:pPr>
                    <w:pStyle w:val="TableBodyText"/>
                    <w:spacing w:after="0"/>
                    <w:ind w:left="0" w:right="57"/>
                  </w:pPr>
                  <w:r>
                    <w:t>0.8</w:t>
                  </w:r>
                </w:p>
              </w:tc>
              <w:tc>
                <w:tcPr>
                  <w:tcW w:w="467" w:type="pct"/>
                  <w:tcBorders>
                    <w:bottom w:val="single" w:sz="6" w:space="0" w:color="BFBFBF"/>
                  </w:tcBorders>
                  <w:vAlign w:val="bottom"/>
                </w:tcPr>
                <w:p w:rsidR="00AC2131" w:rsidRDefault="00AC2131" w:rsidP="00AC2131">
                  <w:pPr>
                    <w:pStyle w:val="TableBodyText"/>
                    <w:spacing w:after="0"/>
                    <w:ind w:left="0" w:right="57"/>
                  </w:pPr>
                  <w:r>
                    <w:t>0.3</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left="6357"/>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E21118" w:rsidRDefault="00AC2131" w:rsidP="00AC2131">
      <w:pPr>
        <w:rPr>
          <w:szCs w:val="20"/>
        </w:rPr>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A.11</w:t>
            </w:r>
            <w:r>
              <w:tab/>
            </w:r>
            <w:r w:rsidRPr="006B64DF">
              <w:rPr>
                <w:b w:val="0"/>
                <w:sz w:val="18"/>
                <w:szCs w:val="18"/>
              </w:rPr>
              <w:t>(continued)</w:t>
            </w:r>
          </w:p>
        </w:tc>
      </w:tr>
      <w:tr w:rsidR="00AC2131" w:rsidTr="00AC2131">
        <w:trPr>
          <w:cantSplit/>
        </w:trPr>
        <w:tc>
          <w:tcPr>
            <w:tcW w:w="8767" w:type="dxa"/>
            <w:tcBorders>
              <w:top w:val="nil"/>
              <w:left w:val="nil"/>
              <w:bottom w:val="nil"/>
              <w:right w:val="nil"/>
            </w:tcBorders>
            <w:shd w:val="clear" w:color="auto" w:fill="auto"/>
          </w:tcPr>
          <w:tbl>
            <w:tblPr>
              <w:tblW w:w="8517" w:type="dxa"/>
              <w:tblLayout w:type="fixed"/>
              <w:tblCellMar>
                <w:top w:w="28" w:type="dxa"/>
                <w:left w:w="0" w:type="dxa"/>
                <w:right w:w="0" w:type="dxa"/>
              </w:tblCellMar>
              <w:tblLook w:val="0000" w:firstRow="0" w:lastRow="0" w:firstColumn="0" w:lastColumn="0" w:noHBand="0" w:noVBand="0"/>
            </w:tblPr>
            <w:tblGrid>
              <w:gridCol w:w="3743"/>
              <w:gridCol w:w="794"/>
              <w:gridCol w:w="797"/>
              <w:gridCol w:w="797"/>
              <w:gridCol w:w="797"/>
              <w:gridCol w:w="797"/>
              <w:gridCol w:w="792"/>
            </w:tblGrid>
            <w:tr w:rsidR="00AC2131" w:rsidTr="00AC2131">
              <w:tc>
                <w:tcPr>
                  <w:tcW w:w="2197" w:type="pct"/>
                  <w:tcBorders>
                    <w:top w:val="single" w:sz="6" w:space="0" w:color="BFBFBF"/>
                    <w:bottom w:val="single" w:sz="6" w:space="0" w:color="BFBFBF"/>
                  </w:tcBorders>
                </w:tcPr>
                <w:p w:rsidR="00AC2131" w:rsidRDefault="00AC2131" w:rsidP="00AC2131">
                  <w:pPr>
                    <w:pStyle w:val="TableColumnHeading"/>
                    <w:jc w:val="left"/>
                  </w:pPr>
                </w:p>
              </w:tc>
              <w:tc>
                <w:tcPr>
                  <w:tcW w:w="466"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8"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8"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8"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2011-12</w:t>
                  </w:r>
                </w:p>
              </w:tc>
              <w:tc>
                <w:tcPr>
                  <w:tcW w:w="468"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197" w:type="pct"/>
                  <w:tcBorders>
                    <w:top w:val="single" w:sz="6" w:space="0" w:color="BFBFBF"/>
                  </w:tcBorders>
                </w:tcPr>
                <w:p w:rsidR="00AC2131" w:rsidRPr="0063236D" w:rsidRDefault="00AC2131" w:rsidP="00AC2131">
                  <w:pPr>
                    <w:pStyle w:val="TableUnitsRow"/>
                    <w:spacing w:after="0"/>
                    <w:ind w:left="113"/>
                    <w:jc w:val="left"/>
                    <w:rPr>
                      <w:i/>
                    </w:rPr>
                  </w:pPr>
                  <w:r w:rsidRPr="0063236D">
                    <w:rPr>
                      <w:i/>
                    </w:rPr>
                    <w:t>Others measures</w:t>
                  </w:r>
                </w:p>
              </w:tc>
              <w:tc>
                <w:tcPr>
                  <w:tcW w:w="466" w:type="pct"/>
                  <w:tcBorders>
                    <w:top w:val="single" w:sz="6" w:space="0" w:color="BFBFBF"/>
                  </w:tcBorders>
                </w:tcPr>
                <w:p w:rsidR="00AC2131" w:rsidRDefault="00AC2131" w:rsidP="00AC2131">
                  <w:pPr>
                    <w:pStyle w:val="TableUnitsRow"/>
                    <w:spacing w:after="0"/>
                    <w:ind w:left="113"/>
                    <w:jc w:val="left"/>
                  </w:pPr>
                </w:p>
              </w:tc>
              <w:tc>
                <w:tcPr>
                  <w:tcW w:w="468" w:type="pct"/>
                  <w:tcBorders>
                    <w:top w:val="single" w:sz="6" w:space="0" w:color="BFBFBF"/>
                  </w:tcBorders>
                </w:tcPr>
                <w:p w:rsidR="00AC2131" w:rsidRDefault="00AC2131" w:rsidP="00AC2131">
                  <w:pPr>
                    <w:pStyle w:val="TableUnitsRow"/>
                    <w:spacing w:after="0"/>
                    <w:ind w:left="113"/>
                    <w:jc w:val="left"/>
                  </w:pPr>
                </w:p>
              </w:tc>
              <w:tc>
                <w:tcPr>
                  <w:tcW w:w="468" w:type="pct"/>
                  <w:tcBorders>
                    <w:top w:val="single" w:sz="6" w:space="0" w:color="BFBFBF"/>
                  </w:tcBorders>
                </w:tcPr>
                <w:p w:rsidR="00AC2131" w:rsidRDefault="00AC2131" w:rsidP="00AC2131">
                  <w:pPr>
                    <w:pStyle w:val="TableUnitsRow"/>
                    <w:spacing w:after="0"/>
                    <w:ind w:left="113"/>
                    <w:jc w:val="left"/>
                  </w:pPr>
                </w:p>
              </w:tc>
              <w:tc>
                <w:tcPr>
                  <w:tcW w:w="468" w:type="pct"/>
                  <w:tcBorders>
                    <w:top w:val="single" w:sz="6" w:space="0" w:color="BFBFBF"/>
                  </w:tcBorders>
                </w:tcPr>
                <w:p w:rsidR="00AC2131" w:rsidRDefault="00AC2131" w:rsidP="00AC2131">
                  <w:pPr>
                    <w:pStyle w:val="TableUnitsRow"/>
                    <w:spacing w:after="0"/>
                    <w:ind w:left="113"/>
                    <w:jc w:val="left"/>
                  </w:pPr>
                </w:p>
              </w:tc>
              <w:tc>
                <w:tcPr>
                  <w:tcW w:w="468" w:type="pct"/>
                  <w:tcBorders>
                    <w:top w:val="single" w:sz="6" w:space="0" w:color="BFBFBF"/>
                  </w:tcBorders>
                </w:tcPr>
                <w:p w:rsidR="00AC2131" w:rsidRDefault="00AC2131" w:rsidP="00AC2131">
                  <w:pPr>
                    <w:pStyle w:val="TableUnitsRow"/>
                    <w:spacing w:after="0"/>
                    <w:ind w:left="113"/>
                  </w:pPr>
                </w:p>
              </w:tc>
              <w:tc>
                <w:tcPr>
                  <w:tcW w:w="465" w:type="pct"/>
                  <w:tcBorders>
                    <w:top w:val="single" w:sz="6" w:space="0" w:color="BFBFBF"/>
                  </w:tcBorders>
                </w:tcPr>
                <w:p w:rsidR="00AC2131" w:rsidRDefault="00AC2131" w:rsidP="00AC2131">
                  <w:pPr>
                    <w:pStyle w:val="TableUnitsRow"/>
                    <w:spacing w:after="0"/>
                    <w:ind w:left="113" w:right="28"/>
                  </w:pP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sidRPr="0063236D">
                    <w:rPr>
                      <w:rFonts w:ascii="Arial" w:hAnsi="Arial" w:cs="Arial"/>
                      <w:color w:val="000000"/>
                      <w:sz w:val="18"/>
                      <w:szCs w:val="18"/>
                    </w:rPr>
                    <w:t>25 per cent entrepreneurs' tax offset</w:t>
                  </w:r>
                </w:p>
              </w:tc>
              <w:tc>
                <w:tcPr>
                  <w:tcW w:w="466"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0.3</w:t>
                  </w:r>
                </w:p>
              </w:tc>
              <w:tc>
                <w:tcPr>
                  <w:tcW w:w="465" w:type="pct"/>
                  <w:vAlign w:val="bottom"/>
                </w:tcPr>
                <w:p w:rsidR="00AC2131" w:rsidRDefault="00AC2131" w:rsidP="00AC2131">
                  <w:pPr>
                    <w:pStyle w:val="TableBodyText"/>
                    <w:spacing w:after="0"/>
                    <w:ind w:left="0" w:right="57"/>
                  </w:pPr>
                  <w:r>
                    <w:t>–</w:t>
                  </w: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sidRPr="0063236D">
                    <w:rPr>
                      <w:rFonts w:ascii="Arial" w:hAnsi="Arial" w:cs="Arial"/>
                      <w:color w:val="000000"/>
                      <w:sz w:val="18"/>
                      <w:szCs w:val="18"/>
                    </w:rPr>
                    <w:t>Enterprise Connect Innovation Centres</w:t>
                  </w:r>
                </w:p>
              </w:tc>
              <w:tc>
                <w:tcPr>
                  <w:tcW w:w="466" w:type="pct"/>
                  <w:vAlign w:val="bottom"/>
                </w:tcPr>
                <w:p w:rsidR="00AC2131" w:rsidRDefault="00AC2131" w:rsidP="00AC2131">
                  <w:pPr>
                    <w:pStyle w:val="TableBodyText"/>
                    <w:spacing w:after="0"/>
                    <w:ind w:left="0" w:right="57"/>
                  </w:pPr>
                  <w:r>
                    <w:t>&lt;0.1</w:t>
                  </w:r>
                </w:p>
              </w:tc>
              <w:tc>
                <w:tcPr>
                  <w:tcW w:w="468"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0.2</w:t>
                  </w:r>
                </w:p>
              </w:tc>
              <w:tc>
                <w:tcPr>
                  <w:tcW w:w="468" w:type="pct"/>
                  <w:shd w:val="clear" w:color="auto" w:fill="auto"/>
                  <w:vAlign w:val="bottom"/>
                </w:tcPr>
                <w:p w:rsidR="00AC2131" w:rsidRDefault="00AC2131" w:rsidP="00AC2131">
                  <w:pPr>
                    <w:pStyle w:val="TableBodyText"/>
                    <w:spacing w:after="0"/>
                    <w:ind w:left="0" w:right="57"/>
                  </w:pPr>
                  <w:r>
                    <w:t>0.1</w:t>
                  </w:r>
                </w:p>
              </w:tc>
              <w:tc>
                <w:tcPr>
                  <w:tcW w:w="468"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sidRPr="0063236D">
                    <w:rPr>
                      <w:rFonts w:ascii="Arial" w:hAnsi="Arial" w:cs="Arial"/>
                      <w:color w:val="000000"/>
                      <w:sz w:val="18"/>
                      <w:szCs w:val="18"/>
                    </w:rPr>
                    <w:t>Innovation Investment Fund for South Australia</w:t>
                  </w:r>
                </w:p>
              </w:tc>
              <w:tc>
                <w:tcPr>
                  <w:tcW w:w="466" w:type="pct"/>
                  <w:vAlign w:val="bottom"/>
                </w:tcPr>
                <w:p w:rsidR="00AC2131" w:rsidRDefault="00AC2131" w:rsidP="00AC2131">
                  <w:pPr>
                    <w:pStyle w:val="TableBodyText"/>
                    <w:spacing w:after="0"/>
                    <w:ind w:left="0" w:right="57"/>
                  </w:pPr>
                  <w:r>
                    <w:t>0.3</w:t>
                  </w:r>
                </w:p>
              </w:tc>
              <w:tc>
                <w:tcPr>
                  <w:tcW w:w="468" w:type="pct"/>
                  <w:vAlign w:val="bottom"/>
                </w:tcPr>
                <w:p w:rsidR="00AC2131" w:rsidRDefault="00AC2131" w:rsidP="00AC2131">
                  <w:pPr>
                    <w:pStyle w:val="TableBodyText"/>
                    <w:spacing w:after="0"/>
                    <w:ind w:left="0" w:right="57"/>
                  </w:pPr>
                  <w:r>
                    <w:t>0.3</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sidRPr="0063236D">
                    <w:rPr>
                      <w:rFonts w:ascii="Arial" w:hAnsi="Arial" w:cs="Arial"/>
                      <w:color w:val="000000"/>
                      <w:sz w:val="18"/>
                      <w:szCs w:val="18"/>
                    </w:rPr>
                    <w:t>North West and Northern Tasmania Innovation and Investment Fund</w:t>
                  </w:r>
                </w:p>
              </w:tc>
              <w:tc>
                <w:tcPr>
                  <w:tcW w:w="466"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&lt;0.1</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6"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0.3</w:t>
                  </w:r>
                </w:p>
              </w:tc>
              <w:tc>
                <w:tcPr>
                  <w:tcW w:w="468" w:type="pct"/>
                  <w:vAlign w:val="bottom"/>
                </w:tcPr>
                <w:p w:rsidR="00AC2131" w:rsidRDefault="00AC2131" w:rsidP="00AC2131">
                  <w:pPr>
                    <w:pStyle w:val="TableBodyText"/>
                    <w:spacing w:after="0"/>
                    <w:ind w:left="0" w:right="57"/>
                  </w:pPr>
                  <w:r>
                    <w:t>0.5</w:t>
                  </w:r>
                </w:p>
              </w:tc>
              <w:tc>
                <w:tcPr>
                  <w:tcW w:w="468" w:type="pct"/>
                  <w:shd w:val="clear" w:color="auto" w:fill="auto"/>
                  <w:vAlign w:val="bottom"/>
                </w:tcPr>
                <w:p w:rsidR="00AC2131" w:rsidRDefault="00AC2131" w:rsidP="00AC2131">
                  <w:pPr>
                    <w:pStyle w:val="TableBodyText"/>
                    <w:spacing w:after="0"/>
                    <w:ind w:left="0" w:right="57"/>
                  </w:pPr>
                  <w:r>
                    <w:t>&lt;0.1</w:t>
                  </w:r>
                </w:p>
              </w:tc>
              <w:tc>
                <w:tcPr>
                  <w:tcW w:w="468"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5.0</w:t>
                  </w: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sidRPr="0063236D">
                    <w:rPr>
                      <w:rFonts w:ascii="Arial" w:hAnsi="Arial" w:cs="Arial"/>
                      <w:color w:val="000000"/>
                      <w:sz w:val="18"/>
                      <w:szCs w:val="18"/>
                    </w:rPr>
                    <w:t xml:space="preserve">Small business </w:t>
                  </w:r>
                  <w:r>
                    <w:rPr>
                      <w:rFonts w:ascii="Arial" w:hAnsi="Arial" w:cs="Arial"/>
                      <w:color w:val="000000"/>
                      <w:sz w:val="18"/>
                      <w:szCs w:val="18"/>
                    </w:rPr>
                    <w:t>capital gains tax</w:t>
                  </w:r>
                  <w:r w:rsidRPr="0063236D">
                    <w:rPr>
                      <w:rFonts w:ascii="Arial" w:hAnsi="Arial" w:cs="Arial"/>
                      <w:color w:val="000000"/>
                      <w:sz w:val="18"/>
                      <w:szCs w:val="18"/>
                    </w:rPr>
                    <w:t xml:space="preserve"> 50 per cent reduction</w:t>
                  </w:r>
                </w:p>
              </w:tc>
              <w:tc>
                <w:tcPr>
                  <w:tcW w:w="466" w:type="pct"/>
                  <w:vAlign w:val="bottom"/>
                </w:tcPr>
                <w:p w:rsidR="00AC2131" w:rsidRDefault="00AC2131" w:rsidP="00AC2131">
                  <w:pPr>
                    <w:pStyle w:val="TableBodyText"/>
                    <w:spacing w:after="0"/>
                    <w:ind w:left="0" w:right="57"/>
                  </w:pPr>
                  <w:r>
                    <w:t>1.9</w:t>
                  </w:r>
                </w:p>
              </w:tc>
              <w:tc>
                <w:tcPr>
                  <w:tcW w:w="468" w:type="pct"/>
                  <w:vAlign w:val="bottom"/>
                </w:tcPr>
                <w:p w:rsidR="00AC2131" w:rsidRDefault="00AC2131" w:rsidP="00AC2131">
                  <w:pPr>
                    <w:pStyle w:val="TableBodyText"/>
                    <w:spacing w:after="0"/>
                    <w:ind w:left="0" w:right="57"/>
                  </w:pPr>
                  <w:r>
                    <w:t>2.1</w:t>
                  </w:r>
                </w:p>
              </w:tc>
              <w:tc>
                <w:tcPr>
                  <w:tcW w:w="468" w:type="pct"/>
                  <w:vAlign w:val="bottom"/>
                </w:tcPr>
                <w:p w:rsidR="00AC2131" w:rsidRDefault="00AC2131" w:rsidP="00AC2131">
                  <w:pPr>
                    <w:pStyle w:val="TableBodyText"/>
                    <w:spacing w:after="0"/>
                    <w:ind w:left="0" w:right="57"/>
                  </w:pPr>
                  <w:r>
                    <w:t>1.3</w:t>
                  </w:r>
                </w:p>
              </w:tc>
              <w:tc>
                <w:tcPr>
                  <w:tcW w:w="468" w:type="pct"/>
                  <w:shd w:val="clear" w:color="auto" w:fill="auto"/>
                  <w:vAlign w:val="bottom"/>
                </w:tcPr>
                <w:p w:rsidR="00AC2131" w:rsidRDefault="00AC2131" w:rsidP="00AC2131">
                  <w:pPr>
                    <w:pStyle w:val="TableBodyText"/>
                    <w:spacing w:after="0"/>
                    <w:ind w:left="0" w:right="57"/>
                  </w:pPr>
                  <w:r>
                    <w:t>2.6</w:t>
                  </w:r>
                </w:p>
              </w:tc>
              <w:tc>
                <w:tcPr>
                  <w:tcW w:w="468" w:type="pct"/>
                  <w:shd w:val="clear" w:color="auto" w:fill="auto"/>
                  <w:vAlign w:val="bottom"/>
                </w:tcPr>
                <w:p w:rsidR="00AC2131" w:rsidRDefault="00AC2131" w:rsidP="00AC2131">
                  <w:pPr>
                    <w:pStyle w:val="TableBodyText"/>
                    <w:spacing w:after="0"/>
                    <w:ind w:left="0" w:right="57"/>
                  </w:pPr>
                  <w:r>
                    <w:t>2.7</w:t>
                  </w:r>
                </w:p>
              </w:tc>
              <w:tc>
                <w:tcPr>
                  <w:tcW w:w="465" w:type="pct"/>
                  <w:shd w:val="clear" w:color="auto" w:fill="auto"/>
                  <w:vAlign w:val="bottom"/>
                </w:tcPr>
                <w:p w:rsidR="00AC2131" w:rsidRDefault="00AC2131" w:rsidP="00AC2131">
                  <w:pPr>
                    <w:pStyle w:val="TableBodyText"/>
                    <w:spacing w:after="0"/>
                    <w:ind w:left="0" w:right="57"/>
                  </w:pPr>
                  <w:r>
                    <w:t>2.9</w:t>
                  </w: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sidRPr="0063236D">
                    <w:rPr>
                      <w:rFonts w:ascii="Arial" w:hAnsi="Arial" w:cs="Arial"/>
                      <w:color w:val="000000"/>
                      <w:sz w:val="18"/>
                      <w:szCs w:val="18"/>
                    </w:rPr>
                    <w:t xml:space="preserve">Small business </w:t>
                  </w:r>
                  <w:r>
                    <w:rPr>
                      <w:rFonts w:ascii="Arial" w:hAnsi="Arial" w:cs="Arial"/>
                      <w:color w:val="000000"/>
                      <w:sz w:val="18"/>
                      <w:szCs w:val="18"/>
                    </w:rPr>
                    <w:t>capital gains tax</w:t>
                  </w:r>
                  <w:r w:rsidRPr="0063236D">
                    <w:rPr>
                      <w:rFonts w:ascii="Arial" w:hAnsi="Arial" w:cs="Arial"/>
                      <w:color w:val="000000"/>
                      <w:sz w:val="18"/>
                      <w:szCs w:val="18"/>
                    </w:rPr>
                    <w:t xml:space="preserve"> retirement exemption</w:t>
                  </w:r>
                </w:p>
              </w:tc>
              <w:tc>
                <w:tcPr>
                  <w:tcW w:w="466" w:type="pct"/>
                  <w:vAlign w:val="bottom"/>
                </w:tcPr>
                <w:p w:rsidR="00AC2131" w:rsidRDefault="00AC2131" w:rsidP="00AC2131">
                  <w:pPr>
                    <w:pStyle w:val="TableBodyText"/>
                    <w:spacing w:after="0"/>
                    <w:ind w:left="0" w:right="57"/>
                  </w:pPr>
                  <w:r>
                    <w:t>0.5</w:t>
                  </w:r>
                </w:p>
              </w:tc>
              <w:tc>
                <w:tcPr>
                  <w:tcW w:w="468" w:type="pct"/>
                  <w:vAlign w:val="bottom"/>
                </w:tcPr>
                <w:p w:rsidR="00AC2131" w:rsidRDefault="00AC2131" w:rsidP="00AC2131">
                  <w:pPr>
                    <w:pStyle w:val="TableBodyText"/>
                    <w:spacing w:after="0"/>
                    <w:ind w:left="0" w:right="57"/>
                  </w:pPr>
                  <w:r>
                    <w:t>0.9</w:t>
                  </w:r>
                </w:p>
              </w:tc>
              <w:tc>
                <w:tcPr>
                  <w:tcW w:w="468" w:type="pct"/>
                  <w:vAlign w:val="bottom"/>
                </w:tcPr>
                <w:p w:rsidR="00AC2131" w:rsidRDefault="00AC2131" w:rsidP="00AC2131">
                  <w:pPr>
                    <w:pStyle w:val="TableBodyText"/>
                    <w:spacing w:after="0"/>
                    <w:ind w:left="0" w:right="57"/>
                  </w:pPr>
                  <w:r>
                    <w:t>0.8</w:t>
                  </w:r>
                </w:p>
              </w:tc>
              <w:tc>
                <w:tcPr>
                  <w:tcW w:w="468" w:type="pct"/>
                  <w:shd w:val="clear" w:color="auto" w:fill="auto"/>
                  <w:vAlign w:val="bottom"/>
                </w:tcPr>
                <w:p w:rsidR="00AC2131" w:rsidRDefault="00AC2131" w:rsidP="00AC2131">
                  <w:pPr>
                    <w:pStyle w:val="TableBodyText"/>
                    <w:spacing w:after="0"/>
                    <w:ind w:left="0" w:right="57"/>
                  </w:pPr>
                  <w:r>
                    <w:t>0.9</w:t>
                  </w:r>
                </w:p>
              </w:tc>
              <w:tc>
                <w:tcPr>
                  <w:tcW w:w="468" w:type="pct"/>
                  <w:shd w:val="clear" w:color="auto" w:fill="auto"/>
                  <w:vAlign w:val="bottom"/>
                </w:tcPr>
                <w:p w:rsidR="00AC2131" w:rsidRDefault="00AC2131" w:rsidP="00AC2131">
                  <w:pPr>
                    <w:pStyle w:val="TableBodyText"/>
                    <w:spacing w:after="0"/>
                    <w:ind w:left="0" w:right="57"/>
                  </w:pPr>
                  <w:r>
                    <w:t>0.9</w:t>
                  </w:r>
                </w:p>
              </w:tc>
              <w:tc>
                <w:tcPr>
                  <w:tcW w:w="465" w:type="pct"/>
                  <w:shd w:val="clear" w:color="auto" w:fill="auto"/>
                  <w:vAlign w:val="bottom"/>
                </w:tcPr>
                <w:p w:rsidR="00AC2131" w:rsidRDefault="00AC2131" w:rsidP="00AC2131">
                  <w:pPr>
                    <w:pStyle w:val="TableBodyText"/>
                    <w:spacing w:after="0"/>
                    <w:ind w:left="0" w:right="57"/>
                  </w:pPr>
                  <w:r>
                    <w:t>0.9</w:t>
                  </w: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sidRPr="0063236D">
                    <w:rPr>
                      <w:rFonts w:ascii="Arial" w:hAnsi="Arial" w:cs="Arial"/>
                      <w:color w:val="000000"/>
                      <w:sz w:val="18"/>
                      <w:szCs w:val="18"/>
                    </w:rPr>
                    <w:t xml:space="preserve">Small business </w:t>
                  </w:r>
                  <w:r>
                    <w:rPr>
                      <w:rFonts w:ascii="Arial" w:hAnsi="Arial" w:cs="Arial"/>
                      <w:color w:val="000000"/>
                      <w:sz w:val="18"/>
                      <w:szCs w:val="18"/>
                    </w:rPr>
                    <w:t>capital gains tax</w:t>
                  </w:r>
                  <w:r w:rsidRPr="0063236D">
                    <w:rPr>
                      <w:rFonts w:ascii="Arial" w:hAnsi="Arial" w:cs="Arial"/>
                      <w:color w:val="000000"/>
                      <w:sz w:val="18"/>
                      <w:szCs w:val="18"/>
                    </w:rPr>
                    <w:t xml:space="preserve"> rollover deferral</w:t>
                  </w:r>
                </w:p>
              </w:tc>
              <w:tc>
                <w:tcPr>
                  <w:tcW w:w="466"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sidRPr="0063236D">
                    <w:rPr>
                      <w:rFonts w:ascii="Arial" w:hAnsi="Arial" w:cs="Arial"/>
                      <w:color w:val="000000"/>
                      <w:sz w:val="18"/>
                      <w:szCs w:val="18"/>
                    </w:rPr>
                    <w:t>South East South Australia Innovation and Investment Fund</w:t>
                  </w:r>
                </w:p>
              </w:tc>
              <w:tc>
                <w:tcPr>
                  <w:tcW w:w="466"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sidRPr="0063236D">
                    <w:rPr>
                      <w:rFonts w:ascii="Arial" w:hAnsi="Arial" w:cs="Arial"/>
                      <w:color w:val="000000"/>
                      <w:sz w:val="18"/>
                      <w:szCs w:val="18"/>
                    </w:rPr>
                    <w:t>Tasmanian Freight Equalisation Scheme</w:t>
                  </w:r>
                </w:p>
              </w:tc>
              <w:tc>
                <w:tcPr>
                  <w:tcW w:w="466" w:type="pct"/>
                  <w:vAlign w:val="bottom"/>
                </w:tcPr>
                <w:p w:rsidR="00AC2131" w:rsidRDefault="00AC2131" w:rsidP="00AC2131">
                  <w:pPr>
                    <w:pStyle w:val="TableBodyText"/>
                    <w:spacing w:after="0"/>
                    <w:ind w:left="0" w:right="57"/>
                  </w:pPr>
                  <w:r>
                    <w:t>0.1</w:t>
                  </w:r>
                </w:p>
              </w:tc>
              <w:tc>
                <w:tcPr>
                  <w:tcW w:w="468"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0.2</w:t>
                  </w:r>
                </w:p>
              </w:tc>
              <w:tc>
                <w:tcPr>
                  <w:tcW w:w="468" w:type="pct"/>
                  <w:shd w:val="clear" w:color="auto" w:fill="auto"/>
                  <w:vAlign w:val="bottom"/>
                </w:tcPr>
                <w:p w:rsidR="00AC2131" w:rsidRDefault="00AC2131" w:rsidP="00AC2131">
                  <w:pPr>
                    <w:pStyle w:val="TableBodyText"/>
                    <w:spacing w:after="0"/>
                    <w:ind w:left="0" w:right="57"/>
                  </w:pPr>
                  <w:r>
                    <w:t>0.2</w:t>
                  </w:r>
                </w:p>
              </w:tc>
              <w:tc>
                <w:tcPr>
                  <w:tcW w:w="468"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sidRPr="0063236D">
                    <w:rPr>
                      <w:rFonts w:ascii="Arial" w:hAnsi="Arial" w:cs="Arial"/>
                      <w:color w:val="000000"/>
                      <w:sz w:val="18"/>
                      <w:szCs w:val="18"/>
                    </w:rPr>
                    <w:t>Temporary Assistance for Tasmanian Exporters</w:t>
                  </w:r>
                </w:p>
              </w:tc>
              <w:tc>
                <w:tcPr>
                  <w:tcW w:w="466"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&lt;0.1</w:t>
                  </w:r>
                </w:p>
              </w:tc>
              <w:tc>
                <w:tcPr>
                  <w:tcW w:w="468"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197" w:type="pct"/>
                  <w:vAlign w:val="bottom"/>
                </w:tcPr>
                <w:p w:rsidR="00AC2131" w:rsidRPr="0063236D" w:rsidRDefault="00AC2131" w:rsidP="00AC2131">
                  <w:pPr>
                    <w:ind w:left="227"/>
                    <w:rPr>
                      <w:rFonts w:ascii="Arial" w:hAnsi="Arial" w:cs="Arial"/>
                      <w:color w:val="000000"/>
                      <w:sz w:val="18"/>
                      <w:szCs w:val="18"/>
                    </w:rPr>
                  </w:pPr>
                  <w:r w:rsidRPr="0063236D">
                    <w:rPr>
                      <w:rFonts w:ascii="Arial" w:hAnsi="Arial" w:cs="Arial"/>
                      <w:color w:val="000000"/>
                      <w:sz w:val="18"/>
                      <w:szCs w:val="18"/>
                    </w:rPr>
                    <w:t>The Small Business and General Business Tax Break</w:t>
                  </w:r>
                </w:p>
              </w:tc>
              <w:tc>
                <w:tcPr>
                  <w:tcW w:w="466"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109.5</w:t>
                  </w:r>
                </w:p>
              </w:tc>
              <w:tc>
                <w:tcPr>
                  <w:tcW w:w="468" w:type="pct"/>
                  <w:vAlign w:val="bottom"/>
                </w:tcPr>
                <w:p w:rsidR="00AC2131" w:rsidRDefault="00AC2131" w:rsidP="00AC2131">
                  <w:pPr>
                    <w:pStyle w:val="TableBodyText"/>
                    <w:spacing w:after="0"/>
                    <w:ind w:left="0" w:right="57"/>
                  </w:pPr>
                  <w:r>
                    <w:t>625.8</w:t>
                  </w:r>
                </w:p>
              </w:tc>
              <w:tc>
                <w:tcPr>
                  <w:tcW w:w="468" w:type="pct"/>
                  <w:shd w:val="clear" w:color="auto" w:fill="auto"/>
                  <w:vAlign w:val="bottom"/>
                </w:tcPr>
                <w:p w:rsidR="00AC2131" w:rsidRDefault="00AC2131" w:rsidP="00AC2131">
                  <w:pPr>
                    <w:pStyle w:val="TableBodyText"/>
                    <w:spacing w:after="0"/>
                    <w:ind w:left="0" w:right="57"/>
                  </w:pPr>
                  <w:r>
                    <w:t>0.1</w:t>
                  </w:r>
                </w:p>
              </w:tc>
              <w:tc>
                <w:tcPr>
                  <w:tcW w:w="468"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7" w:type="pct"/>
                  <w:vAlign w:val="bottom"/>
                </w:tcPr>
                <w:p w:rsidR="00AC2131" w:rsidRPr="00E649CE" w:rsidRDefault="00AC2131" w:rsidP="00AC2131">
                  <w:pPr>
                    <w:spacing w:before="20" w:after="20"/>
                    <w:rPr>
                      <w:rFonts w:ascii="Arial" w:hAnsi="Arial" w:cs="Arial"/>
                      <w:i/>
                      <w:color w:val="000000"/>
                      <w:sz w:val="18"/>
                      <w:szCs w:val="18"/>
                    </w:rPr>
                  </w:pPr>
                  <w:r w:rsidRPr="00E649CE">
                    <w:rPr>
                      <w:rFonts w:ascii="Arial" w:hAnsi="Arial" w:cs="Arial"/>
                      <w:i/>
                      <w:color w:val="000000"/>
                      <w:sz w:val="18"/>
                      <w:szCs w:val="18"/>
                    </w:rPr>
                    <w:t>Total</w:t>
                  </w:r>
                </w:p>
              </w:tc>
              <w:tc>
                <w:tcPr>
                  <w:tcW w:w="466" w:type="pct"/>
                  <w:vAlign w:val="bottom"/>
                </w:tcPr>
                <w:p w:rsidR="00AC2131" w:rsidRPr="008D49A0" w:rsidRDefault="00AC2131" w:rsidP="00AC2131">
                  <w:pPr>
                    <w:pStyle w:val="TableBodyText"/>
                    <w:spacing w:before="20" w:after="20"/>
                    <w:ind w:left="0" w:right="57"/>
                    <w:rPr>
                      <w:i/>
                    </w:rPr>
                  </w:pPr>
                  <w:r w:rsidRPr="008D49A0">
                    <w:rPr>
                      <w:i/>
                    </w:rPr>
                    <w:t>441.0</w:t>
                  </w:r>
                </w:p>
              </w:tc>
              <w:tc>
                <w:tcPr>
                  <w:tcW w:w="468" w:type="pct"/>
                  <w:vAlign w:val="bottom"/>
                </w:tcPr>
                <w:p w:rsidR="00AC2131" w:rsidRPr="008D49A0" w:rsidRDefault="00AC2131" w:rsidP="00AC2131">
                  <w:pPr>
                    <w:pStyle w:val="TableBodyText"/>
                    <w:spacing w:before="20" w:after="20"/>
                    <w:ind w:left="0" w:right="57"/>
                    <w:rPr>
                      <w:i/>
                    </w:rPr>
                  </w:pPr>
                  <w:r w:rsidRPr="008D49A0">
                    <w:rPr>
                      <w:i/>
                    </w:rPr>
                    <w:t>647.2</w:t>
                  </w:r>
                </w:p>
              </w:tc>
              <w:tc>
                <w:tcPr>
                  <w:tcW w:w="468" w:type="pct"/>
                  <w:vAlign w:val="bottom"/>
                </w:tcPr>
                <w:p w:rsidR="00AC2131" w:rsidRPr="008D49A0" w:rsidRDefault="00AC2131" w:rsidP="00AC2131">
                  <w:pPr>
                    <w:pStyle w:val="TableBodyText"/>
                    <w:spacing w:before="20" w:after="20"/>
                    <w:ind w:left="0" w:right="57"/>
                    <w:rPr>
                      <w:i/>
                    </w:rPr>
                  </w:pPr>
                  <w:r w:rsidRPr="008D49A0">
                    <w:rPr>
                      <w:i/>
                    </w:rPr>
                    <w:t>1156.5</w:t>
                  </w:r>
                </w:p>
              </w:tc>
              <w:tc>
                <w:tcPr>
                  <w:tcW w:w="468" w:type="pct"/>
                  <w:shd w:val="clear" w:color="auto" w:fill="auto"/>
                  <w:vAlign w:val="bottom"/>
                </w:tcPr>
                <w:p w:rsidR="00AC2131" w:rsidRPr="008D49A0" w:rsidRDefault="00AC2131" w:rsidP="00AC2131">
                  <w:pPr>
                    <w:pStyle w:val="TableBodyText"/>
                    <w:spacing w:before="20" w:after="20"/>
                    <w:ind w:left="0" w:right="57"/>
                    <w:rPr>
                      <w:i/>
                    </w:rPr>
                  </w:pPr>
                  <w:r w:rsidRPr="008D49A0">
                    <w:rPr>
                      <w:i/>
                    </w:rPr>
                    <w:t>745.6</w:t>
                  </w:r>
                </w:p>
              </w:tc>
              <w:tc>
                <w:tcPr>
                  <w:tcW w:w="468" w:type="pct"/>
                  <w:shd w:val="clear" w:color="auto" w:fill="auto"/>
                  <w:vAlign w:val="bottom"/>
                </w:tcPr>
                <w:p w:rsidR="00AC2131" w:rsidRPr="008D49A0" w:rsidRDefault="00AC2131" w:rsidP="00AC2131">
                  <w:pPr>
                    <w:pStyle w:val="TableBodyText"/>
                    <w:spacing w:before="20" w:after="20"/>
                    <w:ind w:left="0" w:right="57"/>
                    <w:rPr>
                      <w:i/>
                    </w:rPr>
                  </w:pPr>
                  <w:r w:rsidRPr="008D49A0">
                    <w:rPr>
                      <w:i/>
                    </w:rPr>
                    <w:t>492.2</w:t>
                  </w:r>
                </w:p>
              </w:tc>
              <w:tc>
                <w:tcPr>
                  <w:tcW w:w="465" w:type="pct"/>
                  <w:shd w:val="clear" w:color="auto" w:fill="auto"/>
                  <w:vAlign w:val="bottom"/>
                </w:tcPr>
                <w:p w:rsidR="00AC2131" w:rsidRPr="008D49A0" w:rsidRDefault="00AC2131" w:rsidP="00AC2131">
                  <w:pPr>
                    <w:pStyle w:val="TableBodyText"/>
                    <w:spacing w:before="20" w:after="20"/>
                    <w:ind w:left="0" w:right="57"/>
                    <w:rPr>
                      <w:i/>
                    </w:rPr>
                  </w:pPr>
                  <w:r w:rsidRPr="008D49A0">
                    <w:rPr>
                      <w:i/>
                    </w:rPr>
                    <w:t>520.7</w:t>
                  </w:r>
                </w:p>
              </w:tc>
            </w:tr>
            <w:tr w:rsidR="00AC2131" w:rsidTr="00AC2131">
              <w:tc>
                <w:tcPr>
                  <w:tcW w:w="2197" w:type="pct"/>
                  <w:vAlign w:val="bottom"/>
                </w:tcPr>
                <w:p w:rsidR="00AC2131" w:rsidRPr="002207C9" w:rsidRDefault="00AC2131" w:rsidP="00AC2131">
                  <w:pPr>
                    <w:spacing w:before="80" w:after="40"/>
                    <w:rPr>
                      <w:rFonts w:ascii="Arial" w:hAnsi="Arial" w:cs="Arial"/>
                      <w:b/>
                      <w:color w:val="000000"/>
                      <w:sz w:val="18"/>
                      <w:szCs w:val="18"/>
                    </w:rPr>
                  </w:pPr>
                  <w:r w:rsidRPr="002207C9">
                    <w:rPr>
                      <w:rFonts w:ascii="Arial" w:hAnsi="Arial" w:cs="Arial"/>
                      <w:b/>
                      <w:color w:val="000000"/>
                      <w:sz w:val="18"/>
                      <w:szCs w:val="18"/>
                    </w:rPr>
                    <w:t>Total outlays</w:t>
                  </w:r>
                </w:p>
              </w:tc>
              <w:tc>
                <w:tcPr>
                  <w:tcW w:w="466" w:type="pct"/>
                  <w:vAlign w:val="bottom"/>
                </w:tcPr>
                <w:p w:rsidR="00AC2131" w:rsidRPr="002C3D97" w:rsidRDefault="00AC2131" w:rsidP="00AC2131">
                  <w:pPr>
                    <w:pStyle w:val="TableBodyText"/>
                    <w:spacing w:before="80"/>
                    <w:ind w:left="0" w:right="57"/>
                    <w:rPr>
                      <w:b/>
                    </w:rPr>
                  </w:pPr>
                  <w:r w:rsidRPr="002C3D97">
                    <w:rPr>
                      <w:b/>
                    </w:rPr>
                    <w:t>115.6</w:t>
                  </w:r>
                </w:p>
              </w:tc>
              <w:tc>
                <w:tcPr>
                  <w:tcW w:w="468" w:type="pct"/>
                  <w:vAlign w:val="bottom"/>
                </w:tcPr>
                <w:p w:rsidR="00AC2131" w:rsidRPr="002C3D97" w:rsidRDefault="00AC2131" w:rsidP="00AC2131">
                  <w:pPr>
                    <w:pStyle w:val="TableBodyText"/>
                    <w:spacing w:before="80"/>
                    <w:ind w:left="0" w:right="57"/>
                    <w:rPr>
                      <w:b/>
                    </w:rPr>
                  </w:pPr>
                  <w:r w:rsidRPr="002C3D97">
                    <w:rPr>
                      <w:b/>
                    </w:rPr>
                    <w:t>171.4</w:t>
                  </w:r>
                </w:p>
              </w:tc>
              <w:tc>
                <w:tcPr>
                  <w:tcW w:w="468" w:type="pct"/>
                  <w:vAlign w:val="bottom"/>
                </w:tcPr>
                <w:p w:rsidR="00AC2131" w:rsidRPr="002C3D97" w:rsidRDefault="00AC2131" w:rsidP="00AC2131">
                  <w:pPr>
                    <w:pStyle w:val="TableBodyText"/>
                    <w:spacing w:before="80"/>
                    <w:ind w:left="0" w:right="57"/>
                    <w:rPr>
                      <w:b/>
                    </w:rPr>
                  </w:pPr>
                  <w:r w:rsidRPr="002C3D97">
                    <w:rPr>
                      <w:b/>
                    </w:rPr>
                    <w:t>186.3</w:t>
                  </w:r>
                </w:p>
              </w:tc>
              <w:tc>
                <w:tcPr>
                  <w:tcW w:w="468" w:type="pct"/>
                  <w:shd w:val="clear" w:color="auto" w:fill="auto"/>
                  <w:vAlign w:val="bottom"/>
                </w:tcPr>
                <w:p w:rsidR="00AC2131" w:rsidRPr="002C3D97" w:rsidRDefault="00AC2131" w:rsidP="00AC2131">
                  <w:pPr>
                    <w:pStyle w:val="TableBodyText"/>
                    <w:spacing w:before="80"/>
                    <w:ind w:left="0" w:right="57"/>
                    <w:rPr>
                      <w:b/>
                    </w:rPr>
                  </w:pPr>
                  <w:r w:rsidRPr="002C3D97">
                    <w:rPr>
                      <w:b/>
                    </w:rPr>
                    <w:t>398.1</w:t>
                  </w:r>
                </w:p>
              </w:tc>
              <w:tc>
                <w:tcPr>
                  <w:tcW w:w="468" w:type="pct"/>
                  <w:shd w:val="clear" w:color="auto" w:fill="auto"/>
                  <w:vAlign w:val="bottom"/>
                </w:tcPr>
                <w:p w:rsidR="00AC2131" w:rsidRPr="002C3D97" w:rsidRDefault="00AC2131" w:rsidP="00AC2131">
                  <w:pPr>
                    <w:pStyle w:val="TableBodyText"/>
                    <w:spacing w:before="80"/>
                    <w:ind w:left="0" w:right="57"/>
                    <w:rPr>
                      <w:b/>
                    </w:rPr>
                  </w:pPr>
                  <w:r w:rsidRPr="002C3D97">
                    <w:rPr>
                      <w:b/>
                    </w:rPr>
                    <w:t>171.0</w:t>
                  </w:r>
                </w:p>
              </w:tc>
              <w:tc>
                <w:tcPr>
                  <w:tcW w:w="465" w:type="pct"/>
                  <w:shd w:val="clear" w:color="auto" w:fill="auto"/>
                  <w:vAlign w:val="bottom"/>
                </w:tcPr>
                <w:p w:rsidR="00AC2131" w:rsidRPr="002C3D97" w:rsidRDefault="00AC2131" w:rsidP="00AC2131">
                  <w:pPr>
                    <w:pStyle w:val="TableBodyText"/>
                    <w:spacing w:before="80"/>
                    <w:ind w:left="0" w:right="57"/>
                    <w:rPr>
                      <w:b/>
                    </w:rPr>
                  </w:pPr>
                  <w:r w:rsidRPr="002C3D97">
                    <w:rPr>
                      <w:b/>
                    </w:rPr>
                    <w:t>265.8</w:t>
                  </w:r>
                </w:p>
              </w:tc>
            </w:tr>
            <w:tr w:rsidR="00AC2131" w:rsidTr="00AC2131">
              <w:tc>
                <w:tcPr>
                  <w:tcW w:w="2197" w:type="pct"/>
                  <w:vAlign w:val="bottom"/>
                </w:tcPr>
                <w:p w:rsidR="00AC2131" w:rsidRPr="002207C9" w:rsidRDefault="00AC2131" w:rsidP="00AC2131">
                  <w:pPr>
                    <w:spacing w:before="80" w:after="40"/>
                    <w:rPr>
                      <w:rFonts w:ascii="Arial" w:hAnsi="Arial" w:cs="Arial"/>
                      <w:b/>
                      <w:color w:val="000000"/>
                      <w:sz w:val="18"/>
                      <w:szCs w:val="18"/>
                    </w:rPr>
                  </w:pPr>
                  <w:r w:rsidRPr="002207C9">
                    <w:rPr>
                      <w:rFonts w:ascii="Arial" w:hAnsi="Arial" w:cs="Arial"/>
                      <w:b/>
                      <w:color w:val="000000"/>
                      <w:sz w:val="18"/>
                      <w:szCs w:val="18"/>
                    </w:rPr>
                    <w:t>Total tax concessions</w:t>
                  </w:r>
                </w:p>
              </w:tc>
              <w:tc>
                <w:tcPr>
                  <w:tcW w:w="466" w:type="pct"/>
                  <w:vAlign w:val="bottom"/>
                </w:tcPr>
                <w:p w:rsidR="00AC2131" w:rsidRPr="002C3D97" w:rsidRDefault="00AC2131" w:rsidP="00AC2131">
                  <w:pPr>
                    <w:pStyle w:val="TableBodyText"/>
                    <w:spacing w:before="80"/>
                    <w:ind w:left="0" w:right="57"/>
                    <w:rPr>
                      <w:b/>
                    </w:rPr>
                  </w:pPr>
                  <w:r w:rsidRPr="002C3D97">
                    <w:rPr>
                      <w:b/>
                    </w:rPr>
                    <w:t>325.4</w:t>
                  </w:r>
                </w:p>
              </w:tc>
              <w:tc>
                <w:tcPr>
                  <w:tcW w:w="468" w:type="pct"/>
                  <w:vAlign w:val="bottom"/>
                </w:tcPr>
                <w:p w:rsidR="00AC2131" w:rsidRPr="002C3D97" w:rsidRDefault="00AC2131" w:rsidP="00AC2131">
                  <w:pPr>
                    <w:pStyle w:val="TableBodyText"/>
                    <w:spacing w:before="80"/>
                    <w:ind w:left="0" w:right="57"/>
                    <w:rPr>
                      <w:b/>
                    </w:rPr>
                  </w:pPr>
                  <w:r w:rsidRPr="002C3D97">
                    <w:rPr>
                      <w:b/>
                    </w:rPr>
                    <w:t>475.8</w:t>
                  </w:r>
                </w:p>
              </w:tc>
              <w:tc>
                <w:tcPr>
                  <w:tcW w:w="468" w:type="pct"/>
                  <w:vAlign w:val="bottom"/>
                </w:tcPr>
                <w:p w:rsidR="00AC2131" w:rsidRPr="002C3D97" w:rsidRDefault="00AC2131" w:rsidP="00AC2131">
                  <w:pPr>
                    <w:pStyle w:val="TableBodyText"/>
                    <w:spacing w:before="80"/>
                    <w:ind w:left="0" w:right="57"/>
                    <w:rPr>
                      <w:b/>
                    </w:rPr>
                  </w:pPr>
                  <w:r w:rsidRPr="002C3D97">
                    <w:rPr>
                      <w:b/>
                    </w:rPr>
                    <w:t>970.2</w:t>
                  </w:r>
                </w:p>
              </w:tc>
              <w:tc>
                <w:tcPr>
                  <w:tcW w:w="468" w:type="pct"/>
                  <w:shd w:val="clear" w:color="auto" w:fill="auto"/>
                  <w:vAlign w:val="bottom"/>
                </w:tcPr>
                <w:p w:rsidR="00AC2131" w:rsidRPr="002C3D97" w:rsidRDefault="00AC2131" w:rsidP="00AC2131">
                  <w:pPr>
                    <w:pStyle w:val="TableBodyText"/>
                    <w:spacing w:before="80"/>
                    <w:ind w:left="0" w:right="57"/>
                    <w:rPr>
                      <w:b/>
                    </w:rPr>
                  </w:pPr>
                  <w:r w:rsidRPr="002C3D97">
                    <w:rPr>
                      <w:b/>
                    </w:rPr>
                    <w:t>347.5</w:t>
                  </w:r>
                </w:p>
              </w:tc>
              <w:tc>
                <w:tcPr>
                  <w:tcW w:w="468" w:type="pct"/>
                  <w:shd w:val="clear" w:color="auto" w:fill="auto"/>
                  <w:vAlign w:val="bottom"/>
                </w:tcPr>
                <w:p w:rsidR="00AC2131" w:rsidRPr="002C3D97" w:rsidRDefault="00AC2131" w:rsidP="00AC2131">
                  <w:pPr>
                    <w:pStyle w:val="TableBodyText"/>
                    <w:spacing w:before="80"/>
                    <w:ind w:left="0" w:right="57"/>
                    <w:rPr>
                      <w:b/>
                    </w:rPr>
                  </w:pPr>
                  <w:r w:rsidRPr="002C3D97">
                    <w:rPr>
                      <w:b/>
                    </w:rPr>
                    <w:t>321.2</w:t>
                  </w:r>
                </w:p>
              </w:tc>
              <w:tc>
                <w:tcPr>
                  <w:tcW w:w="465" w:type="pct"/>
                  <w:shd w:val="clear" w:color="auto" w:fill="auto"/>
                  <w:vAlign w:val="bottom"/>
                </w:tcPr>
                <w:p w:rsidR="00AC2131" w:rsidRPr="002C3D97" w:rsidRDefault="00AC2131" w:rsidP="00AC2131">
                  <w:pPr>
                    <w:pStyle w:val="TableBodyText"/>
                    <w:spacing w:before="80"/>
                    <w:ind w:left="0" w:right="57"/>
                    <w:rPr>
                      <w:b/>
                    </w:rPr>
                  </w:pPr>
                  <w:r w:rsidRPr="002C3D97">
                    <w:rPr>
                      <w:b/>
                    </w:rPr>
                    <w:t>254.9</w:t>
                  </w:r>
                </w:p>
              </w:tc>
            </w:tr>
            <w:tr w:rsidR="00AC2131" w:rsidTr="00AC2131">
              <w:tc>
                <w:tcPr>
                  <w:tcW w:w="2197" w:type="pct"/>
                  <w:tcBorders>
                    <w:bottom w:val="single" w:sz="6" w:space="0" w:color="BFBFBF"/>
                  </w:tcBorders>
                  <w:vAlign w:val="bottom"/>
                </w:tcPr>
                <w:p w:rsidR="00AC2131" w:rsidRPr="002207C9" w:rsidRDefault="00AC2131" w:rsidP="00AC2131">
                  <w:pPr>
                    <w:spacing w:before="80" w:after="40"/>
                    <w:rPr>
                      <w:rFonts w:ascii="Arial" w:hAnsi="Arial" w:cs="Arial"/>
                      <w:b/>
                      <w:color w:val="000000"/>
                      <w:sz w:val="18"/>
                      <w:szCs w:val="18"/>
                    </w:rPr>
                  </w:pPr>
                  <w:r w:rsidRPr="002207C9">
                    <w:rPr>
                      <w:rFonts w:ascii="Arial" w:hAnsi="Arial" w:cs="Arial"/>
                      <w:b/>
                      <w:color w:val="000000"/>
                      <w:sz w:val="18"/>
                      <w:szCs w:val="18"/>
                    </w:rPr>
                    <w:t>Total budgetary assistance</w:t>
                  </w:r>
                </w:p>
              </w:tc>
              <w:tc>
                <w:tcPr>
                  <w:tcW w:w="466" w:type="pct"/>
                  <w:tcBorders>
                    <w:bottom w:val="single" w:sz="6" w:space="0" w:color="BFBFBF"/>
                  </w:tcBorders>
                  <w:vAlign w:val="bottom"/>
                </w:tcPr>
                <w:p w:rsidR="00AC2131" w:rsidRPr="002C3D97" w:rsidRDefault="00AC2131" w:rsidP="00AC2131">
                  <w:pPr>
                    <w:spacing w:before="80" w:after="40"/>
                    <w:ind w:right="57"/>
                    <w:jc w:val="right"/>
                    <w:rPr>
                      <w:rFonts w:ascii="Arial" w:hAnsi="Arial" w:cs="Arial"/>
                      <w:b/>
                      <w:bCs/>
                      <w:sz w:val="18"/>
                      <w:szCs w:val="18"/>
                    </w:rPr>
                  </w:pPr>
                  <w:r w:rsidRPr="002C3D97">
                    <w:rPr>
                      <w:rFonts w:ascii="Arial" w:hAnsi="Arial" w:cs="Arial"/>
                      <w:b/>
                      <w:bCs/>
                      <w:sz w:val="18"/>
                      <w:szCs w:val="18"/>
                    </w:rPr>
                    <w:t>441.0</w:t>
                  </w:r>
                </w:p>
              </w:tc>
              <w:tc>
                <w:tcPr>
                  <w:tcW w:w="468" w:type="pct"/>
                  <w:tcBorders>
                    <w:bottom w:val="single" w:sz="6" w:space="0" w:color="BFBFBF"/>
                  </w:tcBorders>
                  <w:vAlign w:val="bottom"/>
                </w:tcPr>
                <w:p w:rsidR="00AC2131" w:rsidRPr="002C3D97" w:rsidRDefault="00AC2131" w:rsidP="00AC2131">
                  <w:pPr>
                    <w:spacing w:before="80" w:after="40"/>
                    <w:ind w:right="57"/>
                    <w:jc w:val="right"/>
                    <w:rPr>
                      <w:rFonts w:ascii="Arial" w:hAnsi="Arial" w:cs="Arial"/>
                      <w:b/>
                      <w:bCs/>
                      <w:sz w:val="18"/>
                      <w:szCs w:val="18"/>
                    </w:rPr>
                  </w:pPr>
                  <w:r w:rsidRPr="002C3D97">
                    <w:rPr>
                      <w:rFonts w:ascii="Arial" w:hAnsi="Arial" w:cs="Arial"/>
                      <w:b/>
                      <w:bCs/>
                      <w:sz w:val="18"/>
                      <w:szCs w:val="18"/>
                    </w:rPr>
                    <w:t>647.2</w:t>
                  </w:r>
                </w:p>
              </w:tc>
              <w:tc>
                <w:tcPr>
                  <w:tcW w:w="468" w:type="pct"/>
                  <w:tcBorders>
                    <w:bottom w:val="single" w:sz="6" w:space="0" w:color="BFBFBF"/>
                  </w:tcBorders>
                  <w:vAlign w:val="bottom"/>
                </w:tcPr>
                <w:p w:rsidR="00AC2131" w:rsidRPr="002C3D97" w:rsidRDefault="00AC2131" w:rsidP="00AC2131">
                  <w:pPr>
                    <w:spacing w:before="80" w:after="40"/>
                    <w:ind w:right="57"/>
                    <w:jc w:val="right"/>
                    <w:rPr>
                      <w:rFonts w:ascii="Arial" w:hAnsi="Arial" w:cs="Arial"/>
                      <w:b/>
                      <w:bCs/>
                      <w:sz w:val="18"/>
                      <w:szCs w:val="18"/>
                    </w:rPr>
                  </w:pPr>
                  <w:r w:rsidRPr="002C3D97">
                    <w:rPr>
                      <w:rFonts w:ascii="Arial" w:hAnsi="Arial" w:cs="Arial"/>
                      <w:b/>
                      <w:bCs/>
                      <w:sz w:val="18"/>
                      <w:szCs w:val="18"/>
                    </w:rPr>
                    <w:t>1156.5</w:t>
                  </w:r>
                </w:p>
              </w:tc>
              <w:tc>
                <w:tcPr>
                  <w:tcW w:w="468" w:type="pct"/>
                  <w:tcBorders>
                    <w:bottom w:val="single" w:sz="6" w:space="0" w:color="BFBFBF"/>
                  </w:tcBorders>
                  <w:shd w:val="clear" w:color="auto" w:fill="auto"/>
                  <w:vAlign w:val="bottom"/>
                </w:tcPr>
                <w:p w:rsidR="00AC2131" w:rsidRPr="002C3D97" w:rsidRDefault="00AC2131" w:rsidP="00AC2131">
                  <w:pPr>
                    <w:spacing w:before="80" w:after="40"/>
                    <w:ind w:right="57"/>
                    <w:jc w:val="right"/>
                    <w:rPr>
                      <w:rFonts w:ascii="Arial" w:hAnsi="Arial" w:cs="Arial"/>
                      <w:b/>
                      <w:bCs/>
                      <w:sz w:val="18"/>
                      <w:szCs w:val="18"/>
                    </w:rPr>
                  </w:pPr>
                  <w:r w:rsidRPr="002C3D97">
                    <w:rPr>
                      <w:rFonts w:ascii="Arial" w:hAnsi="Arial" w:cs="Arial"/>
                      <w:b/>
                      <w:bCs/>
                      <w:sz w:val="18"/>
                      <w:szCs w:val="18"/>
                    </w:rPr>
                    <w:t>745.6</w:t>
                  </w:r>
                </w:p>
              </w:tc>
              <w:tc>
                <w:tcPr>
                  <w:tcW w:w="468" w:type="pct"/>
                  <w:tcBorders>
                    <w:bottom w:val="single" w:sz="6" w:space="0" w:color="BFBFBF"/>
                  </w:tcBorders>
                  <w:shd w:val="clear" w:color="auto" w:fill="auto"/>
                  <w:vAlign w:val="bottom"/>
                </w:tcPr>
                <w:p w:rsidR="00AC2131" w:rsidRPr="002C3D97" w:rsidRDefault="00AC2131" w:rsidP="00AC2131">
                  <w:pPr>
                    <w:spacing w:before="80" w:after="40"/>
                    <w:ind w:right="57"/>
                    <w:jc w:val="right"/>
                    <w:rPr>
                      <w:rFonts w:ascii="Arial" w:hAnsi="Arial" w:cs="Arial"/>
                      <w:b/>
                      <w:bCs/>
                      <w:sz w:val="18"/>
                      <w:szCs w:val="18"/>
                    </w:rPr>
                  </w:pPr>
                  <w:r w:rsidRPr="002C3D97">
                    <w:rPr>
                      <w:rFonts w:ascii="Arial" w:hAnsi="Arial" w:cs="Arial"/>
                      <w:b/>
                      <w:bCs/>
                      <w:sz w:val="18"/>
                      <w:szCs w:val="18"/>
                    </w:rPr>
                    <w:t>492.2</w:t>
                  </w:r>
                </w:p>
              </w:tc>
              <w:tc>
                <w:tcPr>
                  <w:tcW w:w="465" w:type="pct"/>
                  <w:tcBorders>
                    <w:bottom w:val="single" w:sz="6" w:space="0" w:color="BFBFBF"/>
                  </w:tcBorders>
                  <w:shd w:val="clear" w:color="auto" w:fill="auto"/>
                  <w:vAlign w:val="bottom"/>
                </w:tcPr>
                <w:p w:rsidR="00AC2131" w:rsidRPr="002C3D97" w:rsidRDefault="00AC2131" w:rsidP="00AC2131">
                  <w:pPr>
                    <w:spacing w:before="80" w:after="40"/>
                    <w:ind w:right="57"/>
                    <w:jc w:val="right"/>
                    <w:rPr>
                      <w:rFonts w:ascii="Arial" w:hAnsi="Arial" w:cs="Arial"/>
                      <w:b/>
                      <w:bCs/>
                      <w:sz w:val="18"/>
                      <w:szCs w:val="18"/>
                    </w:rPr>
                  </w:pPr>
                  <w:r w:rsidRPr="002C3D97">
                    <w:rPr>
                      <w:rFonts w:ascii="Arial" w:hAnsi="Arial" w:cs="Arial"/>
                      <w:b/>
                      <w:bCs/>
                      <w:sz w:val="18"/>
                      <w:szCs w:val="18"/>
                    </w:rPr>
                    <w:t>520.7</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Note"/>
              <w:rPr>
                <w:i/>
              </w:rPr>
            </w:pPr>
            <w:r w:rsidRPr="00DF5738">
              <w:t xml:space="preserve">– Nil. Figures may not add to totals due to rounding. </w:t>
            </w:r>
            <w:r w:rsidRPr="008E77FE">
              <w:rPr>
                <w:rStyle w:val="NoteLabel"/>
              </w:rPr>
              <w:t>a</w:t>
            </w:r>
            <w:r>
              <w:t> </w:t>
            </w:r>
            <w:r w:rsidRPr="00DF5738">
              <w:t>The estimates are derived primarily from Australian Government departmental annual reports and Treasury’s Tax Expenditure Statements and unpublished information provided by relevant agencies.</w:t>
            </w: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Pr="00E21118" w:rsidRDefault="00AC2131" w:rsidP="00AC2131">
      <w:pPr>
        <w:rPr>
          <w:szCs w:val="20"/>
        </w:rPr>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A.12</w:t>
            </w:r>
            <w:r>
              <w:tab/>
              <w:t>Australian Government budgetary assistance to manufacturing, 2008-09 to 2013-14</w:t>
            </w:r>
            <w:r w:rsidRPr="006B64DF">
              <w:rPr>
                <w:rStyle w:val="NoteLabel"/>
                <w:b/>
              </w:rPr>
              <w:t>a</w:t>
            </w:r>
          </w:p>
          <w:p w:rsidR="00AC2131" w:rsidRPr="00784A05" w:rsidRDefault="00AC2131" w:rsidP="00AC2131">
            <w:pPr>
              <w:pStyle w:val="Subtitle"/>
            </w:pPr>
            <w:r>
              <w:t>$ million (nominal)</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795"/>
              <w:gridCol w:w="794"/>
              <w:gridCol w:w="794"/>
              <w:gridCol w:w="794"/>
              <w:gridCol w:w="794"/>
              <w:gridCol w:w="791"/>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E4189F" w:rsidRDefault="00AC2131" w:rsidP="00AC2131">
                  <w:pPr>
                    <w:pStyle w:val="TableUnitsRow"/>
                    <w:jc w:val="left"/>
                    <w:rPr>
                      <w:b/>
                    </w:rPr>
                  </w:pPr>
                  <w:r w:rsidRPr="00E4189F">
                    <w:rPr>
                      <w:b/>
                    </w:rPr>
                    <w:t>Food, beverages and tobacco</w:t>
                  </w:r>
                </w:p>
              </w:tc>
              <w:tc>
                <w:tcPr>
                  <w:tcW w:w="467" w:type="pct"/>
                  <w:tcBorders>
                    <w:top w:val="single" w:sz="6" w:space="0" w:color="BFBFBF"/>
                  </w:tcBorders>
                </w:tcPr>
                <w:p w:rsidR="00AC2131" w:rsidRDefault="00AC2131" w:rsidP="00AC2131">
                  <w:pPr>
                    <w:pStyle w:val="TableUnitsRow"/>
                  </w:pPr>
                </w:p>
              </w:tc>
              <w:tc>
                <w:tcPr>
                  <w:tcW w:w="467" w:type="pct"/>
                  <w:tcBorders>
                    <w:top w:val="single" w:sz="6" w:space="0" w:color="BFBFBF"/>
                  </w:tcBorders>
                </w:tcPr>
                <w:p w:rsidR="00AC2131" w:rsidRDefault="00AC2131" w:rsidP="00AC2131">
                  <w:pPr>
                    <w:pStyle w:val="TableUnitsRow"/>
                  </w:pPr>
                </w:p>
              </w:tc>
              <w:tc>
                <w:tcPr>
                  <w:tcW w:w="467" w:type="pct"/>
                  <w:tcBorders>
                    <w:top w:val="single" w:sz="6" w:space="0" w:color="BFBFBF"/>
                  </w:tcBorders>
                </w:tcPr>
                <w:p w:rsidR="00AC2131" w:rsidRDefault="00AC2131" w:rsidP="00AC2131">
                  <w:pPr>
                    <w:pStyle w:val="TableUnitsRow"/>
                  </w:pPr>
                </w:p>
              </w:tc>
              <w:tc>
                <w:tcPr>
                  <w:tcW w:w="467" w:type="pct"/>
                  <w:tcBorders>
                    <w:top w:val="single" w:sz="6" w:space="0" w:color="BFBFBF"/>
                  </w:tcBorders>
                </w:tcPr>
                <w:p w:rsidR="00AC2131" w:rsidRDefault="00AC2131" w:rsidP="00AC2131">
                  <w:pPr>
                    <w:pStyle w:val="TableUnitsRow"/>
                  </w:pPr>
                </w:p>
              </w:tc>
              <w:tc>
                <w:tcPr>
                  <w:tcW w:w="467" w:type="pct"/>
                  <w:tcBorders>
                    <w:top w:val="single" w:sz="6" w:space="0" w:color="BFBFBF"/>
                  </w:tcBorders>
                </w:tcPr>
                <w:p w:rsidR="00AC2131" w:rsidRDefault="00AC2131" w:rsidP="00AC2131">
                  <w:pPr>
                    <w:pStyle w:val="TableUnitsRow"/>
                  </w:pPr>
                </w:p>
              </w:tc>
              <w:tc>
                <w:tcPr>
                  <w:tcW w:w="465" w:type="pct"/>
                  <w:tcBorders>
                    <w:top w:val="single" w:sz="6" w:space="0" w:color="BFBFBF"/>
                  </w:tcBorders>
                </w:tcPr>
                <w:p w:rsidR="00AC2131" w:rsidRDefault="00AC2131" w:rsidP="00AC2131">
                  <w:pPr>
                    <w:pStyle w:val="TableUnitsRow"/>
                    <w:ind w:right="28"/>
                  </w:pPr>
                </w:p>
              </w:tc>
            </w:tr>
            <w:tr w:rsidR="00AC2131" w:rsidTr="00AC2131">
              <w:tc>
                <w:tcPr>
                  <w:tcW w:w="2200" w:type="pct"/>
                  <w:vAlign w:val="bottom"/>
                </w:tcPr>
                <w:p w:rsidR="00AC2131" w:rsidRPr="0096460E" w:rsidRDefault="00AC2131" w:rsidP="00AC2131">
                  <w:pPr>
                    <w:spacing w:before="40"/>
                    <w:ind w:left="113"/>
                    <w:rPr>
                      <w:rFonts w:ascii="Arial" w:hAnsi="Arial" w:cs="Arial"/>
                      <w:i/>
                      <w:color w:val="000000"/>
                      <w:sz w:val="18"/>
                      <w:szCs w:val="18"/>
                    </w:rPr>
                  </w:pPr>
                  <w:r w:rsidRPr="0096460E">
                    <w:rPr>
                      <w:rFonts w:ascii="Arial" w:hAnsi="Arial" w:cs="Arial"/>
                      <w:i/>
                      <w:color w:val="000000"/>
                      <w:sz w:val="18"/>
                      <w:szCs w:val="18"/>
                    </w:rPr>
                    <w:t>Industry-specific measures</w:t>
                  </w: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5" w:type="pct"/>
                  <w:vAlign w:val="bottom"/>
                </w:tcPr>
                <w:p w:rsidR="00AC2131" w:rsidRDefault="00AC2131" w:rsidP="00AC2131">
                  <w:pPr>
                    <w:spacing w:before="40"/>
                    <w:ind w:left="113"/>
                    <w:jc w:val="right"/>
                    <w:rPr>
                      <w:rFonts w:ascii="Arial" w:hAnsi="Arial" w:cs="Arial"/>
                      <w:sz w:val="18"/>
                      <w:szCs w:val="18"/>
                    </w:rPr>
                  </w:pPr>
                </w:p>
              </w:tc>
            </w:tr>
            <w:tr w:rsidR="00AC2131" w:rsidTr="00AC2131">
              <w:tc>
                <w:tcPr>
                  <w:tcW w:w="2200" w:type="pct"/>
                  <w:vAlign w:val="bottom"/>
                </w:tcPr>
                <w:p w:rsidR="00AC2131" w:rsidRPr="00E4189F" w:rsidRDefault="00AC2131" w:rsidP="00AC2131">
                  <w:pPr>
                    <w:ind w:left="227"/>
                    <w:rPr>
                      <w:rFonts w:ascii="Arial" w:hAnsi="Arial" w:cs="Arial"/>
                      <w:color w:val="000000"/>
                      <w:sz w:val="18"/>
                      <w:szCs w:val="18"/>
                    </w:rPr>
                  </w:pPr>
                  <w:r w:rsidRPr="00E4189F">
                    <w:rPr>
                      <w:rFonts w:ascii="Arial" w:hAnsi="Arial" w:cs="Arial"/>
                      <w:color w:val="000000"/>
                      <w:sz w:val="18"/>
                      <w:szCs w:val="18"/>
                    </w:rPr>
                    <w:t>Assistance for upgrade of Simplot Processing Plant (Tasmania)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w:t>
                  </w:r>
                </w:p>
              </w:tc>
              <w:tc>
                <w:tcPr>
                  <w:tcW w:w="465" w:type="pct"/>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E4189F" w:rsidRDefault="00AC2131" w:rsidP="00AC2131">
                  <w:pPr>
                    <w:ind w:left="227"/>
                    <w:rPr>
                      <w:rFonts w:ascii="Arial" w:hAnsi="Arial" w:cs="Arial"/>
                      <w:color w:val="000000"/>
                      <w:sz w:val="18"/>
                      <w:szCs w:val="18"/>
                    </w:rPr>
                  </w:pPr>
                  <w:r w:rsidRPr="00E4189F">
                    <w:rPr>
                      <w:rFonts w:ascii="Arial" w:hAnsi="Arial" w:cs="Arial"/>
                      <w:color w:val="000000"/>
                      <w:sz w:val="18"/>
                      <w:szCs w:val="18"/>
                    </w:rPr>
                    <w:t xml:space="preserve">Australian Wine Industry </w:t>
                  </w:r>
                  <w:r>
                    <w:rPr>
                      <w:rFonts w:ascii="Arial" w:hAnsi="Arial" w:cs="Arial"/>
                      <w:color w:val="000000"/>
                      <w:sz w:val="18"/>
                      <w:szCs w:val="18"/>
                    </w:rPr>
                    <w:t>–</w:t>
                  </w:r>
                  <w:r w:rsidRPr="00E4189F">
                    <w:rPr>
                      <w:rFonts w:ascii="Arial" w:hAnsi="Arial" w:cs="Arial"/>
                      <w:color w:val="000000"/>
                      <w:sz w:val="18"/>
                      <w:szCs w:val="18"/>
                    </w:rPr>
                    <w:t xml:space="preserve"> Support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0.5</w:t>
                  </w:r>
                </w:p>
              </w:tc>
              <w:tc>
                <w:tcPr>
                  <w:tcW w:w="465" w:type="pct"/>
                  <w:shd w:val="clear" w:color="auto" w:fill="auto"/>
                  <w:vAlign w:val="bottom"/>
                </w:tcPr>
                <w:p w:rsidR="00AC2131" w:rsidRDefault="00AC2131" w:rsidP="00AC2131">
                  <w:pPr>
                    <w:pStyle w:val="TableBodyText"/>
                    <w:spacing w:after="0"/>
                    <w:ind w:left="0" w:right="57"/>
                  </w:pPr>
                  <w:r>
                    <w:t>0.5</w:t>
                  </w:r>
                </w:p>
              </w:tc>
            </w:tr>
            <w:tr w:rsidR="00AC2131" w:rsidTr="00AC2131">
              <w:tc>
                <w:tcPr>
                  <w:tcW w:w="2200" w:type="pct"/>
                  <w:shd w:val="clear" w:color="auto" w:fill="auto"/>
                  <w:vAlign w:val="bottom"/>
                </w:tcPr>
                <w:p w:rsidR="00AC2131" w:rsidRPr="00E4189F" w:rsidRDefault="00AC2131" w:rsidP="00AC2131">
                  <w:pPr>
                    <w:ind w:left="227"/>
                    <w:rPr>
                      <w:rFonts w:ascii="Arial" w:hAnsi="Arial" w:cs="Arial"/>
                      <w:color w:val="000000"/>
                      <w:sz w:val="18"/>
                      <w:szCs w:val="18"/>
                    </w:rPr>
                  </w:pPr>
                  <w:r w:rsidRPr="00E4189F">
                    <w:rPr>
                      <w:rFonts w:ascii="Arial" w:hAnsi="Arial" w:cs="Arial"/>
                      <w:color w:val="000000"/>
                      <w:sz w:val="18"/>
                      <w:szCs w:val="18"/>
                    </w:rPr>
                    <w:t>Brandy preferential excise rate</w:t>
                  </w:r>
                </w:p>
              </w:tc>
              <w:tc>
                <w:tcPr>
                  <w:tcW w:w="467" w:type="pct"/>
                  <w:vAlign w:val="bottom"/>
                </w:tcPr>
                <w:p w:rsidR="00AC2131" w:rsidRDefault="00AC2131" w:rsidP="00AC2131">
                  <w:pPr>
                    <w:pStyle w:val="TableBodyText"/>
                    <w:spacing w:after="0"/>
                    <w:ind w:left="0" w:right="57"/>
                  </w:pPr>
                  <w:r>
                    <w:t>5.0</w:t>
                  </w:r>
                </w:p>
              </w:tc>
              <w:tc>
                <w:tcPr>
                  <w:tcW w:w="467" w:type="pct"/>
                  <w:vAlign w:val="bottom"/>
                </w:tcPr>
                <w:p w:rsidR="00AC2131" w:rsidRDefault="00AC2131" w:rsidP="00AC2131">
                  <w:pPr>
                    <w:pStyle w:val="TableBodyText"/>
                    <w:spacing w:after="0"/>
                    <w:ind w:left="0" w:right="57"/>
                  </w:pPr>
                  <w:r>
                    <w:t>4.0</w:t>
                  </w:r>
                </w:p>
              </w:tc>
              <w:tc>
                <w:tcPr>
                  <w:tcW w:w="467" w:type="pct"/>
                  <w:vAlign w:val="bottom"/>
                </w:tcPr>
                <w:p w:rsidR="00AC2131" w:rsidRDefault="00AC2131" w:rsidP="00AC2131">
                  <w:pPr>
                    <w:pStyle w:val="TableBodyText"/>
                    <w:spacing w:after="0"/>
                    <w:ind w:left="0" w:right="57"/>
                  </w:pPr>
                  <w:r>
                    <w:t>4.0</w:t>
                  </w:r>
                </w:p>
              </w:tc>
              <w:tc>
                <w:tcPr>
                  <w:tcW w:w="467" w:type="pct"/>
                  <w:vAlign w:val="bottom"/>
                </w:tcPr>
                <w:p w:rsidR="00AC2131" w:rsidRDefault="00AC2131" w:rsidP="00AC2131">
                  <w:pPr>
                    <w:pStyle w:val="TableBodyText"/>
                    <w:spacing w:after="0"/>
                    <w:ind w:left="0" w:right="57"/>
                  </w:pPr>
                  <w:r>
                    <w:t>4.0</w:t>
                  </w:r>
                </w:p>
              </w:tc>
              <w:tc>
                <w:tcPr>
                  <w:tcW w:w="467" w:type="pct"/>
                  <w:shd w:val="clear" w:color="auto" w:fill="auto"/>
                  <w:vAlign w:val="bottom"/>
                </w:tcPr>
                <w:p w:rsidR="00AC2131" w:rsidRDefault="00AC2131" w:rsidP="00AC2131">
                  <w:pPr>
                    <w:pStyle w:val="TableBodyText"/>
                    <w:spacing w:after="0"/>
                    <w:ind w:left="0" w:right="57"/>
                  </w:pPr>
                  <w:r>
                    <w:t>4.0</w:t>
                  </w:r>
                </w:p>
              </w:tc>
              <w:tc>
                <w:tcPr>
                  <w:tcW w:w="465" w:type="pct"/>
                  <w:shd w:val="clear" w:color="auto" w:fill="auto"/>
                  <w:vAlign w:val="bottom"/>
                </w:tcPr>
                <w:p w:rsidR="00AC2131" w:rsidRDefault="00AC2131" w:rsidP="00AC2131">
                  <w:pPr>
                    <w:pStyle w:val="TableBodyText"/>
                    <w:spacing w:after="0"/>
                    <w:ind w:left="0" w:right="57"/>
                  </w:pPr>
                  <w:r>
                    <w:t>4.0</w:t>
                  </w:r>
                </w:p>
              </w:tc>
            </w:tr>
            <w:tr w:rsidR="00AC2131" w:rsidTr="00AC2131">
              <w:tc>
                <w:tcPr>
                  <w:tcW w:w="2200" w:type="pct"/>
                  <w:shd w:val="clear" w:color="auto" w:fill="auto"/>
                  <w:vAlign w:val="bottom"/>
                </w:tcPr>
                <w:p w:rsidR="00AC2131" w:rsidRPr="00E4189F" w:rsidRDefault="00AC2131" w:rsidP="00AC2131">
                  <w:pPr>
                    <w:ind w:left="227"/>
                    <w:rPr>
                      <w:rFonts w:ascii="Arial" w:hAnsi="Arial" w:cs="Arial"/>
                      <w:color w:val="000000"/>
                      <w:sz w:val="18"/>
                      <w:szCs w:val="18"/>
                    </w:rPr>
                  </w:pPr>
                  <w:r w:rsidRPr="00E4189F">
                    <w:rPr>
                      <w:rFonts w:ascii="Arial" w:hAnsi="Arial" w:cs="Arial"/>
                      <w:color w:val="000000"/>
                      <w:sz w:val="18"/>
                      <w:szCs w:val="18"/>
                    </w:rPr>
                    <w:t xml:space="preserve">Clean Technology Investment </w:t>
                  </w:r>
                  <w:r>
                    <w:rPr>
                      <w:rFonts w:ascii="Arial" w:hAnsi="Arial" w:cs="Arial"/>
                      <w:color w:val="000000"/>
                      <w:sz w:val="18"/>
                      <w:szCs w:val="18"/>
                    </w:rPr>
                    <w:t>–</w:t>
                  </w:r>
                  <w:r w:rsidRPr="00E4189F">
                    <w:rPr>
                      <w:rFonts w:ascii="Arial" w:hAnsi="Arial" w:cs="Arial"/>
                      <w:color w:val="000000"/>
                      <w:sz w:val="18"/>
                      <w:szCs w:val="18"/>
                    </w:rPr>
                    <w:t xml:space="preserve"> Food and Foundries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1.2</w:t>
                  </w:r>
                </w:p>
              </w:tc>
              <w:tc>
                <w:tcPr>
                  <w:tcW w:w="467" w:type="pct"/>
                  <w:shd w:val="clear" w:color="auto" w:fill="auto"/>
                  <w:vAlign w:val="bottom"/>
                </w:tcPr>
                <w:p w:rsidR="00AC2131" w:rsidRDefault="00AC2131" w:rsidP="00AC2131">
                  <w:pPr>
                    <w:pStyle w:val="TableBodyText"/>
                    <w:spacing w:after="0"/>
                    <w:ind w:left="0" w:right="57"/>
                  </w:pPr>
                  <w:r>
                    <w:t>20.8</w:t>
                  </w:r>
                </w:p>
              </w:tc>
              <w:tc>
                <w:tcPr>
                  <w:tcW w:w="465" w:type="pct"/>
                  <w:shd w:val="clear" w:color="auto" w:fill="auto"/>
                  <w:vAlign w:val="bottom"/>
                </w:tcPr>
                <w:p w:rsidR="00AC2131" w:rsidRDefault="00AC2131" w:rsidP="00AC2131">
                  <w:pPr>
                    <w:pStyle w:val="TableBodyText"/>
                    <w:spacing w:after="0"/>
                    <w:ind w:left="0" w:right="57"/>
                  </w:pPr>
                  <w:r>
                    <w:t>61.1</w:t>
                  </w:r>
                </w:p>
              </w:tc>
            </w:tr>
            <w:tr w:rsidR="00AC2131" w:rsidTr="00AC2131">
              <w:tc>
                <w:tcPr>
                  <w:tcW w:w="2200" w:type="pct"/>
                  <w:shd w:val="clear" w:color="auto" w:fill="auto"/>
                  <w:vAlign w:val="bottom"/>
                </w:tcPr>
                <w:p w:rsidR="00AC2131" w:rsidRPr="00E4189F" w:rsidRDefault="00AC2131" w:rsidP="00AC2131">
                  <w:pPr>
                    <w:ind w:left="227"/>
                    <w:rPr>
                      <w:rFonts w:ascii="Arial" w:hAnsi="Arial" w:cs="Arial"/>
                      <w:color w:val="000000"/>
                      <w:sz w:val="18"/>
                      <w:szCs w:val="18"/>
                    </w:rPr>
                  </w:pPr>
                  <w:r w:rsidRPr="00E4189F">
                    <w:rPr>
                      <w:rFonts w:ascii="Arial" w:hAnsi="Arial" w:cs="Arial"/>
                      <w:color w:val="000000"/>
                      <w:sz w:val="18"/>
                      <w:szCs w:val="18"/>
                    </w:rPr>
                    <w:t>Regional Food Producers' Innovation and Productivity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3.0</w:t>
                  </w:r>
                </w:p>
              </w:tc>
              <w:tc>
                <w:tcPr>
                  <w:tcW w:w="467" w:type="pct"/>
                  <w:vAlign w:val="bottom"/>
                </w:tcPr>
                <w:p w:rsidR="00AC2131" w:rsidRDefault="00AC2131" w:rsidP="00AC2131">
                  <w:pPr>
                    <w:pStyle w:val="TableBodyText"/>
                    <w:spacing w:after="0"/>
                    <w:ind w:left="0" w:right="57"/>
                  </w:pPr>
                  <w:r>
                    <w:t>5.1</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E4189F" w:rsidRDefault="00AC2131" w:rsidP="00AC2131">
                  <w:pPr>
                    <w:ind w:left="227"/>
                    <w:rPr>
                      <w:rFonts w:ascii="Arial" w:hAnsi="Arial" w:cs="Arial"/>
                      <w:color w:val="000000"/>
                      <w:sz w:val="18"/>
                      <w:szCs w:val="18"/>
                    </w:rPr>
                  </w:pPr>
                  <w:r w:rsidRPr="00E4189F">
                    <w:rPr>
                      <w:rFonts w:ascii="Arial" w:hAnsi="Arial" w:cs="Arial"/>
                      <w:color w:val="000000"/>
                      <w:sz w:val="18"/>
                      <w:szCs w:val="18"/>
                    </w:rPr>
                    <w:t>Wine Australia Corporation</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2.7</w:t>
                  </w:r>
                </w:p>
              </w:tc>
              <w:tc>
                <w:tcPr>
                  <w:tcW w:w="467" w:type="pct"/>
                  <w:vAlign w:val="bottom"/>
                </w:tcPr>
                <w:p w:rsidR="00AC2131" w:rsidRDefault="00AC2131" w:rsidP="00AC2131">
                  <w:pPr>
                    <w:pStyle w:val="TableBodyText"/>
                    <w:spacing w:after="0"/>
                    <w:ind w:left="0" w:right="57"/>
                  </w:pPr>
                  <w:r>
                    <w:t>2.8</w:t>
                  </w:r>
                </w:p>
              </w:tc>
              <w:tc>
                <w:tcPr>
                  <w:tcW w:w="467" w:type="pct"/>
                  <w:shd w:val="clear" w:color="auto" w:fill="auto"/>
                  <w:vAlign w:val="bottom"/>
                </w:tcPr>
                <w:p w:rsidR="00AC2131" w:rsidRDefault="00AC2131" w:rsidP="00AC2131">
                  <w:pPr>
                    <w:pStyle w:val="TableBodyText"/>
                    <w:spacing w:after="0"/>
                    <w:ind w:left="0" w:right="57"/>
                  </w:pPr>
                  <w:r>
                    <w:t>2.7</w:t>
                  </w:r>
                </w:p>
              </w:tc>
              <w:tc>
                <w:tcPr>
                  <w:tcW w:w="465" w:type="pct"/>
                  <w:shd w:val="clear" w:color="auto" w:fill="auto"/>
                  <w:vAlign w:val="bottom"/>
                </w:tcPr>
                <w:p w:rsidR="00AC2131" w:rsidRDefault="00AC2131" w:rsidP="00AC2131">
                  <w:pPr>
                    <w:pStyle w:val="TableBodyText"/>
                    <w:spacing w:after="0"/>
                    <w:ind w:left="0" w:right="57"/>
                  </w:pPr>
                  <w:r>
                    <w:t>2.9</w:t>
                  </w:r>
                </w:p>
              </w:tc>
            </w:tr>
            <w:tr w:rsidR="00AC2131" w:rsidTr="00AC2131">
              <w:tc>
                <w:tcPr>
                  <w:tcW w:w="2200" w:type="pct"/>
                  <w:shd w:val="clear" w:color="auto" w:fill="auto"/>
                </w:tcPr>
                <w:p w:rsidR="00AC2131" w:rsidRPr="0096460E" w:rsidRDefault="00AC2131" w:rsidP="00AC2131">
                  <w:pPr>
                    <w:pStyle w:val="TableBodyText"/>
                    <w:spacing w:before="40" w:after="0"/>
                    <w:ind w:left="113"/>
                    <w:jc w:val="left"/>
                    <w:rPr>
                      <w:i/>
                    </w:rPr>
                  </w:pPr>
                  <w:r w:rsidRPr="0096460E">
                    <w:rPr>
                      <w:i/>
                    </w:rPr>
                    <w:t>Sector-specific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ind w:left="284" w:right="0"/>
                    <w:jc w:val="left"/>
                  </w:pPr>
                  <w:r w:rsidRPr="0096460E">
                    <w:t xml:space="preserve">Clean Technology Investment </w:t>
                  </w:r>
                  <w:r>
                    <w:t>–</w:t>
                  </w:r>
                  <w:r w:rsidRPr="0096460E">
                    <w:t xml:space="preserve"> General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tcPr>
                <w:p w:rsidR="00AC2131" w:rsidRPr="0096460E" w:rsidRDefault="00AC2131" w:rsidP="00AC2131">
                  <w:pPr>
                    <w:pStyle w:val="TableBodyText"/>
                    <w:spacing w:before="40" w:after="0"/>
                    <w:ind w:left="113"/>
                    <w:jc w:val="left"/>
                    <w:rPr>
                      <w:i/>
                    </w:rPr>
                  </w:pPr>
                  <w:r w:rsidRPr="0096460E">
                    <w:rPr>
                      <w:i/>
                    </w:rPr>
                    <w:t>General export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16.0</w:t>
                  </w:r>
                </w:p>
              </w:tc>
              <w:tc>
                <w:tcPr>
                  <w:tcW w:w="467" w:type="pct"/>
                  <w:vAlign w:val="bottom"/>
                </w:tcPr>
                <w:p w:rsidR="00AC2131" w:rsidRDefault="00AC2131" w:rsidP="00AC2131">
                  <w:pPr>
                    <w:pStyle w:val="TableBodyText"/>
                    <w:spacing w:after="0"/>
                    <w:ind w:left="0" w:right="57"/>
                  </w:pPr>
                  <w:r>
                    <w:t>14.4</w:t>
                  </w:r>
                </w:p>
              </w:tc>
              <w:tc>
                <w:tcPr>
                  <w:tcW w:w="467" w:type="pct"/>
                  <w:vAlign w:val="bottom"/>
                </w:tcPr>
                <w:p w:rsidR="00AC2131" w:rsidRDefault="00AC2131" w:rsidP="00AC2131">
                  <w:pPr>
                    <w:pStyle w:val="TableBodyText"/>
                    <w:spacing w:after="0"/>
                    <w:ind w:left="0" w:right="57"/>
                  </w:pPr>
                  <w:r>
                    <w:t>11.4</w:t>
                  </w:r>
                </w:p>
              </w:tc>
              <w:tc>
                <w:tcPr>
                  <w:tcW w:w="467" w:type="pct"/>
                  <w:vAlign w:val="bottom"/>
                </w:tcPr>
                <w:p w:rsidR="00AC2131" w:rsidRDefault="00AC2131" w:rsidP="00AC2131">
                  <w:pPr>
                    <w:pStyle w:val="TableBodyText"/>
                    <w:spacing w:after="0"/>
                    <w:ind w:left="0" w:right="57"/>
                  </w:pPr>
                  <w:r>
                    <w:t>8.1</w:t>
                  </w:r>
                </w:p>
              </w:tc>
              <w:tc>
                <w:tcPr>
                  <w:tcW w:w="467" w:type="pct"/>
                  <w:shd w:val="clear" w:color="auto" w:fill="auto"/>
                  <w:vAlign w:val="bottom"/>
                </w:tcPr>
                <w:p w:rsidR="00AC2131" w:rsidRDefault="00AC2131" w:rsidP="00AC2131">
                  <w:pPr>
                    <w:pStyle w:val="TableBodyText"/>
                    <w:spacing w:after="0"/>
                    <w:ind w:left="0" w:right="57"/>
                  </w:pPr>
                  <w:r>
                    <w:t>6.6</w:t>
                  </w:r>
                </w:p>
              </w:tc>
              <w:tc>
                <w:tcPr>
                  <w:tcW w:w="465" w:type="pct"/>
                  <w:shd w:val="clear" w:color="auto" w:fill="auto"/>
                  <w:vAlign w:val="bottom"/>
                </w:tcPr>
                <w:p w:rsidR="00AC2131" w:rsidRDefault="00AC2131" w:rsidP="00AC2131">
                  <w:pPr>
                    <w:pStyle w:val="TableBodyText"/>
                    <w:spacing w:after="0"/>
                    <w:ind w:left="0" w:right="57"/>
                  </w:pPr>
                  <w:r>
                    <w:t>4.9</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TRADEX</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0.5</w:t>
                  </w:r>
                </w:p>
              </w:tc>
              <w:tc>
                <w:tcPr>
                  <w:tcW w:w="465" w:type="pct"/>
                  <w:shd w:val="clear" w:color="auto" w:fill="auto"/>
                  <w:vAlign w:val="bottom"/>
                </w:tcPr>
                <w:p w:rsidR="00AC2131" w:rsidRDefault="00AC2131" w:rsidP="00AC2131">
                  <w:pPr>
                    <w:pStyle w:val="TableBodyText"/>
                    <w:spacing w:after="0"/>
                    <w:ind w:left="0" w:right="57"/>
                  </w:pPr>
                  <w:r>
                    <w:t>0.5</w:t>
                  </w:r>
                </w:p>
              </w:tc>
            </w:tr>
            <w:tr w:rsidR="00AC2131" w:rsidTr="00AC2131">
              <w:tc>
                <w:tcPr>
                  <w:tcW w:w="2200" w:type="pct"/>
                  <w:shd w:val="clear" w:color="auto" w:fill="auto"/>
                </w:tcPr>
                <w:p w:rsidR="00AC2131" w:rsidRPr="0096460E" w:rsidRDefault="00AC2131" w:rsidP="00AC2131">
                  <w:pPr>
                    <w:pStyle w:val="TableBodyText"/>
                    <w:spacing w:before="40" w:after="0"/>
                    <w:ind w:left="113"/>
                    <w:jc w:val="left"/>
                    <w:rPr>
                      <w:i/>
                    </w:rPr>
                  </w:pPr>
                  <w:r w:rsidRPr="0096460E">
                    <w:rPr>
                      <w:i/>
                    </w:rPr>
                    <w:t>General R&amp;D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 xml:space="preserve">Clean Business Australia </w:t>
                  </w:r>
                  <w:r>
                    <w:rPr>
                      <w:rFonts w:ascii="Arial" w:hAnsi="Arial" w:cs="Arial"/>
                      <w:color w:val="000000"/>
                      <w:sz w:val="18"/>
                      <w:szCs w:val="18"/>
                    </w:rPr>
                    <w:t>–</w:t>
                  </w:r>
                  <w:r w:rsidRPr="0096460E">
                    <w:rPr>
                      <w:rFonts w:ascii="Arial" w:hAnsi="Arial" w:cs="Arial"/>
                      <w:color w:val="000000"/>
                      <w:sz w:val="18"/>
                      <w:szCs w:val="18"/>
                    </w:rPr>
                    <w:t xml:space="preserve"> Climate Ready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Commercial Ready Program</w:t>
                  </w:r>
                </w:p>
              </w:tc>
              <w:tc>
                <w:tcPr>
                  <w:tcW w:w="467"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1.4</w:t>
                  </w:r>
                </w:p>
              </w:tc>
              <w:tc>
                <w:tcPr>
                  <w:tcW w:w="465" w:type="pct"/>
                  <w:shd w:val="clear" w:color="auto" w:fill="auto"/>
                  <w:vAlign w:val="bottom"/>
                </w:tcPr>
                <w:p w:rsidR="00AC2131" w:rsidRDefault="00AC2131" w:rsidP="00AC2131">
                  <w:pPr>
                    <w:pStyle w:val="TableBodyText"/>
                    <w:spacing w:after="0"/>
                    <w:ind w:left="0" w:right="57"/>
                  </w:pPr>
                  <w:r>
                    <w:t>3.0</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Cooperative Research Centres</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17.8</w:t>
                  </w:r>
                </w:p>
              </w:tc>
              <w:tc>
                <w:tcPr>
                  <w:tcW w:w="467" w:type="pct"/>
                  <w:vAlign w:val="bottom"/>
                </w:tcPr>
                <w:p w:rsidR="00AC2131" w:rsidRDefault="00AC2131" w:rsidP="00AC2131">
                  <w:pPr>
                    <w:pStyle w:val="TableBodyText"/>
                    <w:spacing w:after="0"/>
                    <w:ind w:left="0" w:right="57"/>
                  </w:pPr>
                  <w:r>
                    <w:t>19.2</w:t>
                  </w:r>
                </w:p>
              </w:tc>
              <w:tc>
                <w:tcPr>
                  <w:tcW w:w="467" w:type="pct"/>
                  <w:vAlign w:val="bottom"/>
                </w:tcPr>
                <w:p w:rsidR="00AC2131" w:rsidRDefault="00AC2131" w:rsidP="00AC2131">
                  <w:pPr>
                    <w:pStyle w:val="TableBodyText"/>
                    <w:spacing w:after="0"/>
                    <w:ind w:left="0" w:right="57"/>
                  </w:pPr>
                  <w:r>
                    <w:t>19.6</w:t>
                  </w:r>
                </w:p>
              </w:tc>
              <w:tc>
                <w:tcPr>
                  <w:tcW w:w="467" w:type="pct"/>
                  <w:vAlign w:val="bottom"/>
                </w:tcPr>
                <w:p w:rsidR="00AC2131" w:rsidRDefault="00AC2131" w:rsidP="00AC2131">
                  <w:pPr>
                    <w:pStyle w:val="TableBodyText"/>
                    <w:spacing w:after="0"/>
                    <w:ind w:left="0" w:right="57"/>
                  </w:pPr>
                  <w:r>
                    <w:t>5.1</w:t>
                  </w:r>
                </w:p>
              </w:tc>
              <w:tc>
                <w:tcPr>
                  <w:tcW w:w="467" w:type="pct"/>
                  <w:shd w:val="clear" w:color="auto" w:fill="auto"/>
                  <w:vAlign w:val="bottom"/>
                </w:tcPr>
                <w:p w:rsidR="00AC2131" w:rsidRDefault="00AC2131" w:rsidP="00AC2131">
                  <w:pPr>
                    <w:pStyle w:val="TableBodyText"/>
                    <w:spacing w:after="0"/>
                    <w:ind w:left="0" w:right="57"/>
                  </w:pPr>
                  <w:r>
                    <w:t>3.1</w:t>
                  </w:r>
                </w:p>
              </w:tc>
              <w:tc>
                <w:tcPr>
                  <w:tcW w:w="465" w:type="pct"/>
                  <w:shd w:val="clear" w:color="auto" w:fill="auto"/>
                  <w:vAlign w:val="bottom"/>
                </w:tcPr>
                <w:p w:rsidR="00AC2131" w:rsidRDefault="00AC2131" w:rsidP="00AC2131">
                  <w:pPr>
                    <w:pStyle w:val="TableBodyText"/>
                    <w:spacing w:after="0"/>
                    <w:ind w:left="0" w:right="57"/>
                  </w:pPr>
                  <w:r>
                    <w:t>2.6</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Manufacturing Technology Innovation Centre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4.0</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New Industries Development Program</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13.9</w:t>
                  </w:r>
                </w:p>
              </w:tc>
              <w:tc>
                <w:tcPr>
                  <w:tcW w:w="467" w:type="pct"/>
                  <w:vAlign w:val="bottom"/>
                </w:tcPr>
                <w:p w:rsidR="00AC2131" w:rsidRDefault="00AC2131" w:rsidP="00AC2131">
                  <w:pPr>
                    <w:pStyle w:val="TableBodyText"/>
                    <w:spacing w:after="0"/>
                    <w:ind w:left="0" w:right="57"/>
                  </w:pPr>
                  <w:r>
                    <w:t>20.2</w:t>
                  </w:r>
                </w:p>
              </w:tc>
              <w:tc>
                <w:tcPr>
                  <w:tcW w:w="467" w:type="pct"/>
                  <w:vAlign w:val="bottom"/>
                </w:tcPr>
                <w:p w:rsidR="00AC2131" w:rsidRDefault="00AC2131" w:rsidP="00AC2131">
                  <w:pPr>
                    <w:pStyle w:val="TableBodyText"/>
                    <w:spacing w:after="0"/>
                    <w:ind w:left="0" w:right="57"/>
                  </w:pPr>
                  <w:r>
                    <w:t>17.3</w:t>
                  </w:r>
                </w:p>
              </w:tc>
              <w:tc>
                <w:tcPr>
                  <w:tcW w:w="467" w:type="pct"/>
                  <w:vAlign w:val="bottom"/>
                </w:tcPr>
                <w:p w:rsidR="00AC2131" w:rsidRDefault="00AC2131" w:rsidP="00AC2131">
                  <w:pPr>
                    <w:pStyle w:val="TableBodyText"/>
                    <w:spacing w:after="0"/>
                    <w:ind w:left="0" w:right="57"/>
                  </w:pPr>
                  <w:r>
                    <w:t>15.6</w:t>
                  </w:r>
                </w:p>
              </w:tc>
              <w:tc>
                <w:tcPr>
                  <w:tcW w:w="467" w:type="pct"/>
                  <w:shd w:val="clear" w:color="auto" w:fill="auto"/>
                  <w:vAlign w:val="bottom"/>
                </w:tcPr>
                <w:p w:rsidR="00AC2131" w:rsidRDefault="00AC2131" w:rsidP="00AC2131">
                  <w:pPr>
                    <w:pStyle w:val="TableBodyText"/>
                    <w:spacing w:after="0"/>
                    <w:ind w:left="0" w:right="57"/>
                  </w:pPr>
                  <w:r>
                    <w:t>4.2</w:t>
                  </w:r>
                </w:p>
              </w:tc>
              <w:tc>
                <w:tcPr>
                  <w:tcW w:w="465" w:type="pct"/>
                  <w:shd w:val="clear" w:color="auto" w:fill="auto"/>
                  <w:vAlign w:val="bottom"/>
                </w:tcPr>
                <w:p w:rsidR="00AC2131" w:rsidRDefault="00AC2131" w:rsidP="00AC2131">
                  <w:pPr>
                    <w:pStyle w:val="TableBodyText"/>
                    <w:spacing w:after="0"/>
                    <w:ind w:left="0" w:right="57"/>
                  </w:pPr>
                  <w:r>
                    <w:t>1.8</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R&amp;D Start</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sidRPr="0096460E">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25.8</w:t>
                  </w:r>
                </w:p>
              </w:tc>
              <w:tc>
                <w:tcPr>
                  <w:tcW w:w="467" w:type="pct"/>
                  <w:vAlign w:val="bottom"/>
                </w:tcPr>
                <w:p w:rsidR="00AC2131" w:rsidRDefault="00AC2131" w:rsidP="00AC2131">
                  <w:pPr>
                    <w:pStyle w:val="TableBodyText"/>
                    <w:spacing w:after="0"/>
                    <w:ind w:left="0" w:right="57"/>
                  </w:pPr>
                  <w:r>
                    <w:t>41.0</w:t>
                  </w:r>
                </w:p>
              </w:tc>
              <w:tc>
                <w:tcPr>
                  <w:tcW w:w="467" w:type="pct"/>
                  <w:vAlign w:val="bottom"/>
                </w:tcPr>
                <w:p w:rsidR="00AC2131" w:rsidRDefault="00AC2131" w:rsidP="00AC2131">
                  <w:pPr>
                    <w:pStyle w:val="TableBodyText"/>
                    <w:spacing w:after="0"/>
                    <w:ind w:left="0" w:right="57"/>
                  </w:pPr>
                  <w:r>
                    <w:t>41.0</w:t>
                  </w:r>
                </w:p>
              </w:tc>
              <w:tc>
                <w:tcPr>
                  <w:tcW w:w="467" w:type="pct"/>
                  <w:vAlign w:val="bottom"/>
                </w:tcPr>
                <w:p w:rsidR="00AC2131" w:rsidRDefault="00AC2131" w:rsidP="00AC2131">
                  <w:pPr>
                    <w:pStyle w:val="TableBodyText"/>
                    <w:spacing w:after="0"/>
                    <w:ind w:left="0" w:right="57"/>
                  </w:pPr>
                  <w:r>
                    <w:t>40.8</w:t>
                  </w:r>
                </w:p>
              </w:tc>
              <w:tc>
                <w:tcPr>
                  <w:tcW w:w="467" w:type="pct"/>
                  <w:shd w:val="clear" w:color="auto" w:fill="auto"/>
                  <w:vAlign w:val="bottom"/>
                </w:tcPr>
                <w:p w:rsidR="00AC2131" w:rsidRDefault="00AC2131" w:rsidP="00AC2131">
                  <w:pPr>
                    <w:pStyle w:val="TableBodyText"/>
                    <w:spacing w:after="0"/>
                    <w:ind w:left="0" w:right="57"/>
                  </w:pPr>
                  <w:r>
                    <w:t>18.2</w:t>
                  </w:r>
                </w:p>
              </w:tc>
              <w:tc>
                <w:tcPr>
                  <w:tcW w:w="465" w:type="pct"/>
                  <w:shd w:val="clear" w:color="auto" w:fill="auto"/>
                  <w:vAlign w:val="bottom"/>
                </w:tcPr>
                <w:p w:rsidR="00AC2131" w:rsidRDefault="00AC2131" w:rsidP="00AC2131">
                  <w:pPr>
                    <w:pStyle w:val="TableBodyText"/>
                    <w:spacing w:after="0"/>
                    <w:ind w:left="0" w:right="57"/>
                  </w:pPr>
                  <w:r>
                    <w:t>6.2</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-2.9</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70.8</w:t>
                  </w:r>
                </w:p>
              </w:tc>
              <w:tc>
                <w:tcPr>
                  <w:tcW w:w="465" w:type="pct"/>
                  <w:shd w:val="clear" w:color="auto" w:fill="auto"/>
                  <w:vAlign w:val="bottom"/>
                </w:tcPr>
                <w:p w:rsidR="00AC2131" w:rsidRDefault="00AC2131" w:rsidP="00AC2131">
                  <w:pPr>
                    <w:pStyle w:val="TableBodyText"/>
                    <w:spacing w:after="0"/>
                    <w:ind w:left="0" w:right="57"/>
                  </w:pPr>
                  <w:r>
                    <w:t>16.7</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5.4</w:t>
                  </w:r>
                </w:p>
              </w:tc>
              <w:tc>
                <w:tcPr>
                  <w:tcW w:w="465" w:type="pct"/>
                  <w:shd w:val="clear" w:color="auto" w:fill="auto"/>
                  <w:vAlign w:val="bottom"/>
                </w:tcPr>
                <w:p w:rsidR="00AC2131" w:rsidRDefault="00AC2131" w:rsidP="00AC2131">
                  <w:pPr>
                    <w:pStyle w:val="TableBodyText"/>
                    <w:spacing w:after="0"/>
                    <w:ind w:left="0" w:right="57"/>
                  </w:pPr>
                  <w:r>
                    <w:t>9.6</w:t>
                  </w:r>
                </w:p>
              </w:tc>
            </w:tr>
            <w:tr w:rsidR="00AC2131" w:rsidTr="00AC2131">
              <w:tc>
                <w:tcPr>
                  <w:tcW w:w="2200" w:type="pct"/>
                  <w:shd w:val="clear" w:color="auto" w:fill="auto"/>
                  <w:vAlign w:val="bottom"/>
                </w:tcPr>
                <w:p w:rsidR="00AC2131" w:rsidRPr="0096460E"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6.3</w:t>
                  </w:r>
                </w:p>
              </w:tc>
              <w:tc>
                <w:tcPr>
                  <w:tcW w:w="467" w:type="pct"/>
                  <w:vAlign w:val="bottom"/>
                </w:tcPr>
                <w:p w:rsidR="00AC2131" w:rsidRDefault="00AC2131" w:rsidP="00AC2131">
                  <w:pPr>
                    <w:pStyle w:val="TableBodyText"/>
                    <w:spacing w:after="0"/>
                    <w:ind w:left="0" w:right="57"/>
                  </w:pPr>
                  <w:r>
                    <w:t>10.2</w:t>
                  </w:r>
                </w:p>
              </w:tc>
              <w:tc>
                <w:tcPr>
                  <w:tcW w:w="467" w:type="pct"/>
                  <w:vAlign w:val="bottom"/>
                </w:tcPr>
                <w:p w:rsidR="00AC2131" w:rsidRDefault="00AC2131" w:rsidP="00AC2131">
                  <w:pPr>
                    <w:pStyle w:val="TableBodyText"/>
                    <w:spacing w:after="0"/>
                    <w:ind w:left="0" w:right="57"/>
                  </w:pPr>
                  <w:r>
                    <w:t>6.1</w:t>
                  </w:r>
                </w:p>
              </w:tc>
              <w:tc>
                <w:tcPr>
                  <w:tcW w:w="467" w:type="pct"/>
                  <w:vAlign w:val="bottom"/>
                </w:tcPr>
                <w:p w:rsidR="00AC2131" w:rsidRDefault="00AC2131" w:rsidP="00AC2131">
                  <w:pPr>
                    <w:pStyle w:val="TableBodyText"/>
                    <w:spacing w:after="0"/>
                    <w:ind w:left="0" w:right="57"/>
                  </w:pPr>
                  <w:r>
                    <w:t>6.9</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tcBorders>
                    <w:bottom w:val="single" w:sz="6" w:space="0" w:color="BFBFBF"/>
                  </w:tcBorders>
                  <w:shd w:val="clear" w:color="auto" w:fill="auto"/>
                </w:tcPr>
                <w:p w:rsidR="00AC2131" w:rsidRPr="0096460E" w:rsidRDefault="00AC2131" w:rsidP="00AC2131">
                  <w:pPr>
                    <w:ind w:left="227"/>
                    <w:rPr>
                      <w:rFonts w:ascii="Arial" w:hAnsi="Arial" w:cs="Arial"/>
                      <w:sz w:val="18"/>
                      <w:szCs w:val="18"/>
                    </w:rPr>
                  </w:pPr>
                  <w:r w:rsidRPr="0096460E">
                    <w:rPr>
                      <w:rFonts w:ascii="Arial" w:hAnsi="Arial" w:cs="Arial"/>
                      <w:sz w:val="18"/>
                      <w:szCs w:val="18"/>
                    </w:rPr>
                    <w:t>Renewable Energy Development Initiative</w:t>
                  </w:r>
                </w:p>
              </w:tc>
              <w:tc>
                <w:tcPr>
                  <w:tcW w:w="467" w:type="pct"/>
                  <w:tcBorders>
                    <w:bottom w:val="single" w:sz="6" w:space="0" w:color="BFBFBF"/>
                  </w:tcBorders>
                  <w:vAlign w:val="bottom"/>
                </w:tcPr>
                <w:p w:rsidR="00AC2131" w:rsidRDefault="00AC2131" w:rsidP="00AC2131">
                  <w:pPr>
                    <w:pStyle w:val="TableBodyText"/>
                    <w:spacing w:after="0"/>
                    <w:ind w:left="0" w:right="57"/>
                  </w:pPr>
                  <w:r>
                    <w:t>1.8</w:t>
                  </w:r>
                </w:p>
              </w:tc>
              <w:tc>
                <w:tcPr>
                  <w:tcW w:w="467" w:type="pct"/>
                  <w:tcBorders>
                    <w:bottom w:val="single" w:sz="6" w:space="0" w:color="BFBFBF"/>
                  </w:tcBorders>
                  <w:vAlign w:val="bottom"/>
                </w:tcPr>
                <w:p w:rsidR="00AC2131" w:rsidRDefault="00AC2131" w:rsidP="00AC2131">
                  <w:pPr>
                    <w:pStyle w:val="TableBodyText"/>
                    <w:spacing w:after="0"/>
                    <w:ind w:left="0" w:right="57"/>
                  </w:pPr>
                  <w:r>
                    <w:t>0.2</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left="6499"/>
            </w:pPr>
            <w:r>
              <w:t>(continued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szCs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795"/>
              <w:gridCol w:w="794"/>
              <w:gridCol w:w="794"/>
              <w:gridCol w:w="794"/>
              <w:gridCol w:w="794"/>
              <w:gridCol w:w="791"/>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A641B1" w:rsidRDefault="00AC2131" w:rsidP="00AC2131">
                  <w:pPr>
                    <w:pStyle w:val="TableUnitsRow"/>
                    <w:spacing w:after="0"/>
                    <w:ind w:left="113"/>
                    <w:jc w:val="left"/>
                    <w:rPr>
                      <w:i/>
                    </w:rPr>
                  </w:pPr>
                  <w:r w:rsidRPr="00A641B1">
                    <w:rPr>
                      <w:i/>
                    </w:rPr>
                    <w:t>Other measures</w:t>
                  </w: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5"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0.3</w:t>
                  </w:r>
                </w:p>
              </w:tc>
              <w:tc>
                <w:tcPr>
                  <w:tcW w:w="465" w:type="pct"/>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0.6</w:t>
                  </w:r>
                </w:p>
              </w:tc>
              <w:tc>
                <w:tcPr>
                  <w:tcW w:w="465" w:type="pct"/>
                  <w:shd w:val="clear" w:color="auto" w:fill="auto"/>
                  <w:vAlign w:val="bottom"/>
                </w:tcPr>
                <w:p w:rsidR="00AC2131" w:rsidRDefault="00AC2131" w:rsidP="00AC2131">
                  <w:pPr>
                    <w:pStyle w:val="TableBodyText"/>
                    <w:spacing w:after="0"/>
                    <w:ind w:left="0" w:right="57"/>
                  </w:pPr>
                  <w:r>
                    <w:t>0.7</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Geelong Innovation and Investment Fund</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Illawarra Region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Innovation Investment Fund for South Australia</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North West and Northern Tasmania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2.5</w:t>
                  </w:r>
                </w:p>
              </w:tc>
              <w:tc>
                <w:tcPr>
                  <w:tcW w:w="467" w:type="pct"/>
                  <w:vAlign w:val="bottom"/>
                </w:tcPr>
                <w:p w:rsidR="00AC2131" w:rsidRDefault="00AC2131" w:rsidP="00AC2131">
                  <w:pPr>
                    <w:pStyle w:val="TableBodyText"/>
                    <w:spacing w:after="0"/>
                    <w:ind w:left="0" w:right="57"/>
                  </w:pPr>
                  <w:r>
                    <w:t>1.9</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8.0</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 xml:space="preserve">Small business </w:t>
                  </w:r>
                  <w:r>
                    <w:rPr>
                      <w:rFonts w:ascii="Arial" w:hAnsi="Arial" w:cs="Arial"/>
                      <w:color w:val="000000"/>
                      <w:sz w:val="18"/>
                      <w:szCs w:val="18"/>
                    </w:rPr>
                    <w:t>capital gains tax</w:t>
                  </w:r>
                  <w:r w:rsidRPr="007D3F4A">
                    <w:rPr>
                      <w:rFonts w:ascii="Arial" w:hAnsi="Arial" w:cs="Arial"/>
                      <w:color w:val="000000"/>
                      <w:sz w:val="18"/>
                      <w:szCs w:val="18"/>
                    </w:rPr>
                    <w:t xml:space="preserve"> 50 per cent reduction</w:t>
                  </w:r>
                </w:p>
              </w:tc>
              <w:tc>
                <w:tcPr>
                  <w:tcW w:w="467" w:type="pct"/>
                  <w:vAlign w:val="bottom"/>
                </w:tcPr>
                <w:p w:rsidR="00AC2131" w:rsidRDefault="00AC2131" w:rsidP="00AC2131">
                  <w:pPr>
                    <w:pStyle w:val="TableBodyText"/>
                    <w:spacing w:after="0"/>
                    <w:ind w:left="0" w:right="57"/>
                  </w:pPr>
                  <w:r>
                    <w:t>3.0</w:t>
                  </w:r>
                </w:p>
              </w:tc>
              <w:tc>
                <w:tcPr>
                  <w:tcW w:w="467" w:type="pct"/>
                  <w:vAlign w:val="bottom"/>
                </w:tcPr>
                <w:p w:rsidR="00AC2131" w:rsidRDefault="00AC2131" w:rsidP="00AC2131">
                  <w:pPr>
                    <w:pStyle w:val="TableBodyText"/>
                    <w:spacing w:after="0"/>
                    <w:ind w:left="0" w:right="57"/>
                  </w:pPr>
                  <w:r>
                    <w:t>3.1</w:t>
                  </w:r>
                </w:p>
              </w:tc>
              <w:tc>
                <w:tcPr>
                  <w:tcW w:w="467" w:type="pct"/>
                  <w:vAlign w:val="bottom"/>
                </w:tcPr>
                <w:p w:rsidR="00AC2131" w:rsidRDefault="00AC2131" w:rsidP="00AC2131">
                  <w:pPr>
                    <w:pStyle w:val="TableBodyText"/>
                    <w:spacing w:after="0"/>
                    <w:ind w:left="0" w:right="57"/>
                  </w:pPr>
                  <w:r>
                    <w:t>4.1</w:t>
                  </w:r>
                </w:p>
              </w:tc>
              <w:tc>
                <w:tcPr>
                  <w:tcW w:w="467" w:type="pct"/>
                  <w:vAlign w:val="bottom"/>
                </w:tcPr>
                <w:p w:rsidR="00AC2131" w:rsidRDefault="00AC2131" w:rsidP="00AC2131">
                  <w:pPr>
                    <w:pStyle w:val="TableBodyText"/>
                    <w:spacing w:after="0"/>
                    <w:ind w:left="0" w:right="57"/>
                  </w:pPr>
                  <w:r>
                    <w:t>4.6</w:t>
                  </w:r>
                </w:p>
              </w:tc>
              <w:tc>
                <w:tcPr>
                  <w:tcW w:w="467" w:type="pct"/>
                  <w:shd w:val="clear" w:color="auto" w:fill="auto"/>
                  <w:vAlign w:val="bottom"/>
                </w:tcPr>
                <w:p w:rsidR="00AC2131" w:rsidRDefault="00AC2131" w:rsidP="00AC2131">
                  <w:pPr>
                    <w:pStyle w:val="TableBodyText"/>
                    <w:spacing w:after="0"/>
                    <w:ind w:left="0" w:right="57"/>
                  </w:pPr>
                  <w:r>
                    <w:t>4.8</w:t>
                  </w:r>
                </w:p>
              </w:tc>
              <w:tc>
                <w:tcPr>
                  <w:tcW w:w="465" w:type="pct"/>
                  <w:shd w:val="clear" w:color="auto" w:fill="auto"/>
                  <w:vAlign w:val="bottom"/>
                </w:tcPr>
                <w:p w:rsidR="00AC2131" w:rsidRDefault="00AC2131" w:rsidP="00AC2131">
                  <w:pPr>
                    <w:pStyle w:val="TableBodyText"/>
                    <w:spacing w:after="0"/>
                    <w:ind w:left="0" w:right="57"/>
                  </w:pPr>
                  <w:r>
                    <w:t>5.0</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 xml:space="preserve">Small business </w:t>
                  </w:r>
                  <w:r>
                    <w:rPr>
                      <w:rFonts w:ascii="Arial" w:hAnsi="Arial" w:cs="Arial"/>
                      <w:color w:val="000000"/>
                      <w:sz w:val="18"/>
                      <w:szCs w:val="18"/>
                    </w:rPr>
                    <w:t>capital gains tax</w:t>
                  </w:r>
                  <w:r w:rsidRPr="007D3F4A">
                    <w:rPr>
                      <w:rFonts w:ascii="Arial" w:hAnsi="Arial" w:cs="Arial"/>
                      <w:color w:val="000000"/>
                      <w:sz w:val="18"/>
                      <w:szCs w:val="18"/>
                    </w:rPr>
                    <w:t xml:space="preserve"> retirement exemption</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3.3</w:t>
                  </w:r>
                </w:p>
              </w:tc>
              <w:tc>
                <w:tcPr>
                  <w:tcW w:w="467" w:type="pct"/>
                  <w:shd w:val="clear" w:color="auto" w:fill="auto"/>
                  <w:vAlign w:val="bottom"/>
                </w:tcPr>
                <w:p w:rsidR="00AC2131" w:rsidRDefault="00AC2131" w:rsidP="00AC2131">
                  <w:pPr>
                    <w:pStyle w:val="TableBodyText"/>
                    <w:spacing w:after="0"/>
                    <w:ind w:left="0" w:right="57"/>
                  </w:pPr>
                  <w:r>
                    <w:t>3.3</w:t>
                  </w:r>
                </w:p>
              </w:tc>
              <w:tc>
                <w:tcPr>
                  <w:tcW w:w="465" w:type="pct"/>
                  <w:shd w:val="clear" w:color="auto" w:fill="auto"/>
                  <w:vAlign w:val="bottom"/>
                </w:tcPr>
                <w:p w:rsidR="00AC2131" w:rsidRDefault="00AC2131" w:rsidP="00AC2131">
                  <w:pPr>
                    <w:pStyle w:val="TableBodyText"/>
                    <w:spacing w:after="0"/>
                    <w:ind w:left="0" w:right="57"/>
                  </w:pPr>
                  <w:r>
                    <w:t>3.5</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 xml:space="preserve">Small business </w:t>
                  </w:r>
                  <w:r>
                    <w:rPr>
                      <w:rFonts w:ascii="Arial" w:hAnsi="Arial" w:cs="Arial"/>
                      <w:color w:val="000000"/>
                      <w:sz w:val="18"/>
                      <w:szCs w:val="18"/>
                    </w:rPr>
                    <w:t>capital gains tax</w:t>
                  </w:r>
                  <w:r w:rsidRPr="007D3F4A">
                    <w:rPr>
                      <w:rFonts w:ascii="Arial" w:hAnsi="Arial" w:cs="Arial"/>
                      <w:color w:val="000000"/>
                      <w:sz w:val="18"/>
                      <w:szCs w:val="18"/>
                    </w:rPr>
                    <w:t xml:space="preserve"> rollover deferral</w:t>
                  </w:r>
                </w:p>
              </w:tc>
              <w:tc>
                <w:tcPr>
                  <w:tcW w:w="467"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1.3</w:t>
                  </w:r>
                </w:p>
              </w:tc>
              <w:tc>
                <w:tcPr>
                  <w:tcW w:w="467" w:type="pct"/>
                  <w:shd w:val="clear" w:color="auto" w:fill="auto"/>
                  <w:vAlign w:val="bottom"/>
                </w:tcPr>
                <w:p w:rsidR="00AC2131" w:rsidRDefault="00AC2131" w:rsidP="00AC2131">
                  <w:pPr>
                    <w:pStyle w:val="TableBodyText"/>
                    <w:spacing w:after="0"/>
                    <w:ind w:left="0" w:right="57"/>
                  </w:pPr>
                  <w:r>
                    <w:t>1.5</w:t>
                  </w:r>
                </w:p>
              </w:tc>
              <w:tc>
                <w:tcPr>
                  <w:tcW w:w="465" w:type="pct"/>
                  <w:shd w:val="clear" w:color="auto" w:fill="auto"/>
                  <w:vAlign w:val="bottom"/>
                </w:tcPr>
                <w:p w:rsidR="00AC2131" w:rsidRDefault="00AC2131" w:rsidP="00AC2131">
                  <w:pPr>
                    <w:pStyle w:val="TableBodyText"/>
                    <w:spacing w:after="0"/>
                    <w:ind w:left="0" w:right="57"/>
                  </w:pPr>
                  <w:r>
                    <w:t>1.7</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South Australia Innovation and Investment Fund and Labour Assistance Package</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South East South Australia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Tasmanian Freight Equalisation Scheme</w:t>
                  </w:r>
                </w:p>
              </w:tc>
              <w:tc>
                <w:tcPr>
                  <w:tcW w:w="467" w:type="pct"/>
                  <w:vAlign w:val="bottom"/>
                </w:tcPr>
                <w:p w:rsidR="00AC2131" w:rsidRDefault="00AC2131" w:rsidP="00AC2131">
                  <w:pPr>
                    <w:pStyle w:val="TableBodyText"/>
                    <w:spacing w:after="0"/>
                    <w:ind w:left="0" w:right="57"/>
                  </w:pPr>
                  <w:r>
                    <w:t>14.8</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Tasmanian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0.5</w:t>
                  </w:r>
                </w:p>
              </w:tc>
              <w:tc>
                <w:tcPr>
                  <w:tcW w:w="465" w:type="pct"/>
                  <w:shd w:val="clear" w:color="auto" w:fill="auto"/>
                  <w:vAlign w:val="bottom"/>
                </w:tcPr>
                <w:p w:rsidR="00AC2131" w:rsidRDefault="00AC2131" w:rsidP="00AC2131">
                  <w:pPr>
                    <w:pStyle w:val="TableBodyText"/>
                    <w:spacing w:after="0"/>
                    <w:ind w:left="0" w:right="57"/>
                  </w:pPr>
                  <w:r>
                    <w:t>0.3</w:t>
                  </w:r>
                </w:p>
              </w:tc>
            </w:tr>
            <w:tr w:rsidR="00AC2131" w:rsidTr="00AC2131">
              <w:tc>
                <w:tcPr>
                  <w:tcW w:w="2200" w:type="pct"/>
                  <w:shd w:val="clear" w:color="auto" w:fill="auto"/>
                  <w:vAlign w:val="bottom"/>
                </w:tcPr>
                <w:p w:rsidR="00AC2131" w:rsidRPr="007D3F4A" w:rsidRDefault="00AC2131" w:rsidP="00AC2131">
                  <w:pPr>
                    <w:ind w:left="227"/>
                    <w:rPr>
                      <w:rFonts w:ascii="Arial" w:hAnsi="Arial" w:cs="Arial"/>
                      <w:color w:val="000000"/>
                      <w:sz w:val="18"/>
                      <w:szCs w:val="18"/>
                    </w:rPr>
                  </w:pPr>
                  <w:r w:rsidRPr="007D3F4A">
                    <w:rPr>
                      <w:rFonts w:ascii="Arial" w:hAnsi="Arial" w:cs="Arial"/>
                      <w:color w:val="000000"/>
                      <w:sz w:val="18"/>
                      <w:szCs w:val="18"/>
                    </w:rPr>
                    <w:t>The Small Business and General Business Tax Break</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32.3</w:t>
                  </w:r>
                </w:p>
              </w:tc>
              <w:tc>
                <w:tcPr>
                  <w:tcW w:w="467" w:type="pct"/>
                  <w:vAlign w:val="bottom"/>
                </w:tcPr>
                <w:p w:rsidR="00AC2131" w:rsidRDefault="00AC2131" w:rsidP="00AC2131">
                  <w:pPr>
                    <w:pStyle w:val="TableBodyText"/>
                    <w:spacing w:after="0"/>
                    <w:ind w:left="0" w:right="57"/>
                  </w:pPr>
                  <w:r>
                    <w:t>69.8</w:t>
                  </w:r>
                </w:p>
              </w:tc>
              <w:tc>
                <w:tcPr>
                  <w:tcW w:w="467" w:type="pct"/>
                  <w:vAlign w:val="bottom"/>
                </w:tcPr>
                <w:p w:rsidR="00AC2131" w:rsidRDefault="00AC2131" w:rsidP="00AC2131">
                  <w:pPr>
                    <w:pStyle w:val="TableBodyText"/>
                    <w:spacing w:after="0"/>
                    <w:ind w:left="0" w:right="57"/>
                  </w:pPr>
                  <w:r>
                    <w:t>10.9</w:t>
                  </w:r>
                </w:p>
              </w:tc>
              <w:tc>
                <w:tcPr>
                  <w:tcW w:w="467" w:type="pct"/>
                  <w:shd w:val="clear" w:color="auto" w:fill="auto"/>
                  <w:vAlign w:val="bottom"/>
                </w:tcPr>
                <w:p w:rsidR="00AC2131" w:rsidRDefault="00AC2131" w:rsidP="00AC2131">
                  <w:pPr>
                    <w:pStyle w:val="TableBodyText"/>
                    <w:spacing w:after="0"/>
                    <w:ind w:left="0" w:right="57"/>
                  </w:pPr>
                  <w:r>
                    <w:t>3.8</w:t>
                  </w:r>
                </w:p>
              </w:tc>
              <w:tc>
                <w:tcPr>
                  <w:tcW w:w="465" w:type="pct"/>
                  <w:shd w:val="clear" w:color="auto" w:fill="auto"/>
                  <w:vAlign w:val="bottom"/>
                </w:tcPr>
                <w:p w:rsidR="00AC2131" w:rsidRDefault="00AC2131" w:rsidP="00AC2131">
                  <w:pPr>
                    <w:pStyle w:val="TableBodyText"/>
                    <w:spacing w:after="0"/>
                    <w:ind w:left="0" w:right="57"/>
                  </w:pPr>
                  <w:r>
                    <w:t>0.5</w:t>
                  </w:r>
                </w:p>
              </w:tc>
            </w:tr>
            <w:tr w:rsidR="00AC2131" w:rsidTr="00AC2131">
              <w:tc>
                <w:tcPr>
                  <w:tcW w:w="2200" w:type="pct"/>
                  <w:shd w:val="clear" w:color="auto" w:fill="auto"/>
                  <w:vAlign w:val="bottom"/>
                </w:tcPr>
                <w:p w:rsidR="00AC2131" w:rsidRPr="007D3F4A" w:rsidRDefault="00AC2131" w:rsidP="00AC2131">
                  <w:pPr>
                    <w:pStyle w:val="TableBodyText"/>
                    <w:spacing w:before="20" w:after="20"/>
                    <w:jc w:val="left"/>
                    <w:rPr>
                      <w:i/>
                    </w:rPr>
                  </w:pPr>
                  <w:r w:rsidRPr="007D3F4A">
                    <w:rPr>
                      <w:i/>
                    </w:rPr>
                    <w:t>Total</w:t>
                  </w:r>
                </w:p>
              </w:tc>
              <w:tc>
                <w:tcPr>
                  <w:tcW w:w="467" w:type="pct"/>
                  <w:vAlign w:val="bottom"/>
                </w:tcPr>
                <w:p w:rsidR="00AC2131" w:rsidRPr="005C4ABD" w:rsidRDefault="00AC2131" w:rsidP="00AC2131">
                  <w:pPr>
                    <w:pStyle w:val="TableBodyText"/>
                    <w:spacing w:before="20" w:after="20"/>
                    <w:ind w:left="0" w:right="57"/>
                    <w:rPr>
                      <w:i/>
                    </w:rPr>
                  </w:pPr>
                  <w:r w:rsidRPr="005C4ABD">
                    <w:rPr>
                      <w:i/>
                    </w:rPr>
                    <w:t>114.7</w:t>
                  </w:r>
                </w:p>
              </w:tc>
              <w:tc>
                <w:tcPr>
                  <w:tcW w:w="467" w:type="pct"/>
                  <w:vAlign w:val="bottom"/>
                </w:tcPr>
                <w:p w:rsidR="00AC2131" w:rsidRPr="005C4ABD" w:rsidRDefault="00AC2131" w:rsidP="00AC2131">
                  <w:pPr>
                    <w:pStyle w:val="TableBodyText"/>
                    <w:spacing w:before="20" w:after="20"/>
                    <w:ind w:left="0" w:right="57"/>
                    <w:rPr>
                      <w:i/>
                    </w:rPr>
                  </w:pPr>
                  <w:r w:rsidRPr="005C4ABD">
                    <w:rPr>
                      <w:i/>
                    </w:rPr>
                    <w:t>157.7</w:t>
                  </w:r>
                </w:p>
              </w:tc>
              <w:tc>
                <w:tcPr>
                  <w:tcW w:w="467" w:type="pct"/>
                  <w:vAlign w:val="bottom"/>
                </w:tcPr>
                <w:p w:rsidR="00AC2131" w:rsidRPr="005C4ABD" w:rsidRDefault="00AC2131" w:rsidP="00AC2131">
                  <w:pPr>
                    <w:pStyle w:val="TableBodyText"/>
                    <w:spacing w:before="20" w:after="20"/>
                    <w:ind w:left="0" w:right="57"/>
                    <w:rPr>
                      <w:i/>
                    </w:rPr>
                  </w:pPr>
                  <w:r w:rsidRPr="005C4ABD">
                    <w:rPr>
                      <w:i/>
                    </w:rPr>
                    <w:t>192.6</w:t>
                  </w:r>
                </w:p>
              </w:tc>
              <w:tc>
                <w:tcPr>
                  <w:tcW w:w="467" w:type="pct"/>
                  <w:vAlign w:val="bottom"/>
                </w:tcPr>
                <w:p w:rsidR="00AC2131" w:rsidRPr="005C4ABD" w:rsidRDefault="00AC2131" w:rsidP="00AC2131">
                  <w:pPr>
                    <w:pStyle w:val="TableBodyText"/>
                    <w:spacing w:before="20" w:after="20"/>
                    <w:ind w:left="0" w:right="57"/>
                    <w:rPr>
                      <w:i/>
                    </w:rPr>
                  </w:pPr>
                  <w:r w:rsidRPr="005C4ABD">
                    <w:rPr>
                      <w:i/>
                    </w:rPr>
                    <w:t>108.5</w:t>
                  </w:r>
                </w:p>
              </w:tc>
              <w:tc>
                <w:tcPr>
                  <w:tcW w:w="467" w:type="pct"/>
                  <w:shd w:val="clear" w:color="auto" w:fill="auto"/>
                  <w:vAlign w:val="bottom"/>
                </w:tcPr>
                <w:p w:rsidR="00AC2131" w:rsidRPr="005C4ABD" w:rsidRDefault="00AC2131" w:rsidP="00AC2131">
                  <w:pPr>
                    <w:pStyle w:val="TableBodyText"/>
                    <w:spacing w:before="20" w:after="20"/>
                    <w:ind w:left="0" w:right="57"/>
                    <w:rPr>
                      <w:i/>
                    </w:rPr>
                  </w:pPr>
                  <w:r w:rsidRPr="005C4ABD">
                    <w:rPr>
                      <w:i/>
                    </w:rPr>
                    <w:t>153.0</w:t>
                  </w:r>
                </w:p>
              </w:tc>
              <w:tc>
                <w:tcPr>
                  <w:tcW w:w="465" w:type="pct"/>
                  <w:shd w:val="clear" w:color="auto" w:fill="auto"/>
                  <w:vAlign w:val="bottom"/>
                </w:tcPr>
                <w:p w:rsidR="00AC2131" w:rsidRPr="005C4ABD" w:rsidRDefault="00AC2131" w:rsidP="00AC2131">
                  <w:pPr>
                    <w:pStyle w:val="TableBodyText"/>
                    <w:spacing w:before="20" w:after="20"/>
                    <w:ind w:left="0" w:right="57"/>
                    <w:rPr>
                      <w:i/>
                    </w:rPr>
                  </w:pPr>
                  <w:r w:rsidRPr="005C4ABD">
                    <w:rPr>
                      <w:i/>
                    </w:rPr>
                    <w:t>134.7</w:t>
                  </w:r>
                </w:p>
              </w:tc>
            </w:tr>
            <w:tr w:rsidR="00AC2131" w:rsidTr="00AC2131">
              <w:tc>
                <w:tcPr>
                  <w:tcW w:w="2200" w:type="pct"/>
                  <w:shd w:val="clear" w:color="auto" w:fill="auto"/>
                </w:tcPr>
                <w:p w:rsidR="00AC2131" w:rsidRPr="001F630E" w:rsidRDefault="00AC2131" w:rsidP="00AC2131">
                  <w:pPr>
                    <w:pStyle w:val="TableBodyText"/>
                    <w:spacing w:before="80"/>
                    <w:jc w:val="left"/>
                    <w:rPr>
                      <w:b/>
                    </w:rPr>
                  </w:pPr>
                  <w:r w:rsidRPr="001F630E">
                    <w:rPr>
                      <w:b/>
                    </w:rPr>
                    <w:t>Textile, leather, clothing and footwear</w:t>
                  </w:r>
                </w:p>
              </w:tc>
              <w:tc>
                <w:tcPr>
                  <w:tcW w:w="467" w:type="pct"/>
                </w:tcPr>
                <w:p w:rsidR="00AC2131" w:rsidRDefault="00AC2131" w:rsidP="00AC2131">
                  <w:pPr>
                    <w:pStyle w:val="TableBodyText"/>
                    <w:spacing w:before="80"/>
                  </w:pPr>
                </w:p>
              </w:tc>
              <w:tc>
                <w:tcPr>
                  <w:tcW w:w="467" w:type="pct"/>
                </w:tcPr>
                <w:p w:rsidR="00AC2131" w:rsidRDefault="00AC2131" w:rsidP="00AC2131">
                  <w:pPr>
                    <w:pStyle w:val="TableBodyText"/>
                    <w:spacing w:before="80"/>
                  </w:pPr>
                </w:p>
              </w:tc>
              <w:tc>
                <w:tcPr>
                  <w:tcW w:w="467" w:type="pct"/>
                </w:tcPr>
                <w:p w:rsidR="00AC2131" w:rsidRDefault="00AC2131" w:rsidP="00AC2131">
                  <w:pPr>
                    <w:pStyle w:val="TableBodyText"/>
                    <w:spacing w:before="80"/>
                  </w:pPr>
                </w:p>
              </w:tc>
              <w:tc>
                <w:tcPr>
                  <w:tcW w:w="467" w:type="pct"/>
                </w:tcPr>
                <w:p w:rsidR="00AC2131" w:rsidRDefault="00AC2131" w:rsidP="00AC2131">
                  <w:pPr>
                    <w:pStyle w:val="TableBodyText"/>
                    <w:spacing w:before="80"/>
                  </w:pPr>
                </w:p>
              </w:tc>
              <w:tc>
                <w:tcPr>
                  <w:tcW w:w="467" w:type="pct"/>
                  <w:shd w:val="clear" w:color="auto" w:fill="auto"/>
                </w:tcPr>
                <w:p w:rsidR="00AC2131" w:rsidRDefault="00AC2131" w:rsidP="00AC2131">
                  <w:pPr>
                    <w:pStyle w:val="TableBodyText"/>
                    <w:spacing w:before="80"/>
                  </w:pPr>
                </w:p>
              </w:tc>
              <w:tc>
                <w:tcPr>
                  <w:tcW w:w="465" w:type="pct"/>
                  <w:shd w:val="clear" w:color="auto" w:fill="auto"/>
                </w:tcPr>
                <w:p w:rsidR="00AC2131" w:rsidRDefault="00AC2131" w:rsidP="00AC2131">
                  <w:pPr>
                    <w:pStyle w:val="TableBodyText"/>
                    <w:spacing w:before="80"/>
                    <w:ind w:right="28"/>
                  </w:pPr>
                </w:p>
              </w:tc>
            </w:tr>
            <w:tr w:rsidR="00AC2131" w:rsidTr="00AC2131">
              <w:tc>
                <w:tcPr>
                  <w:tcW w:w="2200" w:type="pct"/>
                  <w:shd w:val="clear" w:color="auto" w:fill="auto"/>
                </w:tcPr>
                <w:p w:rsidR="00AC2131" w:rsidRPr="001F630E" w:rsidRDefault="00AC2131" w:rsidP="00AC2131">
                  <w:pPr>
                    <w:pStyle w:val="TableBodyText"/>
                    <w:spacing w:before="40" w:after="0"/>
                    <w:ind w:left="113"/>
                    <w:jc w:val="left"/>
                    <w:rPr>
                      <w:i/>
                    </w:rPr>
                  </w:pPr>
                  <w:r w:rsidRPr="001F630E">
                    <w:rPr>
                      <w:i/>
                    </w:rPr>
                    <w:t>Industry-specific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1F630E" w:rsidRDefault="00AC2131" w:rsidP="00AC2131">
                  <w:pPr>
                    <w:ind w:left="227"/>
                    <w:rPr>
                      <w:rFonts w:ascii="Arial" w:hAnsi="Arial" w:cs="Arial"/>
                      <w:color w:val="000000"/>
                      <w:sz w:val="18"/>
                      <w:szCs w:val="18"/>
                    </w:rPr>
                  </w:pPr>
                  <w:r w:rsidRPr="001F630E">
                    <w:rPr>
                      <w:rFonts w:ascii="Arial" w:hAnsi="Arial" w:cs="Arial"/>
                      <w:color w:val="000000"/>
                      <w:sz w:val="18"/>
                      <w:szCs w:val="18"/>
                    </w:rPr>
                    <w:t>Clothing and Household Textile Building Innovative Capability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22.6</w:t>
                  </w:r>
                </w:p>
              </w:tc>
              <w:tc>
                <w:tcPr>
                  <w:tcW w:w="467" w:type="pct"/>
                  <w:shd w:val="clear" w:color="auto" w:fill="auto"/>
                  <w:vAlign w:val="bottom"/>
                </w:tcPr>
                <w:p w:rsidR="00AC2131" w:rsidRDefault="00AC2131" w:rsidP="00AC2131">
                  <w:pPr>
                    <w:pStyle w:val="TableBodyText"/>
                    <w:spacing w:after="0"/>
                    <w:ind w:left="0" w:right="57"/>
                  </w:pPr>
                  <w:r>
                    <w:t>22.3</w:t>
                  </w:r>
                </w:p>
              </w:tc>
              <w:tc>
                <w:tcPr>
                  <w:tcW w:w="465" w:type="pct"/>
                  <w:shd w:val="clear" w:color="auto" w:fill="auto"/>
                  <w:vAlign w:val="bottom"/>
                </w:tcPr>
                <w:p w:rsidR="00AC2131" w:rsidRDefault="00AC2131" w:rsidP="00AC2131">
                  <w:pPr>
                    <w:pStyle w:val="TableBodyText"/>
                    <w:spacing w:after="0"/>
                    <w:ind w:left="0" w:right="57"/>
                  </w:pPr>
                  <w:r>
                    <w:t>22.0</w:t>
                  </w:r>
                </w:p>
              </w:tc>
            </w:tr>
            <w:tr w:rsidR="00AC2131" w:rsidTr="00AC2131">
              <w:tc>
                <w:tcPr>
                  <w:tcW w:w="2200" w:type="pct"/>
                  <w:shd w:val="clear" w:color="auto" w:fill="auto"/>
                  <w:vAlign w:val="bottom"/>
                </w:tcPr>
                <w:p w:rsidR="00AC2131" w:rsidRPr="001F630E" w:rsidRDefault="00AC2131" w:rsidP="00AC2131">
                  <w:pPr>
                    <w:ind w:left="227"/>
                    <w:rPr>
                      <w:rFonts w:ascii="Arial" w:hAnsi="Arial" w:cs="Arial"/>
                      <w:color w:val="000000"/>
                      <w:sz w:val="18"/>
                      <w:szCs w:val="18"/>
                    </w:rPr>
                  </w:pPr>
                  <w:r w:rsidRPr="001F630E">
                    <w:rPr>
                      <w:rFonts w:ascii="Arial" w:hAnsi="Arial" w:cs="Arial"/>
                      <w:color w:val="000000"/>
                      <w:sz w:val="18"/>
                      <w:szCs w:val="18"/>
                    </w:rPr>
                    <w:t xml:space="preserve">Howe leather </w:t>
                  </w:r>
                  <w:r>
                    <w:rPr>
                      <w:rFonts w:ascii="Arial" w:hAnsi="Arial" w:cs="Arial"/>
                      <w:color w:val="000000"/>
                      <w:sz w:val="18"/>
                      <w:szCs w:val="18"/>
                    </w:rPr>
                    <w:t>–</w:t>
                  </w:r>
                  <w:r w:rsidRPr="001F630E">
                    <w:rPr>
                      <w:rFonts w:ascii="Arial" w:hAnsi="Arial" w:cs="Arial"/>
                      <w:color w:val="000000"/>
                      <w:sz w:val="18"/>
                      <w:szCs w:val="18"/>
                    </w:rPr>
                    <w:t xml:space="preserve"> loan repayment </w:t>
                  </w:r>
                </w:p>
              </w:tc>
              <w:tc>
                <w:tcPr>
                  <w:tcW w:w="467" w:type="pct"/>
                  <w:vAlign w:val="bottom"/>
                </w:tcPr>
                <w:p w:rsidR="00AC2131" w:rsidRDefault="00AC2131" w:rsidP="00AC2131">
                  <w:pPr>
                    <w:pStyle w:val="TableBodyText"/>
                    <w:spacing w:after="0"/>
                    <w:ind w:left="0" w:right="57"/>
                  </w:pPr>
                  <w:r>
                    <w:t>-3.1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1F630E" w:rsidRDefault="00AC2131" w:rsidP="00AC2131">
                  <w:pPr>
                    <w:ind w:left="227"/>
                    <w:rPr>
                      <w:rFonts w:ascii="Arial" w:hAnsi="Arial" w:cs="Arial"/>
                      <w:color w:val="000000"/>
                      <w:sz w:val="18"/>
                      <w:szCs w:val="18"/>
                    </w:rPr>
                  </w:pPr>
                  <w:r w:rsidRPr="001F630E">
                    <w:rPr>
                      <w:rFonts w:ascii="Arial" w:hAnsi="Arial" w:cs="Arial"/>
                      <w:color w:val="000000"/>
                      <w:sz w:val="18"/>
                      <w:szCs w:val="18"/>
                    </w:rPr>
                    <w:t>TCF Product Diversification Scheme</w:t>
                  </w:r>
                </w:p>
              </w:tc>
              <w:tc>
                <w:tcPr>
                  <w:tcW w:w="467" w:type="pct"/>
                  <w:vAlign w:val="bottom"/>
                </w:tcPr>
                <w:p w:rsidR="00AC2131" w:rsidRDefault="00AC2131" w:rsidP="00AC2131">
                  <w:pPr>
                    <w:pStyle w:val="TableBodyText"/>
                    <w:spacing w:after="0"/>
                    <w:ind w:left="0" w:right="57"/>
                  </w:pPr>
                  <w:r>
                    <w:t>4.5</w:t>
                  </w:r>
                </w:p>
              </w:tc>
              <w:tc>
                <w:tcPr>
                  <w:tcW w:w="467" w:type="pct"/>
                  <w:vAlign w:val="bottom"/>
                </w:tcPr>
                <w:p w:rsidR="00AC2131" w:rsidRDefault="00AC2131" w:rsidP="00AC2131">
                  <w:pPr>
                    <w:pStyle w:val="TableBodyText"/>
                    <w:spacing w:after="0"/>
                    <w:ind w:left="0" w:right="57"/>
                  </w:pPr>
                  <w:r>
                    <w:t>4.6</w:t>
                  </w:r>
                </w:p>
              </w:tc>
              <w:tc>
                <w:tcPr>
                  <w:tcW w:w="467" w:type="pct"/>
                  <w:vAlign w:val="bottom"/>
                </w:tcPr>
                <w:p w:rsidR="00AC2131" w:rsidRDefault="00AC2131" w:rsidP="00AC2131">
                  <w:pPr>
                    <w:pStyle w:val="TableBodyText"/>
                    <w:spacing w:after="0"/>
                    <w:ind w:left="0" w:right="57"/>
                  </w:pPr>
                  <w:r>
                    <w:t>4.2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1F630E" w:rsidRDefault="00AC2131" w:rsidP="00AC2131">
                  <w:pPr>
                    <w:ind w:left="227"/>
                    <w:rPr>
                      <w:rFonts w:ascii="Arial" w:hAnsi="Arial" w:cs="Arial"/>
                      <w:color w:val="000000"/>
                      <w:sz w:val="18"/>
                      <w:szCs w:val="18"/>
                    </w:rPr>
                  </w:pPr>
                  <w:r w:rsidRPr="001F630E">
                    <w:rPr>
                      <w:rFonts w:ascii="Arial" w:hAnsi="Arial" w:cs="Arial"/>
                      <w:color w:val="000000"/>
                      <w:sz w:val="18"/>
                      <w:szCs w:val="18"/>
                    </w:rPr>
                    <w:t>TCF Small Business Program</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2.0</w:t>
                  </w:r>
                </w:p>
              </w:tc>
              <w:tc>
                <w:tcPr>
                  <w:tcW w:w="467" w:type="pct"/>
                  <w:shd w:val="clear" w:color="auto" w:fill="auto"/>
                  <w:vAlign w:val="bottom"/>
                </w:tcPr>
                <w:p w:rsidR="00AC2131" w:rsidRDefault="00AC2131" w:rsidP="00AC2131">
                  <w:pPr>
                    <w:pStyle w:val="TableBodyText"/>
                    <w:spacing w:after="0"/>
                    <w:ind w:left="0" w:right="57"/>
                  </w:pPr>
                  <w:r>
                    <w:t>1.8</w:t>
                  </w:r>
                </w:p>
              </w:tc>
              <w:tc>
                <w:tcPr>
                  <w:tcW w:w="465" w:type="pct"/>
                  <w:shd w:val="clear" w:color="auto" w:fill="auto"/>
                  <w:vAlign w:val="bottom"/>
                </w:tcPr>
                <w:p w:rsidR="00AC2131" w:rsidRDefault="00AC2131" w:rsidP="00AC2131">
                  <w:pPr>
                    <w:pStyle w:val="TableBodyText"/>
                    <w:spacing w:after="0"/>
                    <w:ind w:left="0" w:right="57"/>
                  </w:pPr>
                  <w:r>
                    <w:t>2.5</w:t>
                  </w:r>
                </w:p>
              </w:tc>
            </w:tr>
            <w:tr w:rsidR="00AC2131" w:rsidTr="00AC2131">
              <w:tc>
                <w:tcPr>
                  <w:tcW w:w="2200" w:type="pct"/>
                  <w:shd w:val="clear" w:color="auto" w:fill="auto"/>
                  <w:vAlign w:val="bottom"/>
                </w:tcPr>
                <w:p w:rsidR="00AC2131" w:rsidRPr="001F630E" w:rsidRDefault="00AC2131" w:rsidP="00AC2131">
                  <w:pPr>
                    <w:ind w:left="227"/>
                    <w:rPr>
                      <w:rFonts w:ascii="Arial" w:hAnsi="Arial" w:cs="Arial"/>
                      <w:color w:val="000000"/>
                      <w:sz w:val="18"/>
                      <w:szCs w:val="18"/>
                    </w:rPr>
                  </w:pPr>
                  <w:r w:rsidRPr="001F630E">
                    <w:rPr>
                      <w:rFonts w:ascii="Arial" w:hAnsi="Arial" w:cs="Arial"/>
                      <w:color w:val="000000"/>
                      <w:sz w:val="18"/>
                      <w:szCs w:val="18"/>
                    </w:rPr>
                    <w:t>TCF Strategic Capability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5.2</w:t>
                  </w:r>
                </w:p>
              </w:tc>
              <w:tc>
                <w:tcPr>
                  <w:tcW w:w="467" w:type="pct"/>
                  <w:vAlign w:val="bottom"/>
                </w:tcPr>
                <w:p w:rsidR="00AC2131" w:rsidRDefault="00AC2131" w:rsidP="00AC2131">
                  <w:pPr>
                    <w:pStyle w:val="TableBodyText"/>
                    <w:spacing w:after="0"/>
                    <w:ind w:left="0" w:right="57"/>
                  </w:pPr>
                  <w:r>
                    <w:t>8.7</w:t>
                  </w:r>
                </w:p>
              </w:tc>
              <w:tc>
                <w:tcPr>
                  <w:tcW w:w="467" w:type="pct"/>
                  <w:shd w:val="clear" w:color="auto" w:fill="auto"/>
                  <w:vAlign w:val="bottom"/>
                </w:tcPr>
                <w:p w:rsidR="00AC2131" w:rsidRDefault="00AC2131" w:rsidP="00AC2131">
                  <w:pPr>
                    <w:pStyle w:val="TableBodyText"/>
                    <w:spacing w:after="0"/>
                    <w:ind w:left="0" w:right="57"/>
                  </w:pPr>
                  <w:r>
                    <w:t>7.2</w:t>
                  </w:r>
                </w:p>
              </w:tc>
              <w:tc>
                <w:tcPr>
                  <w:tcW w:w="465" w:type="pct"/>
                  <w:shd w:val="clear" w:color="auto" w:fill="auto"/>
                  <w:vAlign w:val="bottom"/>
                </w:tcPr>
                <w:p w:rsidR="00AC2131" w:rsidRDefault="00AC2131" w:rsidP="00AC2131">
                  <w:pPr>
                    <w:pStyle w:val="TableBodyText"/>
                    <w:spacing w:after="0"/>
                    <w:ind w:left="0" w:right="57"/>
                  </w:pPr>
                  <w:r>
                    <w:t>7.2</w:t>
                  </w:r>
                </w:p>
              </w:tc>
            </w:tr>
            <w:tr w:rsidR="00AC2131" w:rsidTr="00AC2131">
              <w:tc>
                <w:tcPr>
                  <w:tcW w:w="2200" w:type="pct"/>
                  <w:shd w:val="clear" w:color="auto" w:fill="auto"/>
                  <w:vAlign w:val="bottom"/>
                </w:tcPr>
                <w:p w:rsidR="00AC2131" w:rsidRPr="001F630E" w:rsidRDefault="00AC2131" w:rsidP="00AC2131">
                  <w:pPr>
                    <w:ind w:left="227"/>
                    <w:rPr>
                      <w:rFonts w:ascii="Arial" w:hAnsi="Arial" w:cs="Arial"/>
                      <w:color w:val="000000"/>
                      <w:sz w:val="18"/>
                      <w:szCs w:val="18"/>
                    </w:rPr>
                  </w:pPr>
                  <w:r w:rsidRPr="001F630E">
                    <w:rPr>
                      <w:rFonts w:ascii="Arial" w:hAnsi="Arial" w:cs="Arial"/>
                      <w:color w:val="000000"/>
                      <w:sz w:val="18"/>
                      <w:szCs w:val="18"/>
                    </w:rPr>
                    <w:t xml:space="preserve">TCF Strategic Investment Program Scheme </w:t>
                  </w:r>
                  <w:r>
                    <w:rPr>
                      <w:rFonts w:ascii="Arial" w:hAnsi="Arial" w:cs="Arial"/>
                      <w:color w:val="000000"/>
                      <w:sz w:val="18"/>
                      <w:szCs w:val="18"/>
                    </w:rPr>
                    <w:t>–</w:t>
                  </w:r>
                  <w:r w:rsidRPr="001F630E">
                    <w:rPr>
                      <w:rFonts w:ascii="Arial" w:hAnsi="Arial" w:cs="Arial"/>
                      <w:color w:val="000000"/>
                      <w:sz w:val="18"/>
                      <w:szCs w:val="18"/>
                    </w:rPr>
                    <w:t xml:space="preserve"> Post 2005</w:t>
                  </w:r>
                </w:p>
              </w:tc>
              <w:tc>
                <w:tcPr>
                  <w:tcW w:w="467" w:type="pct"/>
                  <w:vAlign w:val="bottom"/>
                </w:tcPr>
                <w:p w:rsidR="00AC2131" w:rsidRDefault="00AC2131" w:rsidP="00AC2131">
                  <w:pPr>
                    <w:pStyle w:val="TableBodyText"/>
                    <w:spacing w:after="0"/>
                    <w:ind w:left="0" w:right="57"/>
                  </w:pPr>
                  <w:r>
                    <w:t>96.5</w:t>
                  </w:r>
                </w:p>
              </w:tc>
              <w:tc>
                <w:tcPr>
                  <w:tcW w:w="467" w:type="pct"/>
                  <w:vAlign w:val="bottom"/>
                </w:tcPr>
                <w:p w:rsidR="00AC2131" w:rsidRDefault="00AC2131" w:rsidP="00AC2131">
                  <w:pPr>
                    <w:pStyle w:val="TableBodyText"/>
                    <w:spacing w:after="0"/>
                    <w:ind w:left="0" w:right="57"/>
                  </w:pPr>
                  <w:r>
                    <w:t>98.5</w:t>
                  </w:r>
                </w:p>
              </w:tc>
              <w:tc>
                <w:tcPr>
                  <w:tcW w:w="467" w:type="pct"/>
                  <w:vAlign w:val="bottom"/>
                </w:tcPr>
                <w:p w:rsidR="00AC2131" w:rsidRDefault="00AC2131" w:rsidP="00AC2131">
                  <w:pPr>
                    <w:pStyle w:val="TableBodyText"/>
                    <w:spacing w:after="0"/>
                    <w:ind w:left="0" w:right="57"/>
                  </w:pPr>
                  <w:r>
                    <w:t>99.2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1F630E" w:rsidRDefault="00AC2131" w:rsidP="00AC2131">
                  <w:pPr>
                    <w:ind w:left="227"/>
                    <w:rPr>
                      <w:rFonts w:ascii="Arial" w:hAnsi="Arial" w:cs="Arial"/>
                      <w:color w:val="000000"/>
                      <w:sz w:val="18"/>
                      <w:szCs w:val="18"/>
                    </w:rPr>
                  </w:pPr>
                  <w:r w:rsidRPr="001F630E">
                    <w:rPr>
                      <w:rFonts w:ascii="Arial" w:hAnsi="Arial" w:cs="Arial"/>
                      <w:color w:val="000000"/>
                      <w:sz w:val="18"/>
                      <w:szCs w:val="18"/>
                    </w:rPr>
                    <w:t>TCF Structural Adjustment Scheme</w:t>
                  </w:r>
                </w:p>
              </w:tc>
              <w:tc>
                <w:tcPr>
                  <w:tcW w:w="467"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5.9</w:t>
                  </w:r>
                </w:p>
              </w:tc>
              <w:tc>
                <w:tcPr>
                  <w:tcW w:w="467" w:type="pct"/>
                  <w:vAlign w:val="bottom"/>
                </w:tcPr>
                <w:p w:rsidR="00AC2131" w:rsidRDefault="00AC2131" w:rsidP="00AC2131">
                  <w:pPr>
                    <w:pStyle w:val="TableBodyText"/>
                    <w:spacing w:after="0"/>
                    <w:ind w:left="0" w:right="57"/>
                  </w:pPr>
                  <w:r>
                    <w:t>2.3</w:t>
                  </w:r>
                </w:p>
              </w:tc>
              <w:tc>
                <w:tcPr>
                  <w:tcW w:w="467" w:type="pct"/>
                  <w:vAlign w:val="bottom"/>
                </w:tcPr>
                <w:p w:rsidR="00AC2131" w:rsidRDefault="00AC2131" w:rsidP="00AC2131">
                  <w:pPr>
                    <w:pStyle w:val="TableBodyText"/>
                    <w:spacing w:after="0"/>
                    <w:ind w:left="0" w:right="57"/>
                  </w:pPr>
                  <w:r>
                    <w:t>6.2</w:t>
                  </w:r>
                </w:p>
              </w:tc>
              <w:tc>
                <w:tcPr>
                  <w:tcW w:w="467" w:type="pct"/>
                  <w:shd w:val="clear" w:color="auto" w:fill="auto"/>
                  <w:vAlign w:val="bottom"/>
                </w:tcPr>
                <w:p w:rsidR="00AC2131" w:rsidRDefault="00AC2131" w:rsidP="00AC2131">
                  <w:pPr>
                    <w:pStyle w:val="TableBodyText"/>
                    <w:spacing w:after="0"/>
                    <w:ind w:left="0" w:right="57"/>
                  </w:pPr>
                  <w:r>
                    <w:t>1.3</w:t>
                  </w:r>
                </w:p>
              </w:tc>
              <w:tc>
                <w:tcPr>
                  <w:tcW w:w="465" w:type="pct"/>
                  <w:shd w:val="clear" w:color="auto" w:fill="auto"/>
                  <w:vAlign w:val="bottom"/>
                </w:tcPr>
                <w:p w:rsidR="00AC2131" w:rsidRDefault="00AC2131" w:rsidP="00AC2131">
                  <w:pPr>
                    <w:pStyle w:val="TableBodyText"/>
                    <w:spacing w:after="0"/>
                    <w:ind w:left="0" w:right="57"/>
                  </w:pPr>
                  <w:r>
                    <w:t>1.3</w:t>
                  </w:r>
                </w:p>
              </w:tc>
            </w:tr>
            <w:tr w:rsidR="00AC2131" w:rsidTr="00AC2131">
              <w:tc>
                <w:tcPr>
                  <w:tcW w:w="2200" w:type="pct"/>
                  <w:shd w:val="clear" w:color="auto" w:fill="auto"/>
                </w:tcPr>
                <w:p w:rsidR="00AC2131" w:rsidRPr="001F630E" w:rsidRDefault="00AC2131" w:rsidP="00AC2131">
                  <w:pPr>
                    <w:pStyle w:val="TableBodyText"/>
                    <w:spacing w:before="40" w:after="0"/>
                    <w:ind w:left="113"/>
                    <w:jc w:val="left"/>
                    <w:rPr>
                      <w:i/>
                    </w:rPr>
                  </w:pPr>
                  <w:r w:rsidRPr="001F630E">
                    <w:rPr>
                      <w:i/>
                    </w:rPr>
                    <w:t>Sector-specific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ind w:left="227" w:right="0"/>
                    <w:jc w:val="left"/>
                  </w:pPr>
                  <w:r w:rsidRPr="001F630E">
                    <w:t xml:space="preserve">Clean Technology Investment </w:t>
                  </w:r>
                  <w:r>
                    <w:t>–</w:t>
                  </w:r>
                  <w:r w:rsidRPr="001F630E">
                    <w:t xml:space="preserve"> General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4.3</w:t>
                  </w:r>
                </w:p>
              </w:tc>
            </w:tr>
            <w:tr w:rsidR="00AC2131" w:rsidTr="00AC2131">
              <w:tc>
                <w:tcPr>
                  <w:tcW w:w="2200" w:type="pct"/>
                  <w:shd w:val="clear" w:color="auto" w:fill="auto"/>
                </w:tcPr>
                <w:p w:rsidR="00AC2131" w:rsidRPr="001F630E" w:rsidRDefault="00AC2131" w:rsidP="00AC2131">
                  <w:pPr>
                    <w:pStyle w:val="TableBodyText"/>
                    <w:spacing w:before="40" w:after="0"/>
                    <w:ind w:left="113"/>
                    <w:jc w:val="left"/>
                    <w:rPr>
                      <w:i/>
                    </w:rPr>
                  </w:pPr>
                  <w:r w:rsidRPr="001F630E">
                    <w:rPr>
                      <w:i/>
                    </w:rPr>
                    <w:t>General export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1F630E" w:rsidRDefault="00AC2131" w:rsidP="00AC2131">
                  <w:pPr>
                    <w:ind w:left="227"/>
                    <w:rPr>
                      <w:rFonts w:ascii="Arial" w:hAnsi="Arial" w:cs="Arial"/>
                      <w:color w:val="000000"/>
                      <w:sz w:val="18"/>
                      <w:szCs w:val="18"/>
                    </w:rPr>
                  </w:pPr>
                  <w:r w:rsidRPr="001F630E">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8.0</w:t>
                  </w:r>
                </w:p>
              </w:tc>
              <w:tc>
                <w:tcPr>
                  <w:tcW w:w="467" w:type="pct"/>
                  <w:vAlign w:val="bottom"/>
                </w:tcPr>
                <w:p w:rsidR="00AC2131" w:rsidRDefault="00AC2131" w:rsidP="00AC2131">
                  <w:pPr>
                    <w:pStyle w:val="TableBodyText"/>
                    <w:spacing w:after="0"/>
                    <w:ind w:left="0" w:right="57"/>
                  </w:pPr>
                  <w:r>
                    <w:t>6.9</w:t>
                  </w:r>
                </w:p>
              </w:tc>
              <w:tc>
                <w:tcPr>
                  <w:tcW w:w="467" w:type="pct"/>
                  <w:vAlign w:val="bottom"/>
                </w:tcPr>
                <w:p w:rsidR="00AC2131" w:rsidRDefault="00AC2131" w:rsidP="00AC2131">
                  <w:pPr>
                    <w:pStyle w:val="TableBodyText"/>
                    <w:spacing w:after="0"/>
                    <w:ind w:left="0" w:right="57"/>
                  </w:pPr>
                  <w:r>
                    <w:t>5.3</w:t>
                  </w:r>
                </w:p>
              </w:tc>
              <w:tc>
                <w:tcPr>
                  <w:tcW w:w="467" w:type="pct"/>
                  <w:vAlign w:val="bottom"/>
                </w:tcPr>
                <w:p w:rsidR="00AC2131" w:rsidRDefault="00AC2131" w:rsidP="00AC2131">
                  <w:pPr>
                    <w:pStyle w:val="TableBodyText"/>
                    <w:spacing w:after="0"/>
                    <w:ind w:left="0" w:right="57"/>
                  </w:pPr>
                  <w:r>
                    <w:t>4.6</w:t>
                  </w:r>
                </w:p>
              </w:tc>
              <w:tc>
                <w:tcPr>
                  <w:tcW w:w="467" w:type="pct"/>
                  <w:shd w:val="clear" w:color="auto" w:fill="auto"/>
                  <w:vAlign w:val="bottom"/>
                </w:tcPr>
                <w:p w:rsidR="00AC2131" w:rsidRDefault="00AC2131" w:rsidP="00AC2131">
                  <w:pPr>
                    <w:pStyle w:val="TableBodyText"/>
                    <w:spacing w:after="0"/>
                    <w:ind w:left="0" w:right="57"/>
                  </w:pPr>
                  <w:r>
                    <w:t>6.4</w:t>
                  </w:r>
                </w:p>
              </w:tc>
              <w:tc>
                <w:tcPr>
                  <w:tcW w:w="465" w:type="pct"/>
                  <w:shd w:val="clear" w:color="auto" w:fill="auto"/>
                  <w:vAlign w:val="bottom"/>
                </w:tcPr>
                <w:p w:rsidR="00AC2131" w:rsidRDefault="00AC2131" w:rsidP="00AC2131">
                  <w:pPr>
                    <w:pStyle w:val="TableBodyText"/>
                    <w:spacing w:after="0"/>
                    <w:ind w:left="0" w:right="57"/>
                  </w:pPr>
                  <w:r>
                    <w:t>5.6</w:t>
                  </w:r>
                </w:p>
              </w:tc>
            </w:tr>
            <w:tr w:rsidR="00AC2131" w:rsidTr="00AC2131">
              <w:tc>
                <w:tcPr>
                  <w:tcW w:w="2200" w:type="pct"/>
                  <w:tcBorders>
                    <w:bottom w:val="single" w:sz="6" w:space="0" w:color="BFBFBF"/>
                  </w:tcBorders>
                  <w:shd w:val="clear" w:color="auto" w:fill="auto"/>
                </w:tcPr>
                <w:p w:rsidR="00AC2131" w:rsidRPr="001F630E" w:rsidRDefault="00AC2131" w:rsidP="00AC2131">
                  <w:pPr>
                    <w:ind w:left="227"/>
                    <w:rPr>
                      <w:rFonts w:ascii="Arial" w:hAnsi="Arial" w:cs="Arial"/>
                      <w:sz w:val="18"/>
                      <w:szCs w:val="18"/>
                    </w:rPr>
                  </w:pPr>
                  <w:r w:rsidRPr="001F630E">
                    <w:rPr>
                      <w:rFonts w:ascii="Arial" w:hAnsi="Arial" w:cs="Arial"/>
                      <w:sz w:val="18"/>
                      <w:szCs w:val="18"/>
                    </w:rPr>
                    <w:t>TRADEX</w:t>
                  </w:r>
                </w:p>
              </w:tc>
              <w:tc>
                <w:tcPr>
                  <w:tcW w:w="467" w:type="pct"/>
                  <w:tcBorders>
                    <w:bottom w:val="single" w:sz="6" w:space="0" w:color="BFBFBF"/>
                  </w:tcBorders>
                  <w:vAlign w:val="bottom"/>
                </w:tcPr>
                <w:p w:rsidR="00AC2131" w:rsidRDefault="00AC2131" w:rsidP="00AC2131">
                  <w:pPr>
                    <w:pStyle w:val="TableBodyText"/>
                    <w:spacing w:after="0"/>
                    <w:ind w:left="0" w:right="57"/>
                  </w:pPr>
                  <w:r>
                    <w:t>6.1</w:t>
                  </w:r>
                </w:p>
              </w:tc>
              <w:tc>
                <w:tcPr>
                  <w:tcW w:w="467" w:type="pct"/>
                  <w:tcBorders>
                    <w:bottom w:val="single" w:sz="6" w:space="0" w:color="BFBFBF"/>
                  </w:tcBorders>
                  <w:vAlign w:val="bottom"/>
                </w:tcPr>
                <w:p w:rsidR="00AC2131" w:rsidRDefault="00AC2131" w:rsidP="00AC2131">
                  <w:pPr>
                    <w:pStyle w:val="TableBodyText"/>
                    <w:spacing w:after="0"/>
                    <w:ind w:left="0" w:right="57"/>
                  </w:pPr>
                  <w:r>
                    <w:t>5.5</w:t>
                  </w:r>
                </w:p>
              </w:tc>
              <w:tc>
                <w:tcPr>
                  <w:tcW w:w="467" w:type="pct"/>
                  <w:tcBorders>
                    <w:bottom w:val="single" w:sz="6" w:space="0" w:color="BFBFBF"/>
                  </w:tcBorders>
                  <w:vAlign w:val="bottom"/>
                </w:tcPr>
                <w:p w:rsidR="00AC2131" w:rsidRDefault="00AC2131" w:rsidP="00AC2131">
                  <w:pPr>
                    <w:pStyle w:val="TableBodyText"/>
                    <w:spacing w:after="0"/>
                    <w:ind w:left="0" w:right="57"/>
                  </w:pPr>
                  <w:r>
                    <w:t>3.5</w:t>
                  </w:r>
                </w:p>
              </w:tc>
              <w:tc>
                <w:tcPr>
                  <w:tcW w:w="467" w:type="pct"/>
                  <w:tcBorders>
                    <w:bottom w:val="single" w:sz="6" w:space="0" w:color="BFBFBF"/>
                  </w:tcBorders>
                  <w:vAlign w:val="bottom"/>
                </w:tcPr>
                <w:p w:rsidR="00AC2131" w:rsidRDefault="00AC2131" w:rsidP="00AC2131">
                  <w:pPr>
                    <w:pStyle w:val="TableBodyText"/>
                    <w:spacing w:after="0"/>
                    <w:ind w:left="0" w:right="57"/>
                  </w:pPr>
                  <w:r>
                    <w:t>3.7</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3.9</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3.9</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left="6499"/>
            </w:pPr>
            <w:r>
              <w:t>(continued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szCs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795"/>
              <w:gridCol w:w="794"/>
              <w:gridCol w:w="794"/>
              <w:gridCol w:w="794"/>
              <w:gridCol w:w="794"/>
              <w:gridCol w:w="791"/>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BB6ABA" w:rsidRDefault="00AC2131" w:rsidP="00AC2131">
                  <w:pPr>
                    <w:pStyle w:val="TableUnitsRow"/>
                    <w:spacing w:after="0"/>
                    <w:ind w:left="113"/>
                    <w:jc w:val="left"/>
                    <w:rPr>
                      <w:i/>
                    </w:rPr>
                  </w:pPr>
                  <w:r w:rsidRPr="00BB6ABA">
                    <w:rPr>
                      <w:i/>
                    </w:rPr>
                    <w:t>General R&amp;D measures</w:t>
                  </w: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5"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5" w:type="pct"/>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Commercial Ready Program</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4.9</w:t>
                  </w:r>
                </w:p>
              </w:tc>
              <w:tc>
                <w:tcPr>
                  <w:tcW w:w="467" w:type="pct"/>
                  <w:vAlign w:val="bottom"/>
                </w:tcPr>
                <w:p w:rsidR="00AC2131" w:rsidRDefault="00AC2131" w:rsidP="00AC2131">
                  <w:pPr>
                    <w:pStyle w:val="TableBodyText"/>
                    <w:spacing w:after="0"/>
                    <w:ind w:left="0" w:right="57"/>
                  </w:pPr>
                  <w:r>
                    <w:t>5.3</w:t>
                  </w:r>
                </w:p>
              </w:tc>
              <w:tc>
                <w:tcPr>
                  <w:tcW w:w="467" w:type="pct"/>
                  <w:vAlign w:val="bottom"/>
                </w:tcPr>
                <w:p w:rsidR="00AC2131" w:rsidRDefault="00AC2131" w:rsidP="00AC2131">
                  <w:pPr>
                    <w:pStyle w:val="TableBodyText"/>
                    <w:spacing w:after="0"/>
                    <w:ind w:left="0" w:right="57"/>
                  </w:pPr>
                  <w:r>
                    <w:t>5.4</w:t>
                  </w:r>
                </w:p>
              </w:tc>
              <w:tc>
                <w:tcPr>
                  <w:tcW w:w="467" w:type="pct"/>
                  <w:vAlign w:val="bottom"/>
                </w:tcPr>
                <w:p w:rsidR="00AC2131" w:rsidRDefault="00AC2131" w:rsidP="00AC2131">
                  <w:pPr>
                    <w:pStyle w:val="TableBodyText"/>
                    <w:spacing w:after="0"/>
                    <w:ind w:left="0" w:right="57"/>
                  </w:pPr>
                  <w:r>
                    <w:t>3.1</w:t>
                  </w:r>
                </w:p>
              </w:tc>
              <w:tc>
                <w:tcPr>
                  <w:tcW w:w="467" w:type="pct"/>
                  <w:shd w:val="clear" w:color="auto" w:fill="auto"/>
                  <w:vAlign w:val="bottom"/>
                </w:tcPr>
                <w:p w:rsidR="00AC2131" w:rsidRDefault="00AC2131" w:rsidP="00AC2131">
                  <w:pPr>
                    <w:pStyle w:val="TableBodyText"/>
                    <w:spacing w:after="0"/>
                    <w:ind w:left="0" w:right="57"/>
                  </w:pPr>
                  <w:r>
                    <w:t>4.1</w:t>
                  </w:r>
                </w:p>
              </w:tc>
              <w:tc>
                <w:tcPr>
                  <w:tcW w:w="465" w:type="pct"/>
                  <w:shd w:val="clear" w:color="auto" w:fill="auto"/>
                  <w:vAlign w:val="bottom"/>
                </w:tcPr>
                <w:p w:rsidR="00AC2131" w:rsidRDefault="00AC2131" w:rsidP="00AC2131">
                  <w:pPr>
                    <w:pStyle w:val="TableBodyText"/>
                    <w:spacing w:after="0"/>
                    <w:ind w:left="0" w:right="57"/>
                  </w:pPr>
                  <w:r>
                    <w:t>3.9</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Manufacturing Technology Innovation Centre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1.2</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2.4</w:t>
                  </w:r>
                </w:p>
              </w:tc>
              <w:tc>
                <w:tcPr>
                  <w:tcW w:w="467" w:type="pct"/>
                  <w:shd w:val="clear" w:color="auto" w:fill="auto"/>
                  <w:vAlign w:val="bottom"/>
                </w:tcPr>
                <w:p w:rsidR="00AC2131" w:rsidRDefault="00AC2131" w:rsidP="00AC2131">
                  <w:pPr>
                    <w:pStyle w:val="TableBodyText"/>
                    <w:spacing w:after="0"/>
                    <w:ind w:left="0" w:right="57"/>
                  </w:pPr>
                  <w:r>
                    <w:t>1.1</w:t>
                  </w:r>
                </w:p>
              </w:tc>
              <w:tc>
                <w:tcPr>
                  <w:tcW w:w="465" w:type="pct"/>
                  <w:shd w:val="clear" w:color="auto" w:fill="auto"/>
                  <w:vAlign w:val="bottom"/>
                </w:tcPr>
                <w:p w:rsidR="00AC2131" w:rsidRDefault="00AC2131" w:rsidP="00AC2131">
                  <w:pPr>
                    <w:pStyle w:val="TableBodyText"/>
                    <w:spacing w:after="0"/>
                    <w:ind w:left="0" w:right="57"/>
                  </w:pPr>
                  <w:r>
                    <w:t>0.4</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-1.1</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2.8</w:t>
                  </w:r>
                </w:p>
              </w:tc>
              <w:tc>
                <w:tcPr>
                  <w:tcW w:w="465" w:type="pct"/>
                  <w:shd w:val="clear" w:color="auto" w:fill="auto"/>
                  <w:vAlign w:val="bottom"/>
                </w:tcPr>
                <w:p w:rsidR="00AC2131" w:rsidRDefault="00AC2131" w:rsidP="00AC2131">
                  <w:pPr>
                    <w:pStyle w:val="TableBodyText"/>
                    <w:spacing w:after="0"/>
                    <w:ind w:left="0" w:right="57"/>
                  </w:pPr>
                  <w:r>
                    <w:t>2.2</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2.0</w:t>
                  </w:r>
                </w:p>
              </w:tc>
              <w:tc>
                <w:tcPr>
                  <w:tcW w:w="465" w:type="pct"/>
                  <w:shd w:val="clear" w:color="auto" w:fill="auto"/>
                  <w:vAlign w:val="bottom"/>
                </w:tcPr>
                <w:p w:rsidR="00AC2131" w:rsidRDefault="00AC2131" w:rsidP="00AC2131">
                  <w:pPr>
                    <w:pStyle w:val="TableBodyText"/>
                    <w:spacing w:after="0"/>
                    <w:ind w:left="0" w:right="57"/>
                  </w:pPr>
                  <w:r>
                    <w:t>3.6</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2.7</w:t>
                  </w:r>
                </w:p>
              </w:tc>
              <w:tc>
                <w:tcPr>
                  <w:tcW w:w="467" w:type="pct"/>
                  <w:vAlign w:val="bottom"/>
                </w:tcPr>
                <w:p w:rsidR="00AC2131" w:rsidRDefault="00AC2131" w:rsidP="00AC2131">
                  <w:pPr>
                    <w:pStyle w:val="TableBodyText"/>
                    <w:spacing w:after="0"/>
                    <w:ind w:left="0" w:right="57"/>
                  </w:pPr>
                  <w:r>
                    <w:t>2.3</w:t>
                  </w:r>
                </w:p>
              </w:tc>
              <w:tc>
                <w:tcPr>
                  <w:tcW w:w="467" w:type="pct"/>
                  <w:vAlign w:val="bottom"/>
                </w:tcPr>
                <w:p w:rsidR="00AC2131" w:rsidRDefault="00AC2131" w:rsidP="00AC2131">
                  <w:pPr>
                    <w:pStyle w:val="TableBodyText"/>
                    <w:spacing w:after="0"/>
                    <w:ind w:left="0" w:right="57"/>
                  </w:pPr>
                  <w:r>
                    <w:t>2.6</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3643C7" w:rsidRDefault="00AC2131" w:rsidP="00AC2131">
                  <w:pPr>
                    <w:pStyle w:val="TableBodyText"/>
                    <w:spacing w:before="40" w:after="0"/>
                    <w:ind w:left="113"/>
                    <w:jc w:val="left"/>
                    <w:rPr>
                      <w:i/>
                    </w:rPr>
                  </w:pPr>
                  <w:r w:rsidRPr="003643C7">
                    <w:rPr>
                      <w:i/>
                    </w:rPr>
                    <w:t>Other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0.7</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0.4</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Geelong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North West and Northern Tasmania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5.3</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 xml:space="preserve">Small business </w:t>
                  </w:r>
                  <w:r>
                    <w:rPr>
                      <w:rFonts w:ascii="Arial" w:hAnsi="Arial" w:cs="Arial"/>
                      <w:color w:val="000000"/>
                      <w:sz w:val="18"/>
                      <w:szCs w:val="18"/>
                    </w:rPr>
                    <w:t>capital gains tax</w:t>
                  </w:r>
                  <w:r w:rsidRPr="003643C7">
                    <w:rPr>
                      <w:rFonts w:ascii="Arial" w:hAnsi="Arial" w:cs="Arial"/>
                      <w:color w:val="000000"/>
                      <w:sz w:val="18"/>
                      <w:szCs w:val="18"/>
                    </w:rPr>
                    <w:t xml:space="preserve"> 50 per cent reduction</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0.6</w:t>
                  </w:r>
                </w:p>
              </w:tc>
              <w:tc>
                <w:tcPr>
                  <w:tcW w:w="467" w:type="pct"/>
                  <w:shd w:val="clear" w:color="auto" w:fill="auto"/>
                  <w:vAlign w:val="bottom"/>
                </w:tcPr>
                <w:p w:rsidR="00AC2131" w:rsidRDefault="00AC2131" w:rsidP="00AC2131">
                  <w:pPr>
                    <w:pStyle w:val="TableBodyText"/>
                    <w:spacing w:after="0"/>
                    <w:ind w:left="0" w:right="57"/>
                  </w:pPr>
                  <w:r>
                    <w:t>0.6</w:t>
                  </w:r>
                </w:p>
              </w:tc>
              <w:tc>
                <w:tcPr>
                  <w:tcW w:w="465" w:type="pct"/>
                  <w:shd w:val="clear" w:color="auto" w:fill="auto"/>
                  <w:vAlign w:val="bottom"/>
                </w:tcPr>
                <w:p w:rsidR="00AC2131" w:rsidRDefault="00AC2131" w:rsidP="00AC2131">
                  <w:pPr>
                    <w:pStyle w:val="TableBodyText"/>
                    <w:spacing w:after="0"/>
                    <w:ind w:left="0" w:right="57"/>
                  </w:pPr>
                  <w:r>
                    <w:t>0.6</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 xml:space="preserve">Small business </w:t>
                  </w:r>
                  <w:r>
                    <w:rPr>
                      <w:rFonts w:ascii="Arial" w:hAnsi="Arial" w:cs="Arial"/>
                      <w:color w:val="000000"/>
                      <w:sz w:val="18"/>
                      <w:szCs w:val="18"/>
                    </w:rPr>
                    <w:t>capital gains tax</w:t>
                  </w:r>
                  <w:r w:rsidRPr="003643C7">
                    <w:rPr>
                      <w:rFonts w:ascii="Arial" w:hAnsi="Arial" w:cs="Arial"/>
                      <w:color w:val="000000"/>
                      <w:sz w:val="18"/>
                      <w:szCs w:val="18"/>
                    </w:rPr>
                    <w:t xml:space="preserve"> retirement exemption</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0.6</w:t>
                  </w:r>
                </w:p>
              </w:tc>
              <w:tc>
                <w:tcPr>
                  <w:tcW w:w="467" w:type="pct"/>
                  <w:shd w:val="clear" w:color="auto" w:fill="auto"/>
                  <w:vAlign w:val="bottom"/>
                </w:tcPr>
                <w:p w:rsidR="00AC2131" w:rsidRDefault="00AC2131" w:rsidP="00AC2131">
                  <w:pPr>
                    <w:pStyle w:val="TableBodyText"/>
                    <w:spacing w:after="0"/>
                    <w:ind w:left="0" w:right="57"/>
                  </w:pPr>
                  <w:r>
                    <w:t>0.6</w:t>
                  </w:r>
                </w:p>
              </w:tc>
              <w:tc>
                <w:tcPr>
                  <w:tcW w:w="465" w:type="pct"/>
                  <w:shd w:val="clear" w:color="auto" w:fill="auto"/>
                  <w:vAlign w:val="bottom"/>
                </w:tcPr>
                <w:p w:rsidR="00AC2131" w:rsidRDefault="00AC2131" w:rsidP="00AC2131">
                  <w:pPr>
                    <w:pStyle w:val="TableBodyText"/>
                    <w:spacing w:after="0"/>
                    <w:ind w:left="0" w:right="57"/>
                  </w:pPr>
                  <w:r>
                    <w:t>0.6</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 xml:space="preserve">Small business </w:t>
                  </w:r>
                  <w:r>
                    <w:rPr>
                      <w:rFonts w:ascii="Arial" w:hAnsi="Arial" w:cs="Arial"/>
                      <w:color w:val="000000"/>
                      <w:sz w:val="18"/>
                      <w:szCs w:val="18"/>
                    </w:rPr>
                    <w:t>capital gains tax</w:t>
                  </w:r>
                  <w:r w:rsidRPr="003643C7">
                    <w:rPr>
                      <w:rFonts w:ascii="Arial" w:hAnsi="Arial" w:cs="Arial"/>
                      <w:color w:val="000000"/>
                      <w:sz w:val="18"/>
                      <w:szCs w:val="18"/>
                    </w:rPr>
                    <w:t xml:space="preserve"> rollover deferral</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Tasmanian Freight Equalisation Scheme</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7D3F4A">
                    <w:rPr>
                      <w:rFonts w:ascii="Arial" w:hAnsi="Arial" w:cs="Arial"/>
                      <w:color w:val="000000"/>
                      <w:sz w:val="18"/>
                      <w:szCs w:val="18"/>
                    </w:rPr>
                    <w:t>The Small Business and General Business Tax Break</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3.5</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1.2</w:t>
                  </w:r>
                </w:p>
              </w:tc>
              <w:tc>
                <w:tcPr>
                  <w:tcW w:w="467" w:type="pct"/>
                  <w:shd w:val="clear" w:color="auto" w:fill="auto"/>
                  <w:vAlign w:val="bottom"/>
                </w:tcPr>
                <w:p w:rsidR="00AC2131" w:rsidRDefault="00AC2131" w:rsidP="00AC2131">
                  <w:pPr>
                    <w:pStyle w:val="TableBodyText"/>
                    <w:spacing w:after="0"/>
                    <w:ind w:left="0" w:right="57"/>
                  </w:pPr>
                  <w:r>
                    <w:t>0.4</w:t>
                  </w:r>
                </w:p>
              </w:tc>
              <w:tc>
                <w:tcPr>
                  <w:tcW w:w="465" w:type="pct"/>
                  <w:shd w:val="clear" w:color="auto" w:fill="auto"/>
                  <w:vAlign w:val="bottom"/>
                </w:tcPr>
                <w:p w:rsidR="00AC2131" w:rsidRDefault="00AC2131" w:rsidP="00AC2131">
                  <w:pPr>
                    <w:pStyle w:val="TableBodyText"/>
                    <w:spacing w:after="0"/>
                    <w:ind w:left="0" w:right="57"/>
                  </w:pPr>
                  <w:r>
                    <w:t>0.1</w:t>
                  </w:r>
                </w:p>
              </w:tc>
            </w:tr>
            <w:tr w:rsidR="00AC2131" w:rsidRPr="003643C7" w:rsidTr="00AC2131">
              <w:tc>
                <w:tcPr>
                  <w:tcW w:w="2200" w:type="pct"/>
                  <w:shd w:val="clear" w:color="auto" w:fill="auto"/>
                </w:tcPr>
                <w:p w:rsidR="00AC2131" w:rsidRPr="003643C7" w:rsidRDefault="00AC2131" w:rsidP="00AC2131">
                  <w:pPr>
                    <w:pStyle w:val="TableBodyText"/>
                    <w:spacing w:before="20" w:after="20"/>
                    <w:jc w:val="left"/>
                    <w:rPr>
                      <w:i/>
                    </w:rPr>
                  </w:pPr>
                  <w:r w:rsidRPr="003643C7">
                    <w:rPr>
                      <w:i/>
                    </w:rPr>
                    <w:t>Total</w:t>
                  </w:r>
                </w:p>
              </w:tc>
              <w:tc>
                <w:tcPr>
                  <w:tcW w:w="467" w:type="pct"/>
                  <w:vAlign w:val="bottom"/>
                </w:tcPr>
                <w:p w:rsidR="00AC2131" w:rsidRPr="00A1110B" w:rsidRDefault="00AC2131" w:rsidP="00AC2131">
                  <w:pPr>
                    <w:pStyle w:val="TableBodyText"/>
                    <w:spacing w:before="20" w:after="20"/>
                    <w:ind w:left="0" w:right="57"/>
                    <w:rPr>
                      <w:i/>
                    </w:rPr>
                  </w:pPr>
                  <w:r w:rsidRPr="00A1110B">
                    <w:rPr>
                      <w:i/>
                    </w:rPr>
                    <w:t>127.6</w:t>
                  </w:r>
                </w:p>
              </w:tc>
              <w:tc>
                <w:tcPr>
                  <w:tcW w:w="467" w:type="pct"/>
                  <w:vAlign w:val="bottom"/>
                </w:tcPr>
                <w:p w:rsidR="00AC2131" w:rsidRPr="00A1110B" w:rsidRDefault="00AC2131" w:rsidP="00AC2131">
                  <w:pPr>
                    <w:pStyle w:val="TableBodyText"/>
                    <w:spacing w:before="20" w:after="20"/>
                    <w:ind w:left="0" w:right="57"/>
                    <w:rPr>
                      <w:i/>
                    </w:rPr>
                  </w:pPr>
                  <w:r w:rsidRPr="00A1110B">
                    <w:rPr>
                      <w:i/>
                    </w:rPr>
                    <w:t>139.2</w:t>
                  </w:r>
                </w:p>
              </w:tc>
              <w:tc>
                <w:tcPr>
                  <w:tcW w:w="467" w:type="pct"/>
                  <w:vAlign w:val="bottom"/>
                </w:tcPr>
                <w:p w:rsidR="00AC2131" w:rsidRPr="00A1110B" w:rsidRDefault="00AC2131" w:rsidP="00AC2131">
                  <w:pPr>
                    <w:pStyle w:val="TableBodyText"/>
                    <w:spacing w:before="20" w:after="20"/>
                    <w:ind w:left="0" w:right="57"/>
                    <w:rPr>
                      <w:i/>
                    </w:rPr>
                  </w:pPr>
                  <w:r w:rsidRPr="00A1110B">
                    <w:rPr>
                      <w:i/>
                    </w:rPr>
                    <w:t>134.8</w:t>
                  </w:r>
                </w:p>
              </w:tc>
              <w:tc>
                <w:tcPr>
                  <w:tcW w:w="467" w:type="pct"/>
                  <w:vAlign w:val="bottom"/>
                </w:tcPr>
                <w:p w:rsidR="00AC2131" w:rsidRPr="00A1110B" w:rsidRDefault="00AC2131" w:rsidP="00AC2131">
                  <w:pPr>
                    <w:pStyle w:val="TableBodyText"/>
                    <w:spacing w:before="20" w:after="20"/>
                    <w:ind w:left="0" w:right="57"/>
                    <w:rPr>
                      <w:i/>
                    </w:rPr>
                  </w:pPr>
                  <w:r w:rsidRPr="00A1110B">
                    <w:rPr>
                      <w:i/>
                    </w:rPr>
                    <w:t>61.0</w:t>
                  </w:r>
                </w:p>
              </w:tc>
              <w:tc>
                <w:tcPr>
                  <w:tcW w:w="467" w:type="pct"/>
                  <w:shd w:val="clear" w:color="auto" w:fill="auto"/>
                  <w:vAlign w:val="bottom"/>
                </w:tcPr>
                <w:p w:rsidR="00AC2131" w:rsidRPr="00A1110B" w:rsidRDefault="00AC2131" w:rsidP="00AC2131">
                  <w:pPr>
                    <w:pStyle w:val="TableBodyText"/>
                    <w:spacing w:before="20" w:after="20"/>
                    <w:ind w:left="0" w:right="57"/>
                    <w:rPr>
                      <w:i/>
                    </w:rPr>
                  </w:pPr>
                  <w:r w:rsidRPr="00A1110B">
                    <w:rPr>
                      <w:i/>
                    </w:rPr>
                    <w:t>56.4</w:t>
                  </w:r>
                </w:p>
              </w:tc>
              <w:tc>
                <w:tcPr>
                  <w:tcW w:w="465" w:type="pct"/>
                  <w:shd w:val="clear" w:color="auto" w:fill="auto"/>
                  <w:vAlign w:val="bottom"/>
                </w:tcPr>
                <w:p w:rsidR="00AC2131" w:rsidRPr="00A1110B" w:rsidRDefault="00AC2131" w:rsidP="00AC2131">
                  <w:pPr>
                    <w:pStyle w:val="TableBodyText"/>
                    <w:spacing w:before="20" w:after="20"/>
                    <w:ind w:left="0" w:right="57"/>
                    <w:rPr>
                      <w:i/>
                    </w:rPr>
                  </w:pPr>
                  <w:r w:rsidRPr="00A1110B">
                    <w:rPr>
                      <w:i/>
                    </w:rPr>
                    <w:t>64.0</w:t>
                  </w:r>
                </w:p>
              </w:tc>
            </w:tr>
            <w:tr w:rsidR="00AC2131" w:rsidTr="00AC2131">
              <w:tc>
                <w:tcPr>
                  <w:tcW w:w="2200" w:type="pct"/>
                  <w:shd w:val="clear" w:color="auto" w:fill="auto"/>
                </w:tcPr>
                <w:p w:rsidR="00AC2131" w:rsidRPr="003643C7" w:rsidRDefault="00AC2131" w:rsidP="00AC2131">
                  <w:pPr>
                    <w:pStyle w:val="TableBodyText"/>
                    <w:spacing w:before="40"/>
                    <w:jc w:val="left"/>
                    <w:rPr>
                      <w:b/>
                    </w:rPr>
                  </w:pPr>
                  <w:r w:rsidRPr="003643C7">
                    <w:rPr>
                      <w:b/>
                    </w:rPr>
                    <w:t>Wood and paper products</w:t>
                  </w: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5" w:type="pct"/>
                  <w:shd w:val="clear" w:color="auto" w:fill="auto"/>
                </w:tcPr>
                <w:p w:rsidR="00AC2131" w:rsidRDefault="00AC2131" w:rsidP="00AC2131">
                  <w:pPr>
                    <w:pStyle w:val="TableBodyText"/>
                    <w:spacing w:before="40"/>
                    <w:ind w:right="28"/>
                  </w:pPr>
                </w:p>
              </w:tc>
            </w:tr>
            <w:tr w:rsidR="00AC2131" w:rsidTr="00AC2131">
              <w:tc>
                <w:tcPr>
                  <w:tcW w:w="2200" w:type="pct"/>
                  <w:shd w:val="clear" w:color="auto" w:fill="auto"/>
                </w:tcPr>
                <w:p w:rsidR="00AC2131" w:rsidRPr="003643C7" w:rsidRDefault="00AC2131" w:rsidP="00AC2131">
                  <w:pPr>
                    <w:pStyle w:val="TableBodyText"/>
                    <w:spacing w:before="40" w:after="0"/>
                    <w:ind w:left="113"/>
                    <w:jc w:val="left"/>
                    <w:rPr>
                      <w:i/>
                    </w:rPr>
                  </w:pPr>
                  <w:r w:rsidRPr="003643C7">
                    <w:rPr>
                      <w:i/>
                    </w:rPr>
                    <w:t>Industry-specific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Australian Paper's Maryville Pulp and Paper</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4.2</w:t>
                  </w:r>
                </w:p>
              </w:tc>
              <w:tc>
                <w:tcPr>
                  <w:tcW w:w="465" w:type="pct"/>
                  <w:shd w:val="clear" w:color="auto" w:fill="auto"/>
                  <w:vAlign w:val="bottom"/>
                </w:tcPr>
                <w:p w:rsidR="00AC2131" w:rsidRDefault="00AC2131" w:rsidP="00AC2131">
                  <w:pPr>
                    <w:pStyle w:val="TableBodyText"/>
                    <w:spacing w:after="0"/>
                    <w:ind w:left="0" w:right="57"/>
                  </w:pPr>
                  <w:r>
                    <w:t>2.9</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 xml:space="preserve">Australia's Forest Industry </w:t>
                  </w:r>
                  <w:r>
                    <w:rPr>
                      <w:rFonts w:ascii="Arial" w:hAnsi="Arial" w:cs="Arial"/>
                      <w:color w:val="000000"/>
                      <w:sz w:val="18"/>
                      <w:szCs w:val="18"/>
                    </w:rPr>
                    <w:t>–</w:t>
                  </w:r>
                  <w:r w:rsidRPr="003643C7">
                    <w:rPr>
                      <w:rFonts w:ascii="Arial" w:hAnsi="Arial" w:cs="Arial"/>
                      <w:color w:val="000000"/>
                      <w:sz w:val="18"/>
                      <w:szCs w:val="18"/>
                    </w:rPr>
                    <w:t xml:space="preserve"> Preparing for the Future</w:t>
                  </w:r>
                </w:p>
              </w:tc>
              <w:tc>
                <w:tcPr>
                  <w:tcW w:w="467" w:type="pct"/>
                  <w:vAlign w:val="bottom"/>
                </w:tcPr>
                <w:p w:rsidR="00AC2131" w:rsidRDefault="00AC2131" w:rsidP="00AC2131">
                  <w:pPr>
                    <w:pStyle w:val="TableBodyText"/>
                    <w:spacing w:after="0"/>
                    <w:ind w:left="0" w:right="57"/>
                  </w:pPr>
                  <w:r>
                    <w:t>3.3</w:t>
                  </w:r>
                </w:p>
              </w:tc>
              <w:tc>
                <w:tcPr>
                  <w:tcW w:w="467" w:type="pct"/>
                  <w:vAlign w:val="bottom"/>
                </w:tcPr>
                <w:p w:rsidR="00AC2131" w:rsidRDefault="00AC2131" w:rsidP="00AC2131">
                  <w:pPr>
                    <w:pStyle w:val="TableBodyText"/>
                    <w:spacing w:after="0"/>
                    <w:ind w:left="0" w:right="57"/>
                  </w:pPr>
                  <w:r>
                    <w:t>6.9</w:t>
                  </w:r>
                </w:p>
              </w:tc>
              <w:tc>
                <w:tcPr>
                  <w:tcW w:w="467" w:type="pct"/>
                  <w:vAlign w:val="bottom"/>
                </w:tcPr>
                <w:p w:rsidR="00AC2131" w:rsidRDefault="00AC2131" w:rsidP="00AC2131">
                  <w:pPr>
                    <w:pStyle w:val="TableBodyText"/>
                    <w:spacing w:after="0"/>
                    <w:ind w:left="0" w:right="57"/>
                  </w:pPr>
                  <w:r>
                    <w:t>3.5</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643C7" w:rsidRDefault="00AC2131" w:rsidP="00AC2131">
                  <w:pPr>
                    <w:ind w:left="227"/>
                    <w:rPr>
                      <w:rFonts w:ascii="Arial" w:hAnsi="Arial" w:cs="Arial"/>
                      <w:color w:val="000000"/>
                      <w:sz w:val="18"/>
                      <w:szCs w:val="18"/>
                    </w:rPr>
                  </w:pPr>
                  <w:r w:rsidRPr="003643C7">
                    <w:rPr>
                      <w:rFonts w:ascii="Arial" w:hAnsi="Arial" w:cs="Arial"/>
                      <w:color w:val="000000"/>
                      <w:sz w:val="18"/>
                      <w:szCs w:val="18"/>
                    </w:rPr>
                    <w:t>Tasmanian Community Forest Agreement</w:t>
                  </w:r>
                </w:p>
              </w:tc>
              <w:tc>
                <w:tcPr>
                  <w:tcW w:w="467" w:type="pct"/>
                  <w:vAlign w:val="bottom"/>
                </w:tcPr>
                <w:p w:rsidR="00AC2131" w:rsidRDefault="00AC2131" w:rsidP="00AC2131">
                  <w:pPr>
                    <w:pStyle w:val="TableBodyText"/>
                    <w:spacing w:after="0"/>
                    <w:ind w:left="0" w:right="57"/>
                  </w:pPr>
                  <w:r>
                    <w:t>35.3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3643C7" w:rsidRDefault="00AC2131" w:rsidP="00AC2131">
                  <w:pPr>
                    <w:pStyle w:val="TableBodyText"/>
                    <w:spacing w:before="40" w:after="0"/>
                    <w:ind w:left="113"/>
                    <w:jc w:val="left"/>
                    <w:rPr>
                      <w:i/>
                    </w:rPr>
                  </w:pPr>
                  <w:r w:rsidRPr="003643C7">
                    <w:rPr>
                      <w:i/>
                    </w:rPr>
                    <w:t>Sector-specific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ind w:left="227" w:right="0"/>
                    <w:jc w:val="left"/>
                  </w:pPr>
                  <w:r w:rsidRPr="003643C7">
                    <w:t xml:space="preserve">Clean Technology Investment </w:t>
                  </w:r>
                  <w:r>
                    <w:t>–</w:t>
                  </w:r>
                  <w:r w:rsidRPr="003643C7">
                    <w:t xml:space="preserve"> General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8.0</w:t>
                  </w:r>
                </w:p>
              </w:tc>
              <w:tc>
                <w:tcPr>
                  <w:tcW w:w="465" w:type="pct"/>
                  <w:shd w:val="clear" w:color="auto" w:fill="auto"/>
                  <w:vAlign w:val="bottom"/>
                </w:tcPr>
                <w:p w:rsidR="00AC2131" w:rsidRDefault="00AC2131" w:rsidP="00AC2131">
                  <w:pPr>
                    <w:pStyle w:val="TableBodyText"/>
                    <w:spacing w:after="0"/>
                    <w:ind w:left="0" w:right="57"/>
                  </w:pPr>
                  <w:r>
                    <w:t>3.7</w:t>
                  </w:r>
                </w:p>
              </w:tc>
            </w:tr>
            <w:tr w:rsidR="00AC2131" w:rsidTr="00AC2131">
              <w:tc>
                <w:tcPr>
                  <w:tcW w:w="2200" w:type="pct"/>
                  <w:shd w:val="clear" w:color="auto" w:fill="auto"/>
                </w:tcPr>
                <w:p w:rsidR="00AC2131" w:rsidRPr="003643C7" w:rsidRDefault="00AC2131" w:rsidP="00AC2131">
                  <w:pPr>
                    <w:pStyle w:val="TableBodyText"/>
                    <w:spacing w:before="40" w:after="0"/>
                    <w:ind w:left="113"/>
                    <w:jc w:val="left"/>
                    <w:rPr>
                      <w:i/>
                    </w:rPr>
                  </w:pPr>
                  <w:r w:rsidRPr="003643C7">
                    <w:rPr>
                      <w:i/>
                    </w:rPr>
                    <w:t>Rural R&amp;D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spacing w:after="0"/>
                    <w:ind w:left="227" w:right="0"/>
                    <w:jc w:val="left"/>
                  </w:pPr>
                  <w:r w:rsidRPr="003643C7">
                    <w:t>Forest and Wood Products R</w:t>
                  </w:r>
                  <w:r>
                    <w:t>&amp;D</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1.5</w:t>
                  </w:r>
                </w:p>
              </w:tc>
              <w:tc>
                <w:tcPr>
                  <w:tcW w:w="467" w:type="pct"/>
                  <w:shd w:val="clear" w:color="auto" w:fill="auto"/>
                  <w:vAlign w:val="bottom"/>
                </w:tcPr>
                <w:p w:rsidR="00AC2131" w:rsidRDefault="00AC2131" w:rsidP="00AC2131">
                  <w:pPr>
                    <w:pStyle w:val="TableBodyText"/>
                    <w:spacing w:after="0"/>
                    <w:ind w:left="0" w:right="57"/>
                  </w:pPr>
                  <w:r>
                    <w:t>0.9</w:t>
                  </w:r>
                </w:p>
              </w:tc>
              <w:tc>
                <w:tcPr>
                  <w:tcW w:w="465" w:type="pct"/>
                  <w:shd w:val="clear" w:color="auto" w:fill="auto"/>
                  <w:vAlign w:val="bottom"/>
                </w:tcPr>
                <w:p w:rsidR="00AC2131" w:rsidRDefault="00AC2131" w:rsidP="00AC2131">
                  <w:pPr>
                    <w:pStyle w:val="TableBodyText"/>
                    <w:spacing w:after="0"/>
                    <w:ind w:left="0" w:right="57"/>
                  </w:pPr>
                  <w:r>
                    <w:t>0.7</w:t>
                  </w:r>
                </w:p>
              </w:tc>
            </w:tr>
            <w:tr w:rsidR="00AC2131" w:rsidTr="00AC2131">
              <w:tc>
                <w:tcPr>
                  <w:tcW w:w="2200" w:type="pct"/>
                  <w:shd w:val="clear" w:color="auto" w:fill="auto"/>
                </w:tcPr>
                <w:p w:rsidR="00AC2131" w:rsidRPr="00286075" w:rsidRDefault="00AC2131" w:rsidP="00AC2131">
                  <w:pPr>
                    <w:pStyle w:val="TableBodyText"/>
                    <w:spacing w:before="40" w:after="0"/>
                    <w:ind w:left="113"/>
                    <w:jc w:val="left"/>
                    <w:rPr>
                      <w:i/>
                    </w:rPr>
                  </w:pPr>
                  <w:r w:rsidRPr="00286075">
                    <w:rPr>
                      <w:i/>
                    </w:rPr>
                    <w:t>General export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286075" w:rsidRDefault="00AC2131" w:rsidP="00AC2131">
                  <w:pPr>
                    <w:ind w:left="227"/>
                    <w:rPr>
                      <w:rFonts w:ascii="Arial" w:hAnsi="Arial" w:cs="Arial"/>
                      <w:color w:val="000000"/>
                      <w:sz w:val="18"/>
                      <w:szCs w:val="18"/>
                    </w:rPr>
                  </w:pPr>
                  <w:r w:rsidRPr="00286075">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0.3</w:t>
                  </w:r>
                </w:p>
              </w:tc>
            </w:tr>
            <w:tr w:rsidR="00AC2131" w:rsidTr="00AC2131">
              <w:tc>
                <w:tcPr>
                  <w:tcW w:w="2200" w:type="pct"/>
                  <w:tcBorders>
                    <w:bottom w:val="single" w:sz="6" w:space="0" w:color="BFBFBF"/>
                  </w:tcBorders>
                  <w:shd w:val="clear" w:color="auto" w:fill="auto"/>
                  <w:vAlign w:val="bottom"/>
                </w:tcPr>
                <w:p w:rsidR="00AC2131" w:rsidRPr="00286075" w:rsidRDefault="00AC2131" w:rsidP="00AC2131">
                  <w:pPr>
                    <w:ind w:left="227"/>
                    <w:rPr>
                      <w:rFonts w:ascii="Arial" w:hAnsi="Arial" w:cs="Arial"/>
                      <w:color w:val="000000"/>
                      <w:sz w:val="18"/>
                      <w:szCs w:val="18"/>
                    </w:rPr>
                  </w:pPr>
                  <w:r w:rsidRPr="00286075">
                    <w:rPr>
                      <w:rFonts w:ascii="Arial" w:hAnsi="Arial" w:cs="Arial"/>
                      <w:color w:val="000000"/>
                      <w:sz w:val="18"/>
                      <w:szCs w:val="18"/>
                    </w:rPr>
                    <w:t>TRADEX</w:t>
                  </w:r>
                </w:p>
              </w:tc>
              <w:tc>
                <w:tcPr>
                  <w:tcW w:w="467" w:type="pct"/>
                  <w:tcBorders>
                    <w:bottom w:val="single" w:sz="6" w:space="0" w:color="BFBFBF"/>
                  </w:tcBorders>
                  <w:vAlign w:val="bottom"/>
                </w:tcPr>
                <w:p w:rsidR="00AC2131" w:rsidRDefault="00AC2131" w:rsidP="00AC2131">
                  <w:pPr>
                    <w:pStyle w:val="TableBodyText"/>
                    <w:spacing w:after="0"/>
                    <w:ind w:left="0" w:right="57"/>
                  </w:pPr>
                  <w:r>
                    <w:t>0.6</w:t>
                  </w:r>
                </w:p>
              </w:tc>
              <w:tc>
                <w:tcPr>
                  <w:tcW w:w="467" w:type="pct"/>
                  <w:tcBorders>
                    <w:bottom w:val="single" w:sz="6" w:space="0" w:color="BFBFBF"/>
                  </w:tcBorders>
                  <w:vAlign w:val="bottom"/>
                </w:tcPr>
                <w:p w:rsidR="00AC2131" w:rsidRDefault="00AC2131" w:rsidP="00AC2131">
                  <w:pPr>
                    <w:pStyle w:val="TableBodyText"/>
                    <w:spacing w:after="0"/>
                    <w:ind w:left="0" w:right="57"/>
                  </w:pPr>
                  <w:r>
                    <w:t>0.5</w:t>
                  </w:r>
                </w:p>
              </w:tc>
              <w:tc>
                <w:tcPr>
                  <w:tcW w:w="467" w:type="pct"/>
                  <w:tcBorders>
                    <w:bottom w:val="single" w:sz="6" w:space="0" w:color="BFBFBF"/>
                  </w:tcBorders>
                  <w:vAlign w:val="bottom"/>
                </w:tcPr>
                <w:p w:rsidR="00AC2131" w:rsidRDefault="00AC2131" w:rsidP="00AC2131">
                  <w:pPr>
                    <w:pStyle w:val="TableBodyText"/>
                    <w:spacing w:after="0"/>
                    <w:ind w:left="0" w:right="57"/>
                  </w:pPr>
                  <w:r>
                    <w:t>0.3</w:t>
                  </w:r>
                </w:p>
              </w:tc>
              <w:tc>
                <w:tcPr>
                  <w:tcW w:w="467" w:type="pct"/>
                  <w:tcBorders>
                    <w:bottom w:val="single" w:sz="6" w:space="0" w:color="BFBFBF"/>
                  </w:tcBorders>
                  <w:vAlign w:val="bottom"/>
                </w:tcPr>
                <w:p w:rsidR="00AC2131" w:rsidRDefault="00AC2131" w:rsidP="00AC2131">
                  <w:pPr>
                    <w:pStyle w:val="TableBodyText"/>
                    <w:spacing w:after="0"/>
                    <w:ind w:left="0" w:right="57"/>
                  </w:pPr>
                  <w:r>
                    <w:t>0.4</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0.4</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0.4</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left="6357"/>
            </w:pPr>
            <w:r>
              <w:t>(continued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szCs w:val="18"/>
              </w:rPr>
              <w:t>(continued)</w:t>
            </w:r>
          </w:p>
        </w:tc>
      </w:tr>
      <w:tr w:rsidR="00AC2131" w:rsidTr="00AC2131">
        <w:trPr>
          <w:cantSplit/>
        </w:trPr>
        <w:tc>
          <w:tcPr>
            <w:tcW w:w="8767" w:type="dxa"/>
            <w:tcBorders>
              <w:top w:val="nil"/>
              <w:left w:val="nil"/>
              <w:bottom w:val="nil"/>
              <w:right w:val="nil"/>
            </w:tcBorders>
            <w:shd w:val="clear" w:color="auto" w:fill="auto"/>
          </w:tcPr>
          <w:tbl>
            <w:tblPr>
              <w:tblW w:w="8505" w:type="dxa"/>
              <w:tblLayout w:type="fixed"/>
              <w:tblCellMar>
                <w:top w:w="28" w:type="dxa"/>
                <w:left w:w="0" w:type="dxa"/>
                <w:right w:w="0" w:type="dxa"/>
              </w:tblCellMar>
              <w:tblLook w:val="0000" w:firstRow="0" w:lastRow="0" w:firstColumn="0" w:lastColumn="0" w:noHBand="0" w:noVBand="0"/>
            </w:tblPr>
            <w:tblGrid>
              <w:gridCol w:w="3743"/>
              <w:gridCol w:w="795"/>
              <w:gridCol w:w="794"/>
              <w:gridCol w:w="794"/>
              <w:gridCol w:w="794"/>
              <w:gridCol w:w="794"/>
              <w:gridCol w:w="791"/>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vAlign w:val="bottom"/>
                </w:tcPr>
                <w:p w:rsidR="00AC2131" w:rsidRPr="00065E82" w:rsidRDefault="00AC2131" w:rsidP="00AC2131">
                  <w:pPr>
                    <w:pStyle w:val="TableUnitsRow"/>
                    <w:spacing w:after="0"/>
                    <w:ind w:left="113"/>
                    <w:jc w:val="left"/>
                    <w:rPr>
                      <w:i/>
                    </w:rPr>
                  </w:pPr>
                  <w:r w:rsidRPr="00065E82">
                    <w:rPr>
                      <w:i/>
                    </w:rPr>
                    <w:t>General R&amp;D measures</w:t>
                  </w: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5"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 xml:space="preserve">Clean Business Australia </w:t>
                  </w:r>
                  <w:r>
                    <w:rPr>
                      <w:rFonts w:ascii="Arial" w:hAnsi="Arial" w:cs="Arial"/>
                      <w:color w:val="000000"/>
                      <w:sz w:val="18"/>
                      <w:szCs w:val="18"/>
                    </w:rPr>
                    <w:t>–</w:t>
                  </w:r>
                  <w:r w:rsidRPr="00065E82">
                    <w:rPr>
                      <w:rFonts w:ascii="Arial" w:hAnsi="Arial" w:cs="Arial"/>
                      <w:color w:val="000000"/>
                      <w:sz w:val="18"/>
                      <w:szCs w:val="18"/>
                    </w:rPr>
                    <w:t xml:space="preserve"> Climate Ready Program</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5" w:type="pct"/>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Commercial Ready Program</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2.4</w:t>
                  </w:r>
                </w:p>
              </w:tc>
              <w:tc>
                <w:tcPr>
                  <w:tcW w:w="467" w:type="pct"/>
                  <w:vAlign w:val="bottom"/>
                </w:tcPr>
                <w:p w:rsidR="00AC2131" w:rsidRDefault="00AC2131" w:rsidP="00AC2131">
                  <w:pPr>
                    <w:pStyle w:val="TableBodyText"/>
                    <w:spacing w:after="0"/>
                    <w:ind w:left="0" w:right="57"/>
                  </w:pPr>
                  <w:r>
                    <w:t>2.4</w:t>
                  </w:r>
                </w:p>
              </w:tc>
              <w:tc>
                <w:tcPr>
                  <w:tcW w:w="467" w:type="pct"/>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0.7</w:t>
                  </w:r>
                </w:p>
              </w:tc>
              <w:tc>
                <w:tcPr>
                  <w:tcW w:w="465" w:type="pct"/>
                  <w:shd w:val="clear" w:color="auto" w:fill="auto"/>
                  <w:vAlign w:val="bottom"/>
                </w:tcPr>
                <w:p w:rsidR="00AC2131" w:rsidRDefault="00AC2131" w:rsidP="00AC2131">
                  <w:pPr>
                    <w:pStyle w:val="TableBodyText"/>
                    <w:spacing w:after="0"/>
                    <w:ind w:left="0" w:right="57"/>
                  </w:pPr>
                  <w:r>
                    <w:t>0.7</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6.0</w:t>
                  </w:r>
                </w:p>
              </w:tc>
              <w:tc>
                <w:tcPr>
                  <w:tcW w:w="467" w:type="pct"/>
                  <w:vAlign w:val="bottom"/>
                </w:tcPr>
                <w:p w:rsidR="00AC2131" w:rsidRDefault="00AC2131" w:rsidP="00AC2131">
                  <w:pPr>
                    <w:pStyle w:val="TableBodyText"/>
                    <w:spacing w:after="0"/>
                    <w:ind w:left="0" w:right="57"/>
                  </w:pPr>
                  <w:r>
                    <w:t>7.9</w:t>
                  </w:r>
                </w:p>
              </w:tc>
              <w:tc>
                <w:tcPr>
                  <w:tcW w:w="467" w:type="pct"/>
                  <w:vAlign w:val="bottom"/>
                </w:tcPr>
                <w:p w:rsidR="00AC2131" w:rsidRDefault="00AC2131" w:rsidP="00AC2131">
                  <w:pPr>
                    <w:pStyle w:val="TableBodyText"/>
                    <w:spacing w:after="0"/>
                    <w:ind w:left="0" w:right="57"/>
                  </w:pPr>
                  <w:r>
                    <w:t>7.9</w:t>
                  </w:r>
                </w:p>
              </w:tc>
              <w:tc>
                <w:tcPr>
                  <w:tcW w:w="467" w:type="pct"/>
                  <w:vAlign w:val="bottom"/>
                </w:tcPr>
                <w:p w:rsidR="00AC2131" w:rsidRDefault="00AC2131" w:rsidP="00AC2131">
                  <w:pPr>
                    <w:pStyle w:val="TableBodyText"/>
                    <w:spacing w:after="0"/>
                    <w:ind w:left="0" w:right="57"/>
                  </w:pPr>
                  <w:r>
                    <w:t>7.4</w:t>
                  </w:r>
                </w:p>
              </w:tc>
              <w:tc>
                <w:tcPr>
                  <w:tcW w:w="467" w:type="pct"/>
                  <w:shd w:val="clear" w:color="auto" w:fill="auto"/>
                  <w:vAlign w:val="bottom"/>
                </w:tcPr>
                <w:p w:rsidR="00AC2131" w:rsidRDefault="00AC2131" w:rsidP="00AC2131">
                  <w:pPr>
                    <w:pStyle w:val="TableBodyText"/>
                    <w:spacing w:after="0"/>
                    <w:ind w:left="0" w:right="57"/>
                  </w:pPr>
                  <w:r>
                    <w:t>3.3</w:t>
                  </w:r>
                </w:p>
              </w:tc>
              <w:tc>
                <w:tcPr>
                  <w:tcW w:w="465" w:type="pct"/>
                  <w:shd w:val="clear" w:color="auto" w:fill="auto"/>
                  <w:vAlign w:val="bottom"/>
                </w:tcPr>
                <w:p w:rsidR="00AC2131" w:rsidRDefault="00AC2131" w:rsidP="00AC2131">
                  <w:pPr>
                    <w:pStyle w:val="TableBodyText"/>
                    <w:spacing w:after="0"/>
                    <w:ind w:left="0" w:right="57"/>
                  </w:pPr>
                  <w:r>
                    <w:t>1.1</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-0.7</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5.0</w:t>
                  </w:r>
                </w:p>
              </w:tc>
              <w:tc>
                <w:tcPr>
                  <w:tcW w:w="465" w:type="pct"/>
                  <w:shd w:val="clear" w:color="auto" w:fill="auto"/>
                  <w:vAlign w:val="bottom"/>
                </w:tcPr>
                <w:p w:rsidR="00AC2131" w:rsidRDefault="00AC2131" w:rsidP="00AC2131">
                  <w:pPr>
                    <w:pStyle w:val="TableBodyText"/>
                    <w:spacing w:after="0"/>
                    <w:ind w:left="0" w:right="57"/>
                  </w:pPr>
                  <w:r>
                    <w:t>2.5</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1.4</w:t>
                  </w:r>
                </w:p>
              </w:tc>
              <w:tc>
                <w:tcPr>
                  <w:tcW w:w="465" w:type="pct"/>
                  <w:shd w:val="clear" w:color="auto" w:fill="auto"/>
                  <w:vAlign w:val="bottom"/>
                </w:tcPr>
                <w:p w:rsidR="00AC2131" w:rsidRDefault="00AC2131" w:rsidP="00AC2131">
                  <w:pPr>
                    <w:pStyle w:val="TableBodyText"/>
                    <w:spacing w:after="0"/>
                    <w:ind w:left="0" w:right="57"/>
                  </w:pPr>
                  <w:r>
                    <w:t>2.4</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2.5</w:t>
                  </w:r>
                </w:p>
              </w:tc>
              <w:tc>
                <w:tcPr>
                  <w:tcW w:w="467" w:type="pct"/>
                  <w:vAlign w:val="bottom"/>
                </w:tcPr>
                <w:p w:rsidR="00AC2131" w:rsidRDefault="00AC2131" w:rsidP="00AC2131">
                  <w:pPr>
                    <w:pStyle w:val="TableBodyText"/>
                    <w:spacing w:after="0"/>
                    <w:ind w:left="0" w:right="57"/>
                  </w:pPr>
                  <w:r>
                    <w:t>1.5</w:t>
                  </w:r>
                </w:p>
              </w:tc>
              <w:tc>
                <w:tcPr>
                  <w:tcW w:w="467" w:type="pct"/>
                  <w:vAlign w:val="bottom"/>
                </w:tcPr>
                <w:p w:rsidR="00AC2131" w:rsidRDefault="00AC2131" w:rsidP="00AC2131">
                  <w:pPr>
                    <w:pStyle w:val="TableBodyText"/>
                    <w:spacing w:after="0"/>
                    <w:ind w:left="0" w:right="57"/>
                  </w:pPr>
                  <w:r>
                    <w:t>1.7</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065E82" w:rsidRDefault="00AC2131" w:rsidP="00AC2131">
                  <w:pPr>
                    <w:pStyle w:val="TableBodyText"/>
                    <w:spacing w:before="40" w:after="0"/>
                    <w:ind w:left="113"/>
                    <w:jc w:val="left"/>
                    <w:rPr>
                      <w:i/>
                    </w:rPr>
                  </w:pPr>
                  <w:r w:rsidRPr="00065E82">
                    <w:rPr>
                      <w:i/>
                    </w:rPr>
                    <w:t>Other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1.1</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0.4</w:t>
                  </w:r>
                </w:p>
              </w:tc>
              <w:tc>
                <w:tcPr>
                  <w:tcW w:w="465" w:type="pct"/>
                  <w:shd w:val="clear" w:color="auto" w:fill="auto"/>
                  <w:vAlign w:val="bottom"/>
                </w:tcPr>
                <w:p w:rsidR="00AC2131" w:rsidRDefault="00AC2131" w:rsidP="00AC2131">
                  <w:pPr>
                    <w:pStyle w:val="TableBodyText"/>
                    <w:spacing w:after="0"/>
                    <w:ind w:left="0" w:right="57"/>
                  </w:pPr>
                  <w:r>
                    <w:t>0.4</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North East Tasmania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Scottsdale Industry and Community Development Fund</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4.1</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 xml:space="preserve">Small business </w:t>
                  </w:r>
                  <w:r>
                    <w:rPr>
                      <w:rFonts w:ascii="Arial" w:hAnsi="Arial" w:cs="Arial"/>
                      <w:color w:val="000000"/>
                      <w:sz w:val="18"/>
                      <w:szCs w:val="18"/>
                    </w:rPr>
                    <w:t>capital gains tax</w:t>
                  </w:r>
                  <w:r w:rsidRPr="00065E82">
                    <w:rPr>
                      <w:rFonts w:ascii="Arial" w:hAnsi="Arial" w:cs="Arial"/>
                      <w:color w:val="000000"/>
                      <w:sz w:val="18"/>
                      <w:szCs w:val="18"/>
                    </w:rPr>
                    <w:t xml:space="preserve"> 50 per cent reduction</w:t>
                  </w:r>
                </w:p>
              </w:tc>
              <w:tc>
                <w:tcPr>
                  <w:tcW w:w="467" w:type="pct"/>
                  <w:vAlign w:val="bottom"/>
                </w:tcPr>
                <w:p w:rsidR="00AC2131" w:rsidRDefault="00AC2131" w:rsidP="00AC2131">
                  <w:pPr>
                    <w:pStyle w:val="TableBodyText"/>
                    <w:spacing w:after="0"/>
                    <w:ind w:left="0" w:right="57"/>
                  </w:pPr>
                  <w:r>
                    <w:t>2.8</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1.9</w:t>
                  </w:r>
                </w:p>
              </w:tc>
              <w:tc>
                <w:tcPr>
                  <w:tcW w:w="467" w:type="pct"/>
                  <w:shd w:val="clear" w:color="auto" w:fill="auto"/>
                  <w:vAlign w:val="bottom"/>
                </w:tcPr>
                <w:p w:rsidR="00AC2131" w:rsidRDefault="00AC2131" w:rsidP="00AC2131">
                  <w:pPr>
                    <w:pStyle w:val="TableBodyText"/>
                    <w:spacing w:after="0"/>
                    <w:ind w:left="0" w:right="57"/>
                  </w:pPr>
                  <w:r>
                    <w:t>1.9</w:t>
                  </w:r>
                </w:p>
              </w:tc>
              <w:tc>
                <w:tcPr>
                  <w:tcW w:w="465" w:type="pct"/>
                  <w:shd w:val="clear" w:color="auto" w:fill="auto"/>
                  <w:vAlign w:val="bottom"/>
                </w:tcPr>
                <w:p w:rsidR="00AC2131" w:rsidRDefault="00AC2131" w:rsidP="00AC2131">
                  <w:pPr>
                    <w:pStyle w:val="TableBodyText"/>
                    <w:spacing w:after="0"/>
                    <w:ind w:left="0" w:right="57"/>
                  </w:pPr>
                  <w:r>
                    <w:t>2.0</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 xml:space="preserve">Small business </w:t>
                  </w:r>
                  <w:r>
                    <w:rPr>
                      <w:rFonts w:ascii="Arial" w:hAnsi="Arial" w:cs="Arial"/>
                      <w:color w:val="000000"/>
                      <w:sz w:val="18"/>
                      <w:szCs w:val="18"/>
                    </w:rPr>
                    <w:t>capital gains tax</w:t>
                  </w:r>
                  <w:r w:rsidRPr="00065E82">
                    <w:rPr>
                      <w:rFonts w:ascii="Arial" w:hAnsi="Arial" w:cs="Arial"/>
                      <w:color w:val="000000"/>
                      <w:sz w:val="18"/>
                      <w:szCs w:val="18"/>
                    </w:rPr>
                    <w:t xml:space="preserve"> retirement exemption</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1.6</w:t>
                  </w:r>
                </w:p>
              </w:tc>
              <w:tc>
                <w:tcPr>
                  <w:tcW w:w="467" w:type="pct"/>
                  <w:shd w:val="clear" w:color="auto" w:fill="auto"/>
                  <w:vAlign w:val="bottom"/>
                </w:tcPr>
                <w:p w:rsidR="00AC2131" w:rsidRDefault="00AC2131" w:rsidP="00AC2131">
                  <w:pPr>
                    <w:pStyle w:val="TableBodyText"/>
                    <w:spacing w:after="0"/>
                    <w:ind w:left="0" w:right="57"/>
                  </w:pPr>
                  <w:r>
                    <w:t>1.6</w:t>
                  </w:r>
                </w:p>
              </w:tc>
              <w:tc>
                <w:tcPr>
                  <w:tcW w:w="465" w:type="pct"/>
                  <w:shd w:val="clear" w:color="auto" w:fill="auto"/>
                  <w:vAlign w:val="bottom"/>
                </w:tcPr>
                <w:p w:rsidR="00AC2131" w:rsidRDefault="00AC2131" w:rsidP="00AC2131">
                  <w:pPr>
                    <w:pStyle w:val="TableBodyText"/>
                    <w:spacing w:after="0"/>
                    <w:ind w:left="0" w:right="57"/>
                  </w:pPr>
                  <w:r>
                    <w:t>1.7</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 xml:space="preserve">Small business </w:t>
                  </w:r>
                  <w:r>
                    <w:rPr>
                      <w:rFonts w:ascii="Arial" w:hAnsi="Arial" w:cs="Arial"/>
                      <w:color w:val="000000"/>
                      <w:sz w:val="18"/>
                      <w:szCs w:val="18"/>
                    </w:rPr>
                    <w:t>capital gains tax</w:t>
                  </w:r>
                  <w:r w:rsidRPr="00065E82">
                    <w:rPr>
                      <w:rFonts w:ascii="Arial" w:hAnsi="Arial" w:cs="Arial"/>
                      <w:color w:val="000000"/>
                      <w:sz w:val="18"/>
                      <w:szCs w:val="18"/>
                    </w:rPr>
                    <w:t xml:space="preserve"> rollover deferral</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South East South Australia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0.6</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Tasmanian Freight Equalisation Scheme</w:t>
                  </w:r>
                </w:p>
              </w:tc>
              <w:tc>
                <w:tcPr>
                  <w:tcW w:w="467" w:type="pct"/>
                  <w:vAlign w:val="bottom"/>
                </w:tcPr>
                <w:p w:rsidR="00AC2131" w:rsidRDefault="00AC2131" w:rsidP="00AC2131">
                  <w:pPr>
                    <w:pStyle w:val="TableBodyText"/>
                    <w:spacing w:after="0"/>
                    <w:ind w:left="0" w:right="57"/>
                  </w:pPr>
                  <w:r>
                    <w:t>13.2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Tasmanian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065E82" w:rsidRDefault="00AC2131" w:rsidP="00AC2131">
                  <w:pPr>
                    <w:ind w:left="227"/>
                    <w:rPr>
                      <w:rFonts w:ascii="Arial" w:hAnsi="Arial" w:cs="Arial"/>
                      <w:color w:val="000000"/>
                      <w:sz w:val="18"/>
                      <w:szCs w:val="18"/>
                    </w:rPr>
                  </w:pPr>
                  <w:r w:rsidRPr="00065E82">
                    <w:rPr>
                      <w:rFonts w:ascii="Arial" w:hAnsi="Arial" w:cs="Arial"/>
                      <w:color w:val="000000"/>
                      <w:sz w:val="18"/>
                      <w:szCs w:val="18"/>
                    </w:rPr>
                    <w:t>The Small Business and General Business Tax Break</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8.0</w:t>
                  </w:r>
                </w:p>
              </w:tc>
              <w:tc>
                <w:tcPr>
                  <w:tcW w:w="467" w:type="pct"/>
                  <w:vAlign w:val="bottom"/>
                </w:tcPr>
                <w:p w:rsidR="00AC2131" w:rsidRDefault="00AC2131" w:rsidP="00AC2131">
                  <w:pPr>
                    <w:pStyle w:val="TableBodyText"/>
                    <w:spacing w:after="0"/>
                    <w:ind w:left="0" w:right="57"/>
                  </w:pPr>
                  <w:r>
                    <w:t>14.1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RPr="00065E82" w:rsidTr="00AC2131">
              <w:tc>
                <w:tcPr>
                  <w:tcW w:w="2200" w:type="pct"/>
                  <w:shd w:val="clear" w:color="auto" w:fill="auto"/>
                </w:tcPr>
                <w:p w:rsidR="00AC2131" w:rsidRPr="00065E82" w:rsidRDefault="00AC2131" w:rsidP="00AC2131">
                  <w:pPr>
                    <w:pStyle w:val="TableBodyText"/>
                    <w:spacing w:before="20" w:after="20"/>
                    <w:jc w:val="left"/>
                    <w:rPr>
                      <w:i/>
                    </w:rPr>
                  </w:pPr>
                  <w:r w:rsidRPr="00065E82">
                    <w:rPr>
                      <w:i/>
                    </w:rPr>
                    <w:t>Total</w:t>
                  </w:r>
                </w:p>
              </w:tc>
              <w:tc>
                <w:tcPr>
                  <w:tcW w:w="467" w:type="pct"/>
                  <w:vAlign w:val="bottom"/>
                </w:tcPr>
                <w:p w:rsidR="00AC2131" w:rsidRPr="00723C53" w:rsidRDefault="00AC2131" w:rsidP="00AC2131">
                  <w:pPr>
                    <w:pStyle w:val="TableBodyText"/>
                    <w:spacing w:before="20" w:after="20"/>
                    <w:ind w:left="0" w:right="57"/>
                    <w:rPr>
                      <w:i/>
                    </w:rPr>
                  </w:pPr>
                  <w:r w:rsidRPr="00723C53">
                    <w:rPr>
                      <w:i/>
                    </w:rPr>
                    <w:t>72.0</w:t>
                  </w:r>
                </w:p>
              </w:tc>
              <w:tc>
                <w:tcPr>
                  <w:tcW w:w="467" w:type="pct"/>
                  <w:vAlign w:val="bottom"/>
                </w:tcPr>
                <w:p w:rsidR="00AC2131" w:rsidRPr="00723C53" w:rsidRDefault="00AC2131" w:rsidP="00AC2131">
                  <w:pPr>
                    <w:pStyle w:val="TableBodyText"/>
                    <w:spacing w:before="20" w:after="20"/>
                    <w:ind w:left="0" w:right="57"/>
                    <w:rPr>
                      <w:i/>
                    </w:rPr>
                  </w:pPr>
                  <w:r w:rsidRPr="00723C53">
                    <w:rPr>
                      <w:i/>
                    </w:rPr>
                    <w:t>33.6</w:t>
                  </w:r>
                </w:p>
              </w:tc>
              <w:tc>
                <w:tcPr>
                  <w:tcW w:w="467" w:type="pct"/>
                  <w:vAlign w:val="bottom"/>
                </w:tcPr>
                <w:p w:rsidR="00AC2131" w:rsidRPr="00723C53" w:rsidRDefault="00AC2131" w:rsidP="00AC2131">
                  <w:pPr>
                    <w:pStyle w:val="TableBodyText"/>
                    <w:spacing w:before="20" w:after="20"/>
                    <w:ind w:left="0" w:right="57"/>
                    <w:rPr>
                      <w:i/>
                    </w:rPr>
                  </w:pPr>
                  <w:r w:rsidRPr="00723C53">
                    <w:rPr>
                      <w:i/>
                    </w:rPr>
                    <w:t>36.3</w:t>
                  </w:r>
                </w:p>
              </w:tc>
              <w:tc>
                <w:tcPr>
                  <w:tcW w:w="467" w:type="pct"/>
                  <w:vAlign w:val="bottom"/>
                </w:tcPr>
                <w:p w:rsidR="00AC2131" w:rsidRPr="00723C53" w:rsidRDefault="00AC2131" w:rsidP="00AC2131">
                  <w:pPr>
                    <w:pStyle w:val="TableBodyText"/>
                    <w:spacing w:before="20" w:after="20"/>
                    <w:ind w:left="0" w:right="57"/>
                    <w:rPr>
                      <w:i/>
                    </w:rPr>
                  </w:pPr>
                  <w:r w:rsidRPr="00723C53">
                    <w:rPr>
                      <w:i/>
                    </w:rPr>
                    <w:t>17.3</w:t>
                  </w:r>
                </w:p>
              </w:tc>
              <w:tc>
                <w:tcPr>
                  <w:tcW w:w="467" w:type="pct"/>
                  <w:shd w:val="clear" w:color="auto" w:fill="auto"/>
                  <w:vAlign w:val="bottom"/>
                </w:tcPr>
                <w:p w:rsidR="00AC2131" w:rsidRPr="00723C53" w:rsidRDefault="00AC2131" w:rsidP="00AC2131">
                  <w:pPr>
                    <w:pStyle w:val="TableBodyText"/>
                    <w:spacing w:before="20" w:after="20"/>
                    <w:ind w:left="0" w:right="57"/>
                    <w:rPr>
                      <w:i/>
                    </w:rPr>
                  </w:pPr>
                  <w:r w:rsidRPr="00723C53">
                    <w:rPr>
                      <w:i/>
                    </w:rPr>
                    <w:t>30.0</w:t>
                  </w:r>
                </w:p>
              </w:tc>
              <w:tc>
                <w:tcPr>
                  <w:tcW w:w="465" w:type="pct"/>
                  <w:shd w:val="clear" w:color="auto" w:fill="auto"/>
                  <w:vAlign w:val="bottom"/>
                </w:tcPr>
                <w:p w:rsidR="00AC2131" w:rsidRPr="00723C53" w:rsidRDefault="00AC2131" w:rsidP="00AC2131">
                  <w:pPr>
                    <w:pStyle w:val="TableBodyText"/>
                    <w:spacing w:before="20" w:after="20"/>
                    <w:ind w:left="0" w:right="57"/>
                    <w:rPr>
                      <w:i/>
                    </w:rPr>
                  </w:pPr>
                  <w:r w:rsidRPr="00723C53">
                    <w:rPr>
                      <w:i/>
                    </w:rPr>
                    <w:t>22.6</w:t>
                  </w:r>
                </w:p>
              </w:tc>
            </w:tr>
            <w:tr w:rsidR="00AC2131" w:rsidTr="00AC2131">
              <w:tc>
                <w:tcPr>
                  <w:tcW w:w="2200" w:type="pct"/>
                  <w:shd w:val="clear" w:color="auto" w:fill="auto"/>
                </w:tcPr>
                <w:p w:rsidR="00AC2131" w:rsidRPr="000D784F" w:rsidRDefault="00AC2131" w:rsidP="00AC2131">
                  <w:pPr>
                    <w:pStyle w:val="TableBodyText"/>
                    <w:spacing w:before="40"/>
                    <w:jc w:val="left"/>
                    <w:rPr>
                      <w:b/>
                    </w:rPr>
                  </w:pPr>
                  <w:r w:rsidRPr="000D784F">
                    <w:rPr>
                      <w:b/>
                    </w:rPr>
                    <w:t>Printing and recorded media</w:t>
                  </w: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5" w:type="pct"/>
                  <w:shd w:val="clear" w:color="auto" w:fill="auto"/>
                </w:tcPr>
                <w:p w:rsidR="00AC2131" w:rsidRDefault="00AC2131" w:rsidP="00AC2131">
                  <w:pPr>
                    <w:pStyle w:val="TableBodyText"/>
                    <w:spacing w:before="40"/>
                    <w:ind w:right="28"/>
                  </w:pPr>
                </w:p>
              </w:tc>
            </w:tr>
            <w:tr w:rsidR="00AC2131" w:rsidTr="00AC2131">
              <w:tc>
                <w:tcPr>
                  <w:tcW w:w="2200" w:type="pct"/>
                  <w:shd w:val="clear" w:color="auto" w:fill="auto"/>
                </w:tcPr>
                <w:p w:rsidR="00AC2131" w:rsidRPr="00F128B8" w:rsidRDefault="00AC2131" w:rsidP="00AC2131">
                  <w:pPr>
                    <w:pStyle w:val="TableBodyText"/>
                    <w:spacing w:before="40" w:after="0"/>
                    <w:ind w:left="113"/>
                    <w:jc w:val="left"/>
                    <w:rPr>
                      <w:i/>
                    </w:rPr>
                  </w:pPr>
                  <w:r w:rsidRPr="00F128B8">
                    <w:rPr>
                      <w:i/>
                    </w:rPr>
                    <w:t>Industry-specific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ind w:left="227" w:right="0"/>
                    <w:jc w:val="left"/>
                  </w:pPr>
                  <w:r w:rsidRPr="00F128B8">
                    <w:t>TCF Small Business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F128B8" w:rsidRDefault="00AC2131" w:rsidP="00AC2131">
                  <w:pPr>
                    <w:pStyle w:val="TableBodyText"/>
                    <w:spacing w:before="40" w:after="0"/>
                    <w:ind w:left="113"/>
                    <w:jc w:val="left"/>
                    <w:rPr>
                      <w:i/>
                    </w:rPr>
                  </w:pPr>
                  <w:r w:rsidRPr="00F128B8">
                    <w:rPr>
                      <w:i/>
                    </w:rPr>
                    <w:t>Sector-specific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ind w:left="227" w:right="0"/>
                    <w:jc w:val="left"/>
                  </w:pPr>
                  <w:r w:rsidRPr="00F128B8">
                    <w:t>Clean Technology Investment - General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1.9</w:t>
                  </w:r>
                </w:p>
              </w:tc>
              <w:tc>
                <w:tcPr>
                  <w:tcW w:w="465" w:type="pct"/>
                  <w:shd w:val="clear" w:color="auto" w:fill="auto"/>
                  <w:vAlign w:val="bottom"/>
                </w:tcPr>
                <w:p w:rsidR="00AC2131" w:rsidRDefault="00AC2131" w:rsidP="00AC2131">
                  <w:pPr>
                    <w:pStyle w:val="TableBodyText"/>
                    <w:spacing w:after="0"/>
                    <w:ind w:left="0" w:right="57"/>
                  </w:pPr>
                  <w:r>
                    <w:t>3.1</w:t>
                  </w:r>
                </w:p>
              </w:tc>
            </w:tr>
            <w:tr w:rsidR="00AC2131" w:rsidTr="00AC2131">
              <w:tc>
                <w:tcPr>
                  <w:tcW w:w="2200" w:type="pct"/>
                  <w:shd w:val="clear" w:color="auto" w:fill="auto"/>
                </w:tcPr>
                <w:p w:rsidR="00AC2131" w:rsidRPr="00F128B8" w:rsidRDefault="00AC2131" w:rsidP="00AC2131">
                  <w:pPr>
                    <w:pStyle w:val="TableBodyText"/>
                    <w:spacing w:before="40" w:after="0"/>
                    <w:ind w:left="113"/>
                    <w:jc w:val="left"/>
                    <w:rPr>
                      <w:i/>
                    </w:rPr>
                  </w:pPr>
                  <w:r w:rsidRPr="00F128B8">
                    <w:rPr>
                      <w:i/>
                    </w:rPr>
                    <w:t>General export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F128B8" w:rsidRDefault="00AC2131" w:rsidP="00AC2131">
                  <w:pPr>
                    <w:ind w:left="227"/>
                    <w:rPr>
                      <w:rFonts w:ascii="Arial" w:hAnsi="Arial" w:cs="Arial"/>
                      <w:color w:val="000000"/>
                      <w:sz w:val="18"/>
                      <w:szCs w:val="18"/>
                    </w:rPr>
                  </w:pPr>
                  <w:r w:rsidRPr="00F128B8">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tcBorders>
                    <w:bottom w:val="single" w:sz="6" w:space="0" w:color="BFBFBF"/>
                  </w:tcBorders>
                  <w:shd w:val="clear" w:color="auto" w:fill="auto"/>
                </w:tcPr>
                <w:p w:rsidR="00AC2131" w:rsidRPr="00F128B8" w:rsidRDefault="00AC2131" w:rsidP="00AC2131">
                  <w:pPr>
                    <w:ind w:left="227"/>
                    <w:rPr>
                      <w:rFonts w:ascii="Arial" w:hAnsi="Arial" w:cs="Arial"/>
                      <w:sz w:val="18"/>
                      <w:szCs w:val="18"/>
                    </w:rPr>
                  </w:pPr>
                  <w:r w:rsidRPr="00F128B8">
                    <w:rPr>
                      <w:rFonts w:ascii="Arial" w:hAnsi="Arial" w:cs="Arial"/>
                      <w:sz w:val="18"/>
                      <w:szCs w:val="18"/>
                    </w:rPr>
                    <w:t>TRADEX</w:t>
                  </w:r>
                </w:p>
              </w:tc>
              <w:tc>
                <w:tcPr>
                  <w:tcW w:w="467" w:type="pct"/>
                  <w:tcBorders>
                    <w:bottom w:val="single" w:sz="6" w:space="0" w:color="BFBFBF"/>
                  </w:tcBorders>
                  <w:vAlign w:val="bottom"/>
                </w:tcPr>
                <w:p w:rsidR="00AC2131" w:rsidRDefault="00AC2131" w:rsidP="00AC2131">
                  <w:pPr>
                    <w:pStyle w:val="TableBodyText"/>
                    <w:spacing w:after="0"/>
                    <w:ind w:left="0" w:right="57"/>
                  </w:pPr>
                  <w:r>
                    <w:t>0.2</w:t>
                  </w:r>
                </w:p>
              </w:tc>
              <w:tc>
                <w:tcPr>
                  <w:tcW w:w="467" w:type="pct"/>
                  <w:tcBorders>
                    <w:bottom w:val="single" w:sz="6" w:space="0" w:color="BFBFBF"/>
                  </w:tcBorders>
                  <w:vAlign w:val="bottom"/>
                </w:tcPr>
                <w:p w:rsidR="00AC2131" w:rsidRDefault="00AC2131" w:rsidP="00AC2131">
                  <w:pPr>
                    <w:pStyle w:val="TableBodyText"/>
                    <w:spacing w:after="0"/>
                    <w:ind w:left="0" w:right="57"/>
                  </w:pPr>
                  <w:r>
                    <w:t>0.2</w:t>
                  </w:r>
                </w:p>
              </w:tc>
              <w:tc>
                <w:tcPr>
                  <w:tcW w:w="467" w:type="pct"/>
                  <w:tcBorders>
                    <w:bottom w:val="single" w:sz="6" w:space="0" w:color="BFBFBF"/>
                  </w:tcBorders>
                  <w:vAlign w:val="bottom"/>
                </w:tcPr>
                <w:p w:rsidR="00AC2131" w:rsidRDefault="00AC2131" w:rsidP="00AC2131">
                  <w:pPr>
                    <w:pStyle w:val="TableBodyText"/>
                    <w:spacing w:after="0"/>
                    <w:ind w:left="0" w:right="57"/>
                  </w:pPr>
                  <w:r>
                    <w:t>0.1</w:t>
                  </w:r>
                </w:p>
              </w:tc>
              <w:tc>
                <w:tcPr>
                  <w:tcW w:w="467" w:type="pct"/>
                  <w:tcBorders>
                    <w:bottom w:val="single" w:sz="6" w:space="0" w:color="BFBFBF"/>
                  </w:tcBorders>
                  <w:vAlign w:val="bottom"/>
                </w:tcPr>
                <w:p w:rsidR="00AC2131" w:rsidRDefault="00AC2131" w:rsidP="00AC2131">
                  <w:pPr>
                    <w:pStyle w:val="TableBodyText"/>
                    <w:spacing w:after="0"/>
                    <w:ind w:left="0" w:right="57"/>
                  </w:pPr>
                  <w:r>
                    <w:t>0.1</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0.1</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0.1</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ind w:left="6499"/>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szCs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797"/>
              <w:gridCol w:w="794"/>
              <w:gridCol w:w="794"/>
              <w:gridCol w:w="794"/>
              <w:gridCol w:w="794"/>
              <w:gridCol w:w="789"/>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565C3F" w:rsidRDefault="00AC2131" w:rsidP="00AC2131">
                  <w:pPr>
                    <w:pStyle w:val="TableUnitsRow"/>
                    <w:spacing w:after="0"/>
                    <w:ind w:left="113"/>
                    <w:jc w:val="left"/>
                    <w:rPr>
                      <w:i/>
                    </w:rPr>
                  </w:pPr>
                  <w:r w:rsidRPr="00565C3F">
                    <w:rPr>
                      <w:i/>
                    </w:rPr>
                    <w:t>General R&amp;D measures</w:t>
                  </w: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5"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5" w:type="pct"/>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Commercial Ready Program</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1.1</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2.1</w:t>
                  </w:r>
                </w:p>
              </w:tc>
              <w:tc>
                <w:tcPr>
                  <w:tcW w:w="467" w:type="pct"/>
                  <w:shd w:val="clear" w:color="auto" w:fill="auto"/>
                  <w:vAlign w:val="bottom"/>
                </w:tcPr>
                <w:p w:rsidR="00AC2131" w:rsidRDefault="00AC2131" w:rsidP="00AC2131">
                  <w:pPr>
                    <w:pStyle w:val="TableBodyText"/>
                    <w:spacing w:after="0"/>
                    <w:ind w:left="0" w:right="57"/>
                  </w:pPr>
                  <w:r>
                    <w:t>0.9</w:t>
                  </w:r>
                </w:p>
              </w:tc>
              <w:tc>
                <w:tcPr>
                  <w:tcW w:w="465" w:type="pct"/>
                  <w:shd w:val="clear" w:color="auto" w:fill="auto"/>
                  <w:vAlign w:val="bottom"/>
                </w:tcPr>
                <w:p w:rsidR="00AC2131" w:rsidRDefault="00AC2131" w:rsidP="00AC2131">
                  <w:pPr>
                    <w:pStyle w:val="TableBodyText"/>
                    <w:spacing w:after="0"/>
                    <w:ind w:left="0" w:right="57"/>
                  </w:pPr>
                  <w:r>
                    <w:t>0.3</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-1.1</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1.0</w:t>
                  </w:r>
                </w:p>
              </w:tc>
              <w:tc>
                <w:tcPr>
                  <w:tcW w:w="465" w:type="pct"/>
                  <w:shd w:val="clear" w:color="auto" w:fill="auto"/>
                  <w:vAlign w:val="bottom"/>
                </w:tcPr>
                <w:p w:rsidR="00AC2131" w:rsidRDefault="00AC2131" w:rsidP="00AC2131">
                  <w:pPr>
                    <w:pStyle w:val="TableBodyText"/>
                    <w:spacing w:after="0"/>
                    <w:ind w:left="0" w:right="57"/>
                  </w:pPr>
                  <w:r>
                    <w:t>2.1</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2.0</w:t>
                  </w:r>
                </w:p>
              </w:tc>
              <w:tc>
                <w:tcPr>
                  <w:tcW w:w="465" w:type="pct"/>
                  <w:shd w:val="clear" w:color="auto" w:fill="auto"/>
                  <w:vAlign w:val="bottom"/>
                </w:tcPr>
                <w:p w:rsidR="00AC2131" w:rsidRDefault="00AC2131" w:rsidP="00AC2131">
                  <w:pPr>
                    <w:pStyle w:val="TableBodyText"/>
                    <w:spacing w:after="0"/>
                    <w:ind w:left="0" w:right="57"/>
                  </w:pPr>
                  <w:r>
                    <w:t>3.7</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3.1</w:t>
                  </w:r>
                </w:p>
              </w:tc>
              <w:tc>
                <w:tcPr>
                  <w:tcW w:w="467" w:type="pct"/>
                  <w:vAlign w:val="bottom"/>
                </w:tcPr>
                <w:p w:rsidR="00AC2131" w:rsidRDefault="00AC2131" w:rsidP="00AC2131">
                  <w:pPr>
                    <w:pStyle w:val="TableBodyText"/>
                    <w:spacing w:after="0"/>
                    <w:ind w:left="0" w:right="57"/>
                  </w:pPr>
                  <w:r>
                    <w:t>3.5</w:t>
                  </w:r>
                </w:p>
              </w:tc>
              <w:tc>
                <w:tcPr>
                  <w:tcW w:w="467" w:type="pct"/>
                  <w:vAlign w:val="bottom"/>
                </w:tcPr>
                <w:p w:rsidR="00AC2131" w:rsidRDefault="00AC2131" w:rsidP="00AC2131">
                  <w:pPr>
                    <w:pStyle w:val="TableBodyText"/>
                    <w:spacing w:after="0"/>
                    <w:ind w:left="0" w:right="57"/>
                  </w:pPr>
                  <w:r>
                    <w:t>2.3</w:t>
                  </w:r>
                </w:p>
              </w:tc>
              <w:tc>
                <w:tcPr>
                  <w:tcW w:w="467" w:type="pct"/>
                  <w:vAlign w:val="bottom"/>
                </w:tcPr>
                <w:p w:rsidR="00AC2131" w:rsidRDefault="00AC2131" w:rsidP="00AC2131">
                  <w:pPr>
                    <w:pStyle w:val="TableBodyText"/>
                    <w:spacing w:after="0"/>
                    <w:ind w:left="0" w:right="57"/>
                  </w:pPr>
                  <w:r>
                    <w:t>2.6</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6A53DA" w:rsidRDefault="00AC2131" w:rsidP="00AC2131">
                  <w:pPr>
                    <w:pStyle w:val="TableBodyText"/>
                    <w:spacing w:before="40" w:after="0"/>
                    <w:ind w:left="113"/>
                    <w:jc w:val="left"/>
                    <w:rPr>
                      <w:i/>
                    </w:rPr>
                  </w:pPr>
                  <w:r w:rsidRPr="006A53DA">
                    <w:rPr>
                      <w:i/>
                    </w:rPr>
                    <w:t>Other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0.4</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Illawarra Region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2.9</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4.5</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 xml:space="preserve">Small business </w:t>
                  </w:r>
                  <w:r>
                    <w:rPr>
                      <w:rFonts w:ascii="Arial" w:hAnsi="Arial" w:cs="Arial"/>
                      <w:color w:val="000000"/>
                      <w:sz w:val="18"/>
                      <w:szCs w:val="18"/>
                    </w:rPr>
                    <w:t>capital gains tax</w:t>
                  </w:r>
                  <w:r w:rsidRPr="006A53DA">
                    <w:rPr>
                      <w:rFonts w:ascii="Arial" w:hAnsi="Arial" w:cs="Arial"/>
                      <w:color w:val="000000"/>
                      <w:sz w:val="18"/>
                      <w:szCs w:val="18"/>
                    </w:rPr>
                    <w:t xml:space="preserve"> 50 per cent reduction</w:t>
                  </w:r>
                </w:p>
              </w:tc>
              <w:tc>
                <w:tcPr>
                  <w:tcW w:w="467"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3.0</w:t>
                  </w:r>
                </w:p>
              </w:tc>
              <w:tc>
                <w:tcPr>
                  <w:tcW w:w="467" w:type="pct"/>
                  <w:vAlign w:val="bottom"/>
                </w:tcPr>
                <w:p w:rsidR="00AC2131" w:rsidRDefault="00AC2131" w:rsidP="00AC2131">
                  <w:pPr>
                    <w:pStyle w:val="TableBodyText"/>
                    <w:spacing w:after="0"/>
                    <w:ind w:left="0" w:right="57"/>
                  </w:pPr>
                  <w:r>
                    <w:t>3.3</w:t>
                  </w:r>
                </w:p>
              </w:tc>
              <w:tc>
                <w:tcPr>
                  <w:tcW w:w="467" w:type="pct"/>
                  <w:shd w:val="clear" w:color="auto" w:fill="auto"/>
                  <w:vAlign w:val="bottom"/>
                </w:tcPr>
                <w:p w:rsidR="00AC2131" w:rsidRDefault="00AC2131" w:rsidP="00AC2131">
                  <w:pPr>
                    <w:pStyle w:val="TableBodyText"/>
                    <w:spacing w:after="0"/>
                    <w:ind w:left="0" w:right="57"/>
                  </w:pPr>
                  <w:r>
                    <w:t>3.4</w:t>
                  </w:r>
                </w:p>
              </w:tc>
              <w:tc>
                <w:tcPr>
                  <w:tcW w:w="465" w:type="pct"/>
                  <w:shd w:val="clear" w:color="auto" w:fill="auto"/>
                  <w:vAlign w:val="bottom"/>
                </w:tcPr>
                <w:p w:rsidR="00AC2131" w:rsidRDefault="00AC2131" w:rsidP="00AC2131">
                  <w:pPr>
                    <w:pStyle w:val="TableBodyText"/>
                    <w:spacing w:after="0"/>
                    <w:ind w:left="0" w:right="57"/>
                  </w:pPr>
                  <w:r>
                    <w:t>3.6</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 xml:space="preserve">Small business </w:t>
                  </w:r>
                  <w:r>
                    <w:rPr>
                      <w:rFonts w:ascii="Arial" w:hAnsi="Arial" w:cs="Arial"/>
                      <w:color w:val="000000"/>
                      <w:sz w:val="18"/>
                      <w:szCs w:val="18"/>
                    </w:rPr>
                    <w:t>capital gains tax</w:t>
                  </w:r>
                  <w:r w:rsidRPr="006A53DA">
                    <w:rPr>
                      <w:rFonts w:ascii="Arial" w:hAnsi="Arial" w:cs="Arial"/>
                      <w:color w:val="000000"/>
                      <w:sz w:val="18"/>
                      <w:szCs w:val="18"/>
                    </w:rPr>
                    <w:t xml:space="preserve"> retirement exemption</w:t>
                  </w:r>
                </w:p>
              </w:tc>
              <w:tc>
                <w:tcPr>
                  <w:tcW w:w="467"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1.5</w:t>
                  </w:r>
                </w:p>
              </w:tc>
              <w:tc>
                <w:tcPr>
                  <w:tcW w:w="467" w:type="pct"/>
                  <w:vAlign w:val="bottom"/>
                </w:tcPr>
                <w:p w:rsidR="00AC2131" w:rsidRDefault="00AC2131" w:rsidP="00AC2131">
                  <w:pPr>
                    <w:pStyle w:val="TableBodyText"/>
                    <w:spacing w:after="0"/>
                    <w:ind w:left="0" w:right="57"/>
                  </w:pPr>
                  <w:r>
                    <w:t>2.2</w:t>
                  </w:r>
                </w:p>
              </w:tc>
              <w:tc>
                <w:tcPr>
                  <w:tcW w:w="467" w:type="pct"/>
                  <w:shd w:val="clear" w:color="auto" w:fill="auto"/>
                  <w:vAlign w:val="bottom"/>
                </w:tcPr>
                <w:p w:rsidR="00AC2131" w:rsidRDefault="00AC2131" w:rsidP="00AC2131">
                  <w:pPr>
                    <w:pStyle w:val="TableBodyText"/>
                    <w:spacing w:after="0"/>
                    <w:ind w:left="0" w:right="57"/>
                  </w:pPr>
                  <w:r>
                    <w:t>2.2</w:t>
                  </w:r>
                </w:p>
              </w:tc>
              <w:tc>
                <w:tcPr>
                  <w:tcW w:w="465" w:type="pct"/>
                  <w:shd w:val="clear" w:color="auto" w:fill="auto"/>
                  <w:vAlign w:val="bottom"/>
                </w:tcPr>
                <w:p w:rsidR="00AC2131" w:rsidRDefault="00AC2131" w:rsidP="00AC2131">
                  <w:pPr>
                    <w:pStyle w:val="TableBodyText"/>
                    <w:spacing w:after="0"/>
                    <w:ind w:left="0" w:right="57"/>
                  </w:pPr>
                  <w:r>
                    <w:t>2.3</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Tasmanian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The Small Business and General Business Tax Break</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8.1</w:t>
                  </w:r>
                </w:p>
              </w:tc>
              <w:tc>
                <w:tcPr>
                  <w:tcW w:w="467" w:type="pct"/>
                  <w:vAlign w:val="bottom"/>
                </w:tcPr>
                <w:p w:rsidR="00AC2131" w:rsidRDefault="00AC2131" w:rsidP="00AC2131">
                  <w:pPr>
                    <w:pStyle w:val="TableBodyText"/>
                    <w:spacing w:after="0"/>
                    <w:ind w:left="0" w:right="57"/>
                  </w:pPr>
                  <w:r>
                    <w:t>8.4</w:t>
                  </w:r>
                </w:p>
              </w:tc>
              <w:tc>
                <w:tcPr>
                  <w:tcW w:w="467" w:type="pct"/>
                  <w:vAlign w:val="bottom"/>
                </w:tcPr>
                <w:p w:rsidR="00AC2131" w:rsidRDefault="00AC2131" w:rsidP="00AC2131">
                  <w:pPr>
                    <w:pStyle w:val="TableBodyText"/>
                    <w:spacing w:after="0"/>
                    <w:ind w:left="0" w:right="57"/>
                  </w:pPr>
                  <w:r>
                    <w:t>1.1</w:t>
                  </w:r>
                </w:p>
              </w:tc>
              <w:tc>
                <w:tcPr>
                  <w:tcW w:w="467" w:type="pct"/>
                  <w:shd w:val="clear" w:color="auto" w:fill="auto"/>
                  <w:vAlign w:val="bottom"/>
                </w:tcPr>
                <w:p w:rsidR="00AC2131" w:rsidRDefault="00AC2131" w:rsidP="00AC2131">
                  <w:pPr>
                    <w:pStyle w:val="TableBodyText"/>
                    <w:spacing w:after="0"/>
                    <w:ind w:left="0" w:right="57"/>
                  </w:pPr>
                  <w:r>
                    <w:t>0.4</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tcPr>
                <w:p w:rsidR="00AC2131" w:rsidRPr="006A53DA" w:rsidRDefault="00AC2131" w:rsidP="00AC2131">
                  <w:pPr>
                    <w:pStyle w:val="TableBodyText"/>
                    <w:spacing w:before="20" w:after="20"/>
                    <w:jc w:val="left"/>
                    <w:rPr>
                      <w:i/>
                    </w:rPr>
                  </w:pPr>
                  <w:r w:rsidRPr="006A53DA">
                    <w:rPr>
                      <w:i/>
                    </w:rPr>
                    <w:t>Total</w:t>
                  </w:r>
                </w:p>
              </w:tc>
              <w:tc>
                <w:tcPr>
                  <w:tcW w:w="467" w:type="pct"/>
                  <w:vAlign w:val="bottom"/>
                </w:tcPr>
                <w:p w:rsidR="00AC2131" w:rsidRPr="00723C53" w:rsidRDefault="00AC2131" w:rsidP="00AC2131">
                  <w:pPr>
                    <w:pStyle w:val="TableBodyText"/>
                    <w:spacing w:before="20" w:after="20"/>
                    <w:ind w:left="0" w:right="57"/>
                    <w:rPr>
                      <w:i/>
                    </w:rPr>
                  </w:pPr>
                  <w:r w:rsidRPr="00723C53">
                    <w:rPr>
                      <w:i/>
                    </w:rPr>
                    <w:t>10.2</w:t>
                  </w:r>
                </w:p>
              </w:tc>
              <w:tc>
                <w:tcPr>
                  <w:tcW w:w="467" w:type="pct"/>
                  <w:vAlign w:val="bottom"/>
                </w:tcPr>
                <w:p w:rsidR="00AC2131" w:rsidRPr="00723C53" w:rsidRDefault="00AC2131" w:rsidP="00AC2131">
                  <w:pPr>
                    <w:pStyle w:val="TableBodyText"/>
                    <w:spacing w:before="20" w:after="20"/>
                    <w:ind w:left="0" w:right="57"/>
                    <w:rPr>
                      <w:i/>
                    </w:rPr>
                  </w:pPr>
                  <w:r w:rsidRPr="00723C53">
                    <w:rPr>
                      <w:i/>
                    </w:rPr>
                    <w:t>18.3</w:t>
                  </w:r>
                </w:p>
              </w:tc>
              <w:tc>
                <w:tcPr>
                  <w:tcW w:w="467" w:type="pct"/>
                  <w:vAlign w:val="bottom"/>
                </w:tcPr>
                <w:p w:rsidR="00AC2131" w:rsidRPr="00723C53" w:rsidRDefault="00AC2131" w:rsidP="00AC2131">
                  <w:pPr>
                    <w:pStyle w:val="TableBodyText"/>
                    <w:spacing w:before="20" w:after="20"/>
                    <w:ind w:left="0" w:right="57"/>
                    <w:rPr>
                      <w:i/>
                    </w:rPr>
                  </w:pPr>
                  <w:r w:rsidRPr="00723C53">
                    <w:rPr>
                      <w:i/>
                    </w:rPr>
                    <w:t>17.9</w:t>
                  </w:r>
                </w:p>
              </w:tc>
              <w:tc>
                <w:tcPr>
                  <w:tcW w:w="467" w:type="pct"/>
                  <w:vAlign w:val="bottom"/>
                </w:tcPr>
                <w:p w:rsidR="00AC2131" w:rsidRPr="00723C53" w:rsidRDefault="00AC2131" w:rsidP="00AC2131">
                  <w:pPr>
                    <w:pStyle w:val="TableBodyText"/>
                    <w:spacing w:before="20" w:after="20"/>
                    <w:ind w:left="0" w:right="57"/>
                    <w:rPr>
                      <w:i/>
                    </w:rPr>
                  </w:pPr>
                  <w:r w:rsidRPr="00723C53">
                    <w:rPr>
                      <w:i/>
                    </w:rPr>
                    <w:t>16.3</w:t>
                  </w:r>
                </w:p>
              </w:tc>
              <w:tc>
                <w:tcPr>
                  <w:tcW w:w="467" w:type="pct"/>
                  <w:shd w:val="clear" w:color="auto" w:fill="auto"/>
                  <w:vAlign w:val="bottom"/>
                </w:tcPr>
                <w:p w:rsidR="00AC2131" w:rsidRPr="00723C53" w:rsidRDefault="00AC2131" w:rsidP="00AC2131">
                  <w:pPr>
                    <w:pStyle w:val="TableBodyText"/>
                    <w:spacing w:before="20" w:after="20"/>
                    <w:ind w:left="0" w:right="57"/>
                    <w:rPr>
                      <w:i/>
                    </w:rPr>
                  </w:pPr>
                  <w:r w:rsidRPr="00723C53">
                    <w:rPr>
                      <w:i/>
                    </w:rPr>
                    <w:t>13.0</w:t>
                  </w:r>
                </w:p>
              </w:tc>
              <w:tc>
                <w:tcPr>
                  <w:tcW w:w="465" w:type="pct"/>
                  <w:shd w:val="clear" w:color="auto" w:fill="auto"/>
                  <w:vAlign w:val="bottom"/>
                </w:tcPr>
                <w:p w:rsidR="00AC2131" w:rsidRPr="00723C53" w:rsidRDefault="00AC2131" w:rsidP="00AC2131">
                  <w:pPr>
                    <w:pStyle w:val="TableBodyText"/>
                    <w:spacing w:before="20" w:after="20"/>
                    <w:ind w:left="0" w:right="57"/>
                    <w:rPr>
                      <w:i/>
                    </w:rPr>
                  </w:pPr>
                  <w:r w:rsidRPr="00723C53">
                    <w:rPr>
                      <w:i/>
                    </w:rPr>
                    <w:t>19.1</w:t>
                  </w:r>
                </w:p>
              </w:tc>
            </w:tr>
            <w:tr w:rsidR="00AC2131" w:rsidTr="00AC2131">
              <w:tc>
                <w:tcPr>
                  <w:tcW w:w="2668" w:type="pct"/>
                  <w:gridSpan w:val="2"/>
                  <w:shd w:val="clear" w:color="auto" w:fill="auto"/>
                  <w:vAlign w:val="center"/>
                </w:tcPr>
                <w:p w:rsidR="00AC2131" w:rsidRDefault="00AC2131" w:rsidP="00AC2131">
                  <w:pPr>
                    <w:pStyle w:val="TableBodyText"/>
                    <w:spacing w:before="80"/>
                    <w:jc w:val="left"/>
                  </w:pPr>
                  <w:r w:rsidRPr="006A53DA">
                    <w:rPr>
                      <w:b/>
                    </w:rPr>
                    <w:t>Petroleum, coal, chemical and rubber products</w:t>
                  </w:r>
                </w:p>
              </w:tc>
              <w:tc>
                <w:tcPr>
                  <w:tcW w:w="467" w:type="pct"/>
                </w:tcPr>
                <w:p w:rsidR="00AC2131" w:rsidRDefault="00AC2131" w:rsidP="00AC2131">
                  <w:pPr>
                    <w:pStyle w:val="TableBodyText"/>
                    <w:spacing w:before="80"/>
                  </w:pPr>
                </w:p>
              </w:tc>
              <w:tc>
                <w:tcPr>
                  <w:tcW w:w="467" w:type="pct"/>
                </w:tcPr>
                <w:p w:rsidR="00AC2131" w:rsidRDefault="00AC2131" w:rsidP="00AC2131">
                  <w:pPr>
                    <w:pStyle w:val="TableBodyText"/>
                    <w:spacing w:before="80"/>
                  </w:pPr>
                </w:p>
              </w:tc>
              <w:tc>
                <w:tcPr>
                  <w:tcW w:w="467" w:type="pct"/>
                </w:tcPr>
                <w:p w:rsidR="00AC2131" w:rsidRDefault="00AC2131" w:rsidP="00AC2131">
                  <w:pPr>
                    <w:pStyle w:val="TableBodyText"/>
                    <w:spacing w:before="80"/>
                  </w:pPr>
                </w:p>
              </w:tc>
              <w:tc>
                <w:tcPr>
                  <w:tcW w:w="467" w:type="pct"/>
                  <w:shd w:val="clear" w:color="auto" w:fill="auto"/>
                </w:tcPr>
                <w:p w:rsidR="00AC2131" w:rsidRDefault="00AC2131" w:rsidP="00AC2131">
                  <w:pPr>
                    <w:pStyle w:val="TableBodyText"/>
                    <w:spacing w:before="80"/>
                  </w:pPr>
                </w:p>
              </w:tc>
              <w:tc>
                <w:tcPr>
                  <w:tcW w:w="465" w:type="pct"/>
                  <w:shd w:val="clear" w:color="auto" w:fill="auto"/>
                </w:tcPr>
                <w:p w:rsidR="00AC2131" w:rsidRDefault="00AC2131" w:rsidP="00AC2131">
                  <w:pPr>
                    <w:pStyle w:val="TableBodyText"/>
                    <w:spacing w:before="80"/>
                    <w:ind w:right="28"/>
                  </w:pPr>
                </w:p>
              </w:tc>
            </w:tr>
            <w:tr w:rsidR="00AC2131" w:rsidTr="00AC2131">
              <w:tc>
                <w:tcPr>
                  <w:tcW w:w="2200" w:type="pct"/>
                  <w:shd w:val="clear" w:color="auto" w:fill="auto"/>
                </w:tcPr>
                <w:p w:rsidR="00AC2131" w:rsidRPr="006A53DA" w:rsidRDefault="00AC2131" w:rsidP="00AC2131">
                  <w:pPr>
                    <w:pStyle w:val="TableBodyText"/>
                    <w:spacing w:before="40" w:after="0"/>
                    <w:ind w:left="113"/>
                    <w:jc w:val="left"/>
                    <w:rPr>
                      <w:i/>
                    </w:rPr>
                  </w:pPr>
                  <w:r w:rsidRPr="006A53DA">
                    <w:rPr>
                      <w:i/>
                    </w:rPr>
                    <w:t>Industry-specific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Clean Technology Investment - Food and Foundries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 xml:space="preserve">CSL </w:t>
                  </w:r>
                  <w:r>
                    <w:rPr>
                      <w:rFonts w:ascii="Arial" w:hAnsi="Arial" w:cs="Arial"/>
                      <w:color w:val="000000"/>
                      <w:sz w:val="18"/>
                      <w:szCs w:val="18"/>
                    </w:rPr>
                    <w:t>–</w:t>
                  </w:r>
                  <w:r w:rsidRPr="006A53DA">
                    <w:rPr>
                      <w:rFonts w:ascii="Arial" w:hAnsi="Arial" w:cs="Arial"/>
                      <w:color w:val="000000"/>
                      <w:sz w:val="18"/>
                      <w:szCs w:val="18"/>
                    </w:rPr>
                    <w:t xml:space="preserve"> Commonwealth assistance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9.3</w:t>
                  </w:r>
                </w:p>
              </w:tc>
              <w:tc>
                <w:tcPr>
                  <w:tcW w:w="467" w:type="pct"/>
                  <w:vAlign w:val="bottom"/>
                </w:tcPr>
                <w:p w:rsidR="00AC2131" w:rsidRDefault="00AC2131" w:rsidP="00AC2131">
                  <w:pPr>
                    <w:pStyle w:val="TableBodyText"/>
                    <w:spacing w:after="0"/>
                    <w:ind w:left="0" w:right="57"/>
                  </w:pPr>
                  <w:r>
                    <w:t>10.6</w:t>
                  </w:r>
                </w:p>
              </w:tc>
              <w:tc>
                <w:tcPr>
                  <w:tcW w:w="467" w:type="pct"/>
                  <w:shd w:val="clear" w:color="auto" w:fill="auto"/>
                  <w:vAlign w:val="bottom"/>
                </w:tcPr>
                <w:p w:rsidR="00AC2131" w:rsidRDefault="00AC2131" w:rsidP="00AC2131">
                  <w:pPr>
                    <w:pStyle w:val="TableBodyText"/>
                    <w:spacing w:after="0"/>
                    <w:ind w:left="0" w:right="57"/>
                  </w:pPr>
                  <w:r>
                    <w:t>8.0</w:t>
                  </w:r>
                </w:p>
              </w:tc>
              <w:tc>
                <w:tcPr>
                  <w:tcW w:w="465" w:type="pct"/>
                  <w:shd w:val="clear" w:color="auto" w:fill="auto"/>
                  <w:vAlign w:val="bottom"/>
                </w:tcPr>
                <w:p w:rsidR="00AC2131" w:rsidRDefault="00AC2131" w:rsidP="00AC2131">
                  <w:pPr>
                    <w:pStyle w:val="TableBodyText"/>
                    <w:spacing w:after="0"/>
                    <w:ind w:left="0" w:right="57"/>
                  </w:pPr>
                  <w:r>
                    <w:t>2.1</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Ethanol production subsidy</w:t>
                  </w:r>
                </w:p>
              </w:tc>
              <w:tc>
                <w:tcPr>
                  <w:tcW w:w="467" w:type="pct"/>
                  <w:vAlign w:val="bottom"/>
                </w:tcPr>
                <w:p w:rsidR="00AC2131" w:rsidRDefault="00AC2131" w:rsidP="00AC2131">
                  <w:pPr>
                    <w:pStyle w:val="TableBodyText"/>
                    <w:spacing w:after="0"/>
                    <w:ind w:left="0" w:right="57"/>
                  </w:pPr>
                  <w:r>
                    <w:t>79.8</w:t>
                  </w:r>
                </w:p>
              </w:tc>
              <w:tc>
                <w:tcPr>
                  <w:tcW w:w="467" w:type="pct"/>
                  <w:vAlign w:val="bottom"/>
                </w:tcPr>
                <w:p w:rsidR="00AC2131" w:rsidRDefault="00AC2131" w:rsidP="00AC2131">
                  <w:pPr>
                    <w:pStyle w:val="TableBodyText"/>
                    <w:spacing w:after="0"/>
                    <w:ind w:left="0" w:right="57"/>
                  </w:pPr>
                  <w:r>
                    <w:t>102.7</w:t>
                  </w:r>
                </w:p>
              </w:tc>
              <w:tc>
                <w:tcPr>
                  <w:tcW w:w="467" w:type="pct"/>
                  <w:vAlign w:val="bottom"/>
                </w:tcPr>
                <w:p w:rsidR="00AC2131" w:rsidRDefault="00AC2131" w:rsidP="00AC2131">
                  <w:pPr>
                    <w:pStyle w:val="TableBodyText"/>
                    <w:spacing w:after="0"/>
                    <w:ind w:left="0" w:right="57"/>
                  </w:pPr>
                  <w:r>
                    <w:t>124.7</w:t>
                  </w:r>
                </w:p>
              </w:tc>
              <w:tc>
                <w:tcPr>
                  <w:tcW w:w="467" w:type="pct"/>
                  <w:vAlign w:val="bottom"/>
                </w:tcPr>
                <w:p w:rsidR="00AC2131" w:rsidRDefault="00AC2131" w:rsidP="00AC2131">
                  <w:pPr>
                    <w:pStyle w:val="TableBodyText"/>
                    <w:spacing w:after="0"/>
                    <w:ind w:left="0" w:right="57"/>
                  </w:pPr>
                  <w:r>
                    <w:t>115.3</w:t>
                  </w:r>
                </w:p>
              </w:tc>
              <w:tc>
                <w:tcPr>
                  <w:tcW w:w="467" w:type="pct"/>
                  <w:shd w:val="clear" w:color="auto" w:fill="auto"/>
                  <w:vAlign w:val="bottom"/>
                </w:tcPr>
                <w:p w:rsidR="00AC2131" w:rsidRDefault="00AC2131" w:rsidP="00AC2131">
                  <w:pPr>
                    <w:pStyle w:val="TableBodyText"/>
                    <w:spacing w:after="0"/>
                    <w:ind w:left="0" w:right="57"/>
                  </w:pPr>
                  <w:r>
                    <w:t>108.9</w:t>
                  </w:r>
                </w:p>
              </w:tc>
              <w:tc>
                <w:tcPr>
                  <w:tcW w:w="465" w:type="pct"/>
                  <w:shd w:val="clear" w:color="auto" w:fill="auto"/>
                  <w:vAlign w:val="bottom"/>
                </w:tcPr>
                <w:p w:rsidR="00AC2131" w:rsidRDefault="00AC2131" w:rsidP="00AC2131">
                  <w:pPr>
                    <w:pStyle w:val="TableBodyText"/>
                    <w:spacing w:after="0"/>
                    <w:ind w:left="0" w:right="57"/>
                  </w:pPr>
                  <w:r>
                    <w:t>102.5</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Greenhouse Gas Abatement Program</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 xml:space="preserve">Pharmaceuticals Partnerships Program </w:t>
                  </w:r>
                </w:p>
              </w:tc>
              <w:tc>
                <w:tcPr>
                  <w:tcW w:w="467" w:type="pct"/>
                  <w:vAlign w:val="bottom"/>
                </w:tcPr>
                <w:p w:rsidR="00AC2131" w:rsidRDefault="00AC2131" w:rsidP="00AC2131">
                  <w:pPr>
                    <w:pStyle w:val="TableBodyText"/>
                    <w:spacing w:after="0"/>
                    <w:ind w:left="0" w:right="57"/>
                  </w:pPr>
                  <w:r>
                    <w:t>8.1</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Product Stewardship for Oil Program</w:t>
                  </w:r>
                </w:p>
              </w:tc>
              <w:tc>
                <w:tcPr>
                  <w:tcW w:w="467" w:type="pct"/>
                  <w:vAlign w:val="bottom"/>
                </w:tcPr>
                <w:p w:rsidR="00AC2131" w:rsidRDefault="00AC2131" w:rsidP="00AC2131">
                  <w:pPr>
                    <w:pStyle w:val="TableBodyText"/>
                    <w:spacing w:after="0"/>
                    <w:ind w:left="0" w:right="57"/>
                  </w:pPr>
                  <w:r>
                    <w:t>40.5</w:t>
                  </w:r>
                </w:p>
              </w:tc>
              <w:tc>
                <w:tcPr>
                  <w:tcW w:w="467" w:type="pct"/>
                  <w:vAlign w:val="bottom"/>
                </w:tcPr>
                <w:p w:rsidR="00AC2131" w:rsidRDefault="00AC2131" w:rsidP="00AC2131">
                  <w:pPr>
                    <w:pStyle w:val="TableBodyText"/>
                    <w:spacing w:after="0"/>
                    <w:ind w:left="0" w:right="57"/>
                  </w:pPr>
                  <w:r>
                    <w:t>33.0</w:t>
                  </w:r>
                </w:p>
              </w:tc>
              <w:tc>
                <w:tcPr>
                  <w:tcW w:w="467" w:type="pct"/>
                  <w:vAlign w:val="bottom"/>
                </w:tcPr>
                <w:p w:rsidR="00AC2131" w:rsidRDefault="00AC2131" w:rsidP="00AC2131">
                  <w:pPr>
                    <w:pStyle w:val="TableBodyText"/>
                    <w:spacing w:after="0"/>
                    <w:ind w:left="0" w:right="57"/>
                  </w:pPr>
                  <w:r>
                    <w:t>35.0</w:t>
                  </w:r>
                </w:p>
              </w:tc>
              <w:tc>
                <w:tcPr>
                  <w:tcW w:w="467" w:type="pct"/>
                  <w:vAlign w:val="bottom"/>
                </w:tcPr>
                <w:p w:rsidR="00AC2131" w:rsidRDefault="00AC2131" w:rsidP="00AC2131">
                  <w:pPr>
                    <w:pStyle w:val="TableBodyText"/>
                    <w:spacing w:after="0"/>
                    <w:ind w:left="0" w:right="57"/>
                  </w:pPr>
                  <w:r>
                    <w:t>36.0</w:t>
                  </w:r>
                </w:p>
              </w:tc>
              <w:tc>
                <w:tcPr>
                  <w:tcW w:w="467" w:type="pct"/>
                  <w:shd w:val="clear" w:color="auto" w:fill="auto"/>
                  <w:vAlign w:val="bottom"/>
                </w:tcPr>
                <w:p w:rsidR="00AC2131" w:rsidRDefault="00AC2131" w:rsidP="00AC2131">
                  <w:pPr>
                    <w:pStyle w:val="TableBodyText"/>
                    <w:spacing w:after="0"/>
                    <w:ind w:left="0" w:right="57"/>
                  </w:pPr>
                  <w:r>
                    <w:t>33.4</w:t>
                  </w:r>
                </w:p>
              </w:tc>
              <w:tc>
                <w:tcPr>
                  <w:tcW w:w="465" w:type="pct"/>
                  <w:shd w:val="clear" w:color="auto" w:fill="auto"/>
                  <w:vAlign w:val="bottom"/>
                </w:tcPr>
                <w:p w:rsidR="00AC2131" w:rsidRDefault="00AC2131" w:rsidP="00AC2131">
                  <w:pPr>
                    <w:pStyle w:val="TableBodyText"/>
                    <w:spacing w:after="0"/>
                    <w:ind w:left="0" w:right="57"/>
                  </w:pPr>
                  <w:r>
                    <w:t>40.0</w:t>
                  </w: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Small scale mammalian cell production facility</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4.0</w:t>
                  </w:r>
                </w:p>
              </w:tc>
              <w:tc>
                <w:tcPr>
                  <w:tcW w:w="467" w:type="pct"/>
                  <w:shd w:val="clear" w:color="auto" w:fill="auto"/>
                  <w:vAlign w:val="bottom"/>
                </w:tcPr>
                <w:p w:rsidR="00AC2131" w:rsidRDefault="00AC2131" w:rsidP="00AC2131">
                  <w:pPr>
                    <w:pStyle w:val="TableBodyText"/>
                    <w:spacing w:after="0"/>
                    <w:ind w:left="0" w:right="57"/>
                  </w:pPr>
                  <w:r>
                    <w:t>4.0</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6A53DA" w:rsidRDefault="00AC2131" w:rsidP="00AC2131">
                  <w:pPr>
                    <w:pStyle w:val="TableBodyText"/>
                    <w:spacing w:before="40" w:after="0"/>
                    <w:ind w:left="113"/>
                    <w:jc w:val="left"/>
                    <w:rPr>
                      <w:i/>
                    </w:rPr>
                  </w:pPr>
                  <w:r w:rsidRPr="006A53DA">
                    <w:rPr>
                      <w:i/>
                    </w:rPr>
                    <w:t>Sector-specific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spacing w:after="0"/>
                    <w:ind w:left="227" w:right="0"/>
                    <w:jc w:val="left"/>
                  </w:pPr>
                  <w:r w:rsidRPr="006A53DA">
                    <w:t xml:space="preserve">Clean Technology Investment </w:t>
                  </w:r>
                  <w:r>
                    <w:t>–</w:t>
                  </w:r>
                  <w:r w:rsidRPr="006A53DA">
                    <w:t xml:space="preserve"> General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8.0</w:t>
                  </w:r>
                </w:p>
              </w:tc>
              <w:tc>
                <w:tcPr>
                  <w:tcW w:w="465" w:type="pct"/>
                  <w:shd w:val="clear" w:color="auto" w:fill="auto"/>
                  <w:vAlign w:val="bottom"/>
                </w:tcPr>
                <w:p w:rsidR="00AC2131" w:rsidRDefault="00AC2131" w:rsidP="00AC2131">
                  <w:pPr>
                    <w:pStyle w:val="TableBodyText"/>
                    <w:spacing w:after="0"/>
                    <w:ind w:left="0" w:right="57"/>
                  </w:pPr>
                  <w:r>
                    <w:t>19.2</w:t>
                  </w:r>
                </w:p>
              </w:tc>
            </w:tr>
            <w:tr w:rsidR="00AC2131" w:rsidTr="00AC2131">
              <w:tc>
                <w:tcPr>
                  <w:tcW w:w="2200" w:type="pct"/>
                  <w:shd w:val="clear" w:color="auto" w:fill="auto"/>
                </w:tcPr>
                <w:p w:rsidR="00AC2131" w:rsidRPr="006A53DA" w:rsidRDefault="00AC2131" w:rsidP="00AC2131">
                  <w:pPr>
                    <w:pStyle w:val="TableBodyText"/>
                    <w:spacing w:before="40" w:after="0"/>
                    <w:ind w:left="113"/>
                    <w:jc w:val="left"/>
                    <w:rPr>
                      <w:i/>
                    </w:rPr>
                  </w:pPr>
                  <w:r w:rsidRPr="006A53DA">
                    <w:rPr>
                      <w:i/>
                    </w:rPr>
                    <w:t>General export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6A53DA" w:rsidRDefault="00AC2131" w:rsidP="00AC2131">
                  <w:pPr>
                    <w:ind w:left="227"/>
                    <w:rPr>
                      <w:rFonts w:ascii="Arial" w:hAnsi="Arial" w:cs="Arial"/>
                      <w:color w:val="000000"/>
                      <w:sz w:val="18"/>
                      <w:szCs w:val="18"/>
                    </w:rPr>
                  </w:pPr>
                  <w:r w:rsidRPr="006A53DA">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8.2</w:t>
                  </w:r>
                </w:p>
              </w:tc>
              <w:tc>
                <w:tcPr>
                  <w:tcW w:w="467" w:type="pct"/>
                  <w:vAlign w:val="bottom"/>
                </w:tcPr>
                <w:p w:rsidR="00AC2131" w:rsidRDefault="00AC2131" w:rsidP="00AC2131">
                  <w:pPr>
                    <w:pStyle w:val="TableBodyText"/>
                    <w:spacing w:after="0"/>
                    <w:ind w:left="0" w:right="57"/>
                  </w:pPr>
                  <w:r>
                    <w:t>9.7</w:t>
                  </w:r>
                </w:p>
              </w:tc>
              <w:tc>
                <w:tcPr>
                  <w:tcW w:w="467" w:type="pct"/>
                  <w:vAlign w:val="bottom"/>
                </w:tcPr>
                <w:p w:rsidR="00AC2131" w:rsidRDefault="00AC2131" w:rsidP="00AC2131">
                  <w:pPr>
                    <w:pStyle w:val="TableBodyText"/>
                    <w:spacing w:after="0"/>
                    <w:ind w:left="0" w:right="57"/>
                  </w:pPr>
                  <w:r>
                    <w:t>7.0</w:t>
                  </w:r>
                </w:p>
              </w:tc>
              <w:tc>
                <w:tcPr>
                  <w:tcW w:w="467" w:type="pct"/>
                  <w:vAlign w:val="bottom"/>
                </w:tcPr>
                <w:p w:rsidR="00AC2131" w:rsidRDefault="00AC2131" w:rsidP="00AC2131">
                  <w:pPr>
                    <w:pStyle w:val="TableBodyText"/>
                    <w:spacing w:after="0"/>
                    <w:ind w:left="0" w:right="57"/>
                  </w:pPr>
                  <w:r>
                    <w:t>5.3</w:t>
                  </w:r>
                </w:p>
              </w:tc>
              <w:tc>
                <w:tcPr>
                  <w:tcW w:w="467" w:type="pct"/>
                  <w:shd w:val="clear" w:color="auto" w:fill="auto"/>
                  <w:vAlign w:val="bottom"/>
                </w:tcPr>
                <w:p w:rsidR="00AC2131" w:rsidRDefault="00AC2131" w:rsidP="00AC2131">
                  <w:pPr>
                    <w:pStyle w:val="TableBodyText"/>
                    <w:spacing w:after="0"/>
                    <w:ind w:left="0" w:right="57"/>
                  </w:pPr>
                  <w:r>
                    <w:t>6.2</w:t>
                  </w:r>
                </w:p>
              </w:tc>
              <w:tc>
                <w:tcPr>
                  <w:tcW w:w="465" w:type="pct"/>
                  <w:shd w:val="clear" w:color="auto" w:fill="auto"/>
                  <w:vAlign w:val="bottom"/>
                </w:tcPr>
                <w:p w:rsidR="00AC2131" w:rsidRDefault="00AC2131" w:rsidP="00AC2131">
                  <w:pPr>
                    <w:pStyle w:val="TableBodyText"/>
                    <w:spacing w:after="0"/>
                    <w:ind w:left="0" w:right="57"/>
                  </w:pPr>
                  <w:r>
                    <w:t>5.4</w:t>
                  </w:r>
                </w:p>
              </w:tc>
            </w:tr>
            <w:tr w:rsidR="00AC2131" w:rsidRPr="006A53DA" w:rsidTr="00AC2131">
              <w:tc>
                <w:tcPr>
                  <w:tcW w:w="2200" w:type="pct"/>
                  <w:tcBorders>
                    <w:bottom w:val="single" w:sz="6" w:space="0" w:color="BFBFBF"/>
                  </w:tcBorders>
                  <w:shd w:val="clear" w:color="auto" w:fill="auto"/>
                </w:tcPr>
                <w:p w:rsidR="00AC2131" w:rsidRPr="006A53DA" w:rsidRDefault="00AC2131" w:rsidP="00AC2131">
                  <w:pPr>
                    <w:ind w:left="227"/>
                    <w:rPr>
                      <w:rFonts w:ascii="Arial" w:hAnsi="Arial" w:cs="Arial"/>
                      <w:sz w:val="18"/>
                      <w:szCs w:val="18"/>
                    </w:rPr>
                  </w:pPr>
                  <w:r w:rsidRPr="006A53DA">
                    <w:rPr>
                      <w:rFonts w:ascii="Arial" w:hAnsi="Arial" w:cs="Arial"/>
                      <w:sz w:val="18"/>
                      <w:szCs w:val="18"/>
                    </w:rPr>
                    <w:t>TRADEX</w:t>
                  </w:r>
                </w:p>
              </w:tc>
              <w:tc>
                <w:tcPr>
                  <w:tcW w:w="467" w:type="pct"/>
                  <w:tcBorders>
                    <w:bottom w:val="single" w:sz="6" w:space="0" w:color="BFBFBF"/>
                  </w:tcBorders>
                  <w:vAlign w:val="bottom"/>
                </w:tcPr>
                <w:p w:rsidR="00AC2131" w:rsidRDefault="00AC2131" w:rsidP="00AC2131">
                  <w:pPr>
                    <w:pStyle w:val="TableBodyText"/>
                    <w:spacing w:after="0"/>
                    <w:ind w:left="0" w:right="57"/>
                  </w:pPr>
                  <w:r>
                    <w:t>2.2</w:t>
                  </w:r>
                </w:p>
              </w:tc>
              <w:tc>
                <w:tcPr>
                  <w:tcW w:w="467" w:type="pct"/>
                  <w:tcBorders>
                    <w:bottom w:val="single" w:sz="6" w:space="0" w:color="BFBFBF"/>
                  </w:tcBorders>
                  <w:vAlign w:val="bottom"/>
                </w:tcPr>
                <w:p w:rsidR="00AC2131" w:rsidRDefault="00AC2131" w:rsidP="00AC2131">
                  <w:pPr>
                    <w:pStyle w:val="TableBodyText"/>
                    <w:spacing w:after="0"/>
                    <w:ind w:left="0" w:right="57"/>
                  </w:pPr>
                  <w:r>
                    <w:t>2.0</w:t>
                  </w:r>
                </w:p>
              </w:tc>
              <w:tc>
                <w:tcPr>
                  <w:tcW w:w="467" w:type="pct"/>
                  <w:tcBorders>
                    <w:bottom w:val="single" w:sz="6" w:space="0" w:color="BFBFBF"/>
                  </w:tcBorders>
                  <w:vAlign w:val="bottom"/>
                </w:tcPr>
                <w:p w:rsidR="00AC2131" w:rsidRDefault="00AC2131" w:rsidP="00AC2131">
                  <w:pPr>
                    <w:pStyle w:val="TableBodyText"/>
                    <w:spacing w:after="0"/>
                    <w:ind w:left="0" w:right="57"/>
                  </w:pPr>
                  <w:r>
                    <w:t>1.3</w:t>
                  </w:r>
                </w:p>
              </w:tc>
              <w:tc>
                <w:tcPr>
                  <w:tcW w:w="467" w:type="pct"/>
                  <w:tcBorders>
                    <w:bottom w:val="single" w:sz="6" w:space="0" w:color="BFBFBF"/>
                  </w:tcBorders>
                  <w:vAlign w:val="bottom"/>
                </w:tcPr>
                <w:p w:rsidR="00AC2131" w:rsidRDefault="00AC2131" w:rsidP="00AC2131">
                  <w:pPr>
                    <w:pStyle w:val="TableBodyText"/>
                    <w:spacing w:after="0"/>
                    <w:ind w:left="0" w:right="57"/>
                  </w:pPr>
                  <w:r>
                    <w:t>1.4</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1.4</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1.4</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left="6357"/>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rPr>
              <w:t>(continued)</w:t>
            </w:r>
          </w:p>
        </w:tc>
      </w:tr>
      <w:tr w:rsidR="00AC2131" w:rsidTr="00AC2131">
        <w:trPr>
          <w:cantSplit/>
        </w:trPr>
        <w:tc>
          <w:tcPr>
            <w:tcW w:w="8767" w:type="dxa"/>
            <w:tcBorders>
              <w:top w:val="nil"/>
              <w:left w:val="nil"/>
              <w:bottom w:val="nil"/>
              <w:right w:val="nil"/>
            </w:tcBorders>
            <w:shd w:val="clear" w:color="auto" w:fill="auto"/>
          </w:tcPr>
          <w:tbl>
            <w:tblPr>
              <w:tblW w:w="8504" w:type="dxa"/>
              <w:tblLayout w:type="fixed"/>
              <w:tblCellMar>
                <w:top w:w="28" w:type="dxa"/>
                <w:left w:w="0" w:type="dxa"/>
                <w:right w:w="0" w:type="dxa"/>
              </w:tblCellMar>
              <w:tblLook w:val="0000" w:firstRow="0" w:lastRow="0" w:firstColumn="0" w:lastColumn="0" w:noHBand="0" w:noVBand="0"/>
            </w:tblPr>
            <w:tblGrid>
              <w:gridCol w:w="3742"/>
              <w:gridCol w:w="796"/>
              <w:gridCol w:w="796"/>
              <w:gridCol w:w="796"/>
              <w:gridCol w:w="796"/>
              <w:gridCol w:w="796"/>
              <w:gridCol w:w="782"/>
            </w:tblGrid>
            <w:tr w:rsidR="00AC2131" w:rsidTr="00AC2131">
              <w:tc>
                <w:tcPr>
                  <w:tcW w:w="2200" w:type="pct"/>
                  <w:tcBorders>
                    <w:top w:val="single" w:sz="6" w:space="0" w:color="BFBFBF"/>
                    <w:bottom w:val="single" w:sz="6" w:space="0" w:color="BFBFBF"/>
                  </w:tcBorders>
                </w:tcPr>
                <w:p w:rsidR="00AC2131" w:rsidRDefault="00AC2131" w:rsidP="00AC2131">
                  <w:pPr>
                    <w:pStyle w:val="TableColumnHeading"/>
                    <w:jc w:val="left"/>
                  </w:pPr>
                </w:p>
              </w:tc>
              <w:tc>
                <w:tcPr>
                  <w:tcW w:w="468" w:type="pct"/>
                  <w:tcBorders>
                    <w:top w:val="single" w:sz="6" w:space="0" w:color="BFBFBF"/>
                    <w:bottom w:val="single" w:sz="6" w:space="0" w:color="BFBFBF"/>
                  </w:tcBorders>
                  <w:vAlign w:val="bottom"/>
                </w:tcPr>
                <w:p w:rsidR="00AC2131" w:rsidRDefault="00AC2131" w:rsidP="00AC2131">
                  <w:pPr>
                    <w:pStyle w:val="TableColumnHeading"/>
                    <w:ind w:left="0" w:right="57"/>
                  </w:pPr>
                  <w:r>
                    <w:t>2008-09</w:t>
                  </w:r>
                </w:p>
              </w:tc>
              <w:tc>
                <w:tcPr>
                  <w:tcW w:w="468" w:type="pct"/>
                  <w:tcBorders>
                    <w:top w:val="single" w:sz="6" w:space="0" w:color="BFBFBF"/>
                    <w:bottom w:val="single" w:sz="6" w:space="0" w:color="BFBFBF"/>
                  </w:tcBorders>
                  <w:vAlign w:val="bottom"/>
                </w:tcPr>
                <w:p w:rsidR="00AC2131" w:rsidRDefault="00AC2131" w:rsidP="00AC2131">
                  <w:pPr>
                    <w:pStyle w:val="TableColumnHeading"/>
                    <w:ind w:left="0" w:right="57"/>
                  </w:pPr>
                  <w:r>
                    <w:t>2009-10</w:t>
                  </w:r>
                </w:p>
              </w:tc>
              <w:tc>
                <w:tcPr>
                  <w:tcW w:w="468"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left="0" w:right="57"/>
                  </w:pPr>
                  <w:r>
                    <w:t>2010-11</w:t>
                  </w:r>
                </w:p>
              </w:tc>
              <w:tc>
                <w:tcPr>
                  <w:tcW w:w="468"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left="0" w:right="57"/>
                  </w:pPr>
                  <w:r>
                    <w:t>2011-12</w:t>
                  </w:r>
                </w:p>
              </w:tc>
              <w:tc>
                <w:tcPr>
                  <w:tcW w:w="468" w:type="pct"/>
                  <w:tcBorders>
                    <w:top w:val="single" w:sz="6" w:space="0" w:color="BFBFBF"/>
                    <w:bottom w:val="single" w:sz="6" w:space="0" w:color="BFBFBF"/>
                  </w:tcBorders>
                  <w:vAlign w:val="bottom"/>
                </w:tcPr>
                <w:p w:rsidR="00AC2131" w:rsidRDefault="00AC2131" w:rsidP="00AC2131">
                  <w:pPr>
                    <w:pStyle w:val="TableColumnHeading"/>
                    <w:ind w:left="0" w:right="57"/>
                  </w:pPr>
                  <w:r>
                    <w:t>2012-13</w:t>
                  </w:r>
                </w:p>
              </w:tc>
              <w:tc>
                <w:tcPr>
                  <w:tcW w:w="460"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57353B" w:rsidRDefault="00AC2131" w:rsidP="00AC2131">
                  <w:pPr>
                    <w:pStyle w:val="TableUnitsRow"/>
                    <w:spacing w:after="0"/>
                    <w:ind w:left="113"/>
                    <w:jc w:val="left"/>
                    <w:rPr>
                      <w:i/>
                    </w:rPr>
                  </w:pPr>
                  <w:r w:rsidRPr="0057353B">
                    <w:rPr>
                      <w:i/>
                    </w:rPr>
                    <w:t>General R&amp;D measures</w:t>
                  </w:r>
                </w:p>
              </w:tc>
              <w:tc>
                <w:tcPr>
                  <w:tcW w:w="468" w:type="pct"/>
                  <w:tcBorders>
                    <w:top w:val="single" w:sz="6" w:space="0" w:color="BFBFBF"/>
                  </w:tcBorders>
                </w:tcPr>
                <w:p w:rsidR="00AC2131" w:rsidRDefault="00AC2131" w:rsidP="00AC2131">
                  <w:pPr>
                    <w:pStyle w:val="TableUnitsRow"/>
                    <w:spacing w:after="0"/>
                    <w:ind w:left="113"/>
                    <w:jc w:val="left"/>
                  </w:pPr>
                </w:p>
              </w:tc>
              <w:tc>
                <w:tcPr>
                  <w:tcW w:w="468" w:type="pct"/>
                  <w:tcBorders>
                    <w:top w:val="single" w:sz="6" w:space="0" w:color="BFBFBF"/>
                  </w:tcBorders>
                </w:tcPr>
                <w:p w:rsidR="00AC2131" w:rsidRDefault="00AC2131" w:rsidP="00AC2131">
                  <w:pPr>
                    <w:pStyle w:val="TableUnitsRow"/>
                    <w:spacing w:after="0"/>
                    <w:ind w:left="113"/>
                    <w:jc w:val="left"/>
                  </w:pPr>
                </w:p>
              </w:tc>
              <w:tc>
                <w:tcPr>
                  <w:tcW w:w="468" w:type="pct"/>
                  <w:tcBorders>
                    <w:top w:val="single" w:sz="6" w:space="0" w:color="BFBFBF"/>
                  </w:tcBorders>
                </w:tcPr>
                <w:p w:rsidR="00AC2131" w:rsidRDefault="00AC2131" w:rsidP="00AC2131">
                  <w:pPr>
                    <w:pStyle w:val="TableUnitsRow"/>
                    <w:spacing w:after="0"/>
                    <w:ind w:left="113"/>
                    <w:jc w:val="left"/>
                  </w:pPr>
                </w:p>
              </w:tc>
              <w:tc>
                <w:tcPr>
                  <w:tcW w:w="468" w:type="pct"/>
                  <w:tcBorders>
                    <w:top w:val="single" w:sz="6" w:space="0" w:color="BFBFBF"/>
                  </w:tcBorders>
                </w:tcPr>
                <w:p w:rsidR="00AC2131" w:rsidRDefault="00AC2131" w:rsidP="00AC2131">
                  <w:pPr>
                    <w:pStyle w:val="TableUnitsRow"/>
                    <w:spacing w:after="0"/>
                    <w:ind w:left="113"/>
                  </w:pPr>
                </w:p>
              </w:tc>
              <w:tc>
                <w:tcPr>
                  <w:tcW w:w="468" w:type="pct"/>
                  <w:tcBorders>
                    <w:top w:val="single" w:sz="6" w:space="0" w:color="BFBFBF"/>
                  </w:tcBorders>
                </w:tcPr>
                <w:p w:rsidR="00AC2131" w:rsidRDefault="00AC2131" w:rsidP="00AC2131">
                  <w:pPr>
                    <w:pStyle w:val="TableUnitsRow"/>
                    <w:spacing w:after="0"/>
                    <w:ind w:left="113" w:right="28"/>
                  </w:pPr>
                </w:p>
              </w:tc>
              <w:tc>
                <w:tcPr>
                  <w:tcW w:w="460"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 xml:space="preserve">Clean Business Australia </w:t>
                  </w:r>
                  <w:r>
                    <w:rPr>
                      <w:rFonts w:ascii="Arial" w:hAnsi="Arial" w:cs="Arial"/>
                      <w:color w:val="000000"/>
                      <w:sz w:val="18"/>
                      <w:szCs w:val="18"/>
                    </w:rPr>
                    <w:t>–</w:t>
                  </w:r>
                  <w:r w:rsidRPr="0057353B">
                    <w:rPr>
                      <w:rFonts w:ascii="Arial" w:hAnsi="Arial" w:cs="Arial"/>
                      <w:color w:val="000000"/>
                      <w:sz w:val="18"/>
                      <w:szCs w:val="18"/>
                    </w:rPr>
                    <w:t xml:space="preserve"> Climate Ready Program</w:t>
                  </w:r>
                </w:p>
              </w:tc>
              <w:tc>
                <w:tcPr>
                  <w:tcW w:w="468" w:type="pct"/>
                  <w:vAlign w:val="bottom"/>
                </w:tcPr>
                <w:p w:rsidR="00AC2131" w:rsidRDefault="00AC2131" w:rsidP="00AC2131">
                  <w:pPr>
                    <w:pStyle w:val="TableBodyText"/>
                    <w:spacing w:after="0"/>
                    <w:ind w:left="0" w:right="57"/>
                  </w:pPr>
                  <w:r>
                    <w:t>1.3</w:t>
                  </w:r>
                </w:p>
              </w:tc>
              <w:tc>
                <w:tcPr>
                  <w:tcW w:w="468" w:type="pct"/>
                  <w:vAlign w:val="bottom"/>
                </w:tcPr>
                <w:p w:rsidR="00AC2131" w:rsidRDefault="00AC2131" w:rsidP="00AC2131">
                  <w:pPr>
                    <w:pStyle w:val="TableBodyText"/>
                    <w:spacing w:after="0"/>
                    <w:ind w:left="0" w:right="57"/>
                  </w:pPr>
                  <w:r>
                    <w:t>1.8</w:t>
                  </w:r>
                </w:p>
              </w:tc>
              <w:tc>
                <w:tcPr>
                  <w:tcW w:w="468" w:type="pct"/>
                  <w:vAlign w:val="bottom"/>
                </w:tcPr>
                <w:p w:rsidR="00AC2131" w:rsidRDefault="00AC2131" w:rsidP="00AC2131">
                  <w:pPr>
                    <w:pStyle w:val="TableBodyText"/>
                    <w:spacing w:after="0"/>
                    <w:ind w:left="0" w:right="57"/>
                  </w:pPr>
                  <w:r>
                    <w:t>0.8</w:t>
                  </w:r>
                </w:p>
              </w:tc>
              <w:tc>
                <w:tcPr>
                  <w:tcW w:w="468"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w:t>
                  </w:r>
                </w:p>
              </w:tc>
              <w:tc>
                <w:tcPr>
                  <w:tcW w:w="460" w:type="pct"/>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Clean Technology Innovation Program</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1.4</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COMET Program</w:t>
                  </w:r>
                </w:p>
              </w:tc>
              <w:tc>
                <w:tcPr>
                  <w:tcW w:w="468" w:type="pct"/>
                  <w:vAlign w:val="bottom"/>
                </w:tcPr>
                <w:p w:rsidR="00AC2131" w:rsidRDefault="00AC2131" w:rsidP="00AC2131">
                  <w:pPr>
                    <w:pStyle w:val="TableBodyText"/>
                    <w:spacing w:after="0"/>
                    <w:ind w:left="0" w:right="57"/>
                  </w:pPr>
                  <w:r>
                    <w:t>0.5</w:t>
                  </w:r>
                </w:p>
              </w:tc>
              <w:tc>
                <w:tcPr>
                  <w:tcW w:w="468" w:type="pct"/>
                  <w:vAlign w:val="bottom"/>
                </w:tcPr>
                <w:p w:rsidR="00AC2131" w:rsidRDefault="00AC2131" w:rsidP="00AC2131">
                  <w:pPr>
                    <w:pStyle w:val="TableBodyText"/>
                    <w:spacing w:after="0"/>
                    <w:ind w:left="0" w:right="57"/>
                  </w:pPr>
                  <w:r>
                    <w:t>0.5</w:t>
                  </w:r>
                </w:p>
              </w:tc>
              <w:tc>
                <w:tcPr>
                  <w:tcW w:w="468" w:type="pct"/>
                  <w:shd w:val="clear" w:color="auto" w:fill="auto"/>
                  <w:vAlign w:val="bottom"/>
                </w:tcPr>
                <w:p w:rsidR="00AC2131" w:rsidRDefault="00AC2131" w:rsidP="00AC2131">
                  <w:pPr>
                    <w:pStyle w:val="TableBodyText"/>
                    <w:spacing w:after="0"/>
                    <w:ind w:left="0" w:right="57"/>
                  </w:pPr>
                  <w:r>
                    <w:t>0.3</w:t>
                  </w:r>
                </w:p>
              </w:tc>
              <w:tc>
                <w:tcPr>
                  <w:tcW w:w="468" w:type="pct"/>
                  <w:shd w:val="clear" w:color="auto" w:fill="auto"/>
                  <w:vAlign w:val="bottom"/>
                </w:tcPr>
                <w:p w:rsidR="00AC2131" w:rsidRDefault="00AC2131" w:rsidP="00AC2131">
                  <w:pPr>
                    <w:pStyle w:val="TableBodyText"/>
                    <w:spacing w:after="0"/>
                    <w:ind w:left="0" w:right="57"/>
                  </w:pPr>
                  <w:r>
                    <w:t>&lt;0.1</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Commercial Ready Program</w:t>
                  </w:r>
                </w:p>
              </w:tc>
              <w:tc>
                <w:tcPr>
                  <w:tcW w:w="468" w:type="pct"/>
                  <w:vAlign w:val="bottom"/>
                </w:tcPr>
                <w:p w:rsidR="00AC2131" w:rsidRDefault="00AC2131" w:rsidP="00AC2131">
                  <w:pPr>
                    <w:pStyle w:val="TableBodyText"/>
                    <w:spacing w:after="0"/>
                    <w:ind w:left="0" w:right="57"/>
                  </w:pPr>
                  <w:r>
                    <w:t>5.9</w:t>
                  </w:r>
                </w:p>
              </w:tc>
              <w:tc>
                <w:tcPr>
                  <w:tcW w:w="468" w:type="pct"/>
                  <w:vAlign w:val="bottom"/>
                </w:tcPr>
                <w:p w:rsidR="00AC2131" w:rsidRDefault="00AC2131" w:rsidP="00AC2131">
                  <w:pPr>
                    <w:pStyle w:val="TableBodyText"/>
                    <w:spacing w:after="0"/>
                    <w:ind w:left="0" w:right="57"/>
                  </w:pPr>
                  <w:r>
                    <w:t>1.1</w:t>
                  </w:r>
                </w:p>
              </w:tc>
              <w:tc>
                <w:tcPr>
                  <w:tcW w:w="468" w:type="pct"/>
                  <w:shd w:val="clear" w:color="auto" w:fill="auto"/>
                  <w:vAlign w:val="bottom"/>
                </w:tcPr>
                <w:p w:rsidR="00AC2131" w:rsidRDefault="00AC2131" w:rsidP="00AC2131">
                  <w:pPr>
                    <w:pStyle w:val="TableBodyText"/>
                    <w:spacing w:after="0"/>
                    <w:ind w:left="0" w:right="57"/>
                  </w:pPr>
                  <w:r>
                    <w:t>0.5</w:t>
                  </w:r>
                </w:p>
              </w:tc>
              <w:tc>
                <w:tcPr>
                  <w:tcW w:w="468" w:type="pct"/>
                  <w:shd w:val="clear" w:color="auto" w:fill="auto"/>
                  <w:vAlign w:val="bottom"/>
                </w:tcPr>
                <w:p w:rsidR="00AC2131" w:rsidRDefault="00AC2131" w:rsidP="00AC2131">
                  <w:pPr>
                    <w:pStyle w:val="TableBodyText"/>
                    <w:spacing w:after="0"/>
                    <w:ind w:left="0" w:right="57"/>
                  </w:pPr>
                  <w:r>
                    <w:t>0.1</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Commercialisation Australia</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0.5</w:t>
                  </w:r>
                </w:p>
              </w:tc>
              <w:tc>
                <w:tcPr>
                  <w:tcW w:w="468" w:type="pct"/>
                  <w:shd w:val="clear" w:color="auto" w:fill="auto"/>
                  <w:vAlign w:val="bottom"/>
                </w:tcPr>
                <w:p w:rsidR="00AC2131" w:rsidRDefault="00AC2131" w:rsidP="00AC2131">
                  <w:pPr>
                    <w:pStyle w:val="TableBodyText"/>
                    <w:spacing w:after="0"/>
                    <w:ind w:left="0" w:right="57"/>
                  </w:pPr>
                  <w:r>
                    <w:t>2.5</w:t>
                  </w:r>
                </w:p>
              </w:tc>
              <w:tc>
                <w:tcPr>
                  <w:tcW w:w="468" w:type="pct"/>
                  <w:shd w:val="clear" w:color="auto" w:fill="auto"/>
                  <w:vAlign w:val="bottom"/>
                </w:tcPr>
                <w:p w:rsidR="00AC2131" w:rsidRDefault="00AC2131" w:rsidP="00AC2131">
                  <w:pPr>
                    <w:pStyle w:val="TableBodyText"/>
                    <w:spacing w:after="0"/>
                    <w:ind w:left="0" w:right="57"/>
                  </w:pPr>
                  <w:r>
                    <w:t>2.5</w:t>
                  </w:r>
                </w:p>
              </w:tc>
              <w:tc>
                <w:tcPr>
                  <w:tcW w:w="468" w:type="pct"/>
                  <w:vAlign w:val="bottom"/>
                </w:tcPr>
                <w:p w:rsidR="00AC2131" w:rsidRDefault="00AC2131" w:rsidP="00AC2131">
                  <w:pPr>
                    <w:pStyle w:val="TableBodyText"/>
                    <w:spacing w:after="0"/>
                    <w:ind w:left="0" w:right="57"/>
                  </w:pPr>
                  <w:r>
                    <w:t>3.5</w:t>
                  </w:r>
                </w:p>
              </w:tc>
              <w:tc>
                <w:tcPr>
                  <w:tcW w:w="460" w:type="pct"/>
                  <w:shd w:val="clear" w:color="auto" w:fill="auto"/>
                  <w:vAlign w:val="bottom"/>
                </w:tcPr>
                <w:p w:rsidR="00AC2131" w:rsidRDefault="00AC2131" w:rsidP="00AC2131">
                  <w:pPr>
                    <w:pStyle w:val="TableBodyText"/>
                    <w:spacing w:after="0"/>
                    <w:ind w:left="0" w:right="57"/>
                  </w:pPr>
                  <w:r>
                    <w:t>2.3</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Cooperative Research Centres</w:t>
                  </w:r>
                </w:p>
              </w:tc>
              <w:tc>
                <w:tcPr>
                  <w:tcW w:w="468" w:type="pct"/>
                  <w:vAlign w:val="bottom"/>
                </w:tcPr>
                <w:p w:rsidR="00AC2131" w:rsidRDefault="00AC2131" w:rsidP="00AC2131">
                  <w:pPr>
                    <w:pStyle w:val="TableBodyText"/>
                    <w:spacing w:after="0"/>
                    <w:ind w:left="0" w:right="57"/>
                  </w:pPr>
                  <w:r>
                    <w:t>8.2</w:t>
                  </w:r>
                </w:p>
              </w:tc>
              <w:tc>
                <w:tcPr>
                  <w:tcW w:w="468" w:type="pct"/>
                  <w:vAlign w:val="bottom"/>
                </w:tcPr>
                <w:p w:rsidR="00AC2131" w:rsidRDefault="00AC2131" w:rsidP="00AC2131">
                  <w:pPr>
                    <w:pStyle w:val="TableBodyText"/>
                    <w:spacing w:after="0"/>
                    <w:ind w:left="0" w:right="57"/>
                  </w:pPr>
                  <w:r>
                    <w:t>9.0</w:t>
                  </w:r>
                </w:p>
              </w:tc>
              <w:tc>
                <w:tcPr>
                  <w:tcW w:w="468" w:type="pct"/>
                  <w:shd w:val="clear" w:color="auto" w:fill="auto"/>
                  <w:vAlign w:val="bottom"/>
                </w:tcPr>
                <w:p w:rsidR="00AC2131" w:rsidRDefault="00AC2131" w:rsidP="00AC2131">
                  <w:pPr>
                    <w:pStyle w:val="TableBodyText"/>
                    <w:spacing w:after="0"/>
                    <w:ind w:left="0" w:right="57"/>
                  </w:pPr>
                  <w:r>
                    <w:t>8.0</w:t>
                  </w:r>
                </w:p>
              </w:tc>
              <w:tc>
                <w:tcPr>
                  <w:tcW w:w="468" w:type="pct"/>
                  <w:shd w:val="clear" w:color="auto" w:fill="auto"/>
                  <w:vAlign w:val="bottom"/>
                </w:tcPr>
                <w:p w:rsidR="00AC2131" w:rsidRDefault="00AC2131" w:rsidP="00AC2131">
                  <w:pPr>
                    <w:pStyle w:val="TableBodyText"/>
                    <w:spacing w:after="0"/>
                    <w:ind w:left="0" w:right="57"/>
                  </w:pPr>
                  <w:r>
                    <w:t>7.0</w:t>
                  </w:r>
                </w:p>
              </w:tc>
              <w:tc>
                <w:tcPr>
                  <w:tcW w:w="468" w:type="pct"/>
                  <w:vAlign w:val="bottom"/>
                </w:tcPr>
                <w:p w:rsidR="00AC2131" w:rsidRDefault="00AC2131" w:rsidP="00AC2131">
                  <w:pPr>
                    <w:pStyle w:val="TableBodyText"/>
                    <w:spacing w:after="0"/>
                    <w:ind w:left="0" w:right="57"/>
                  </w:pPr>
                  <w:r>
                    <w:t>2.6</w:t>
                  </w:r>
                </w:p>
              </w:tc>
              <w:tc>
                <w:tcPr>
                  <w:tcW w:w="460" w:type="pct"/>
                  <w:shd w:val="clear" w:color="auto" w:fill="auto"/>
                  <w:vAlign w:val="bottom"/>
                </w:tcPr>
                <w:p w:rsidR="00AC2131" w:rsidRDefault="00AC2131" w:rsidP="00AC2131">
                  <w:pPr>
                    <w:pStyle w:val="TableBodyText"/>
                    <w:spacing w:after="0"/>
                    <w:ind w:left="0" w:right="57"/>
                  </w:pPr>
                  <w:r>
                    <w:t>10.0</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CSIRO</w:t>
                  </w:r>
                </w:p>
              </w:tc>
              <w:tc>
                <w:tcPr>
                  <w:tcW w:w="468" w:type="pct"/>
                  <w:vAlign w:val="bottom"/>
                </w:tcPr>
                <w:p w:rsidR="00AC2131" w:rsidRDefault="00AC2131" w:rsidP="00AC2131">
                  <w:pPr>
                    <w:pStyle w:val="TableBodyText"/>
                    <w:spacing w:after="0"/>
                    <w:ind w:left="0" w:right="57"/>
                  </w:pPr>
                  <w:r>
                    <w:t>17.1</w:t>
                  </w:r>
                </w:p>
              </w:tc>
              <w:tc>
                <w:tcPr>
                  <w:tcW w:w="468" w:type="pct"/>
                  <w:vAlign w:val="bottom"/>
                </w:tcPr>
                <w:p w:rsidR="00AC2131" w:rsidRDefault="00AC2131" w:rsidP="00AC2131">
                  <w:pPr>
                    <w:pStyle w:val="TableBodyText"/>
                    <w:spacing w:after="0"/>
                    <w:ind w:left="0" w:right="57"/>
                  </w:pPr>
                  <w:r>
                    <w:t>18.5</w:t>
                  </w:r>
                </w:p>
              </w:tc>
              <w:tc>
                <w:tcPr>
                  <w:tcW w:w="468" w:type="pct"/>
                  <w:shd w:val="clear" w:color="auto" w:fill="auto"/>
                  <w:vAlign w:val="bottom"/>
                </w:tcPr>
                <w:p w:rsidR="00AC2131" w:rsidRDefault="00AC2131" w:rsidP="00AC2131">
                  <w:pPr>
                    <w:pStyle w:val="TableBodyText"/>
                    <w:spacing w:after="0"/>
                    <w:ind w:left="0" w:right="57"/>
                  </w:pPr>
                  <w:r>
                    <w:t>18.9</w:t>
                  </w:r>
                </w:p>
              </w:tc>
              <w:tc>
                <w:tcPr>
                  <w:tcW w:w="468" w:type="pct"/>
                  <w:shd w:val="clear" w:color="auto" w:fill="auto"/>
                  <w:vAlign w:val="bottom"/>
                </w:tcPr>
                <w:p w:rsidR="00AC2131" w:rsidRDefault="00AC2131" w:rsidP="00AC2131">
                  <w:pPr>
                    <w:pStyle w:val="TableBodyText"/>
                    <w:spacing w:after="0"/>
                    <w:ind w:left="0" w:right="57"/>
                  </w:pPr>
                  <w:r>
                    <w:t>16.6</w:t>
                  </w:r>
                </w:p>
              </w:tc>
              <w:tc>
                <w:tcPr>
                  <w:tcW w:w="468" w:type="pct"/>
                  <w:vAlign w:val="bottom"/>
                </w:tcPr>
                <w:p w:rsidR="00AC2131" w:rsidRDefault="00AC2131" w:rsidP="00AC2131">
                  <w:pPr>
                    <w:pStyle w:val="TableBodyText"/>
                    <w:spacing w:after="0"/>
                    <w:ind w:left="0" w:right="57"/>
                  </w:pPr>
                  <w:r>
                    <w:t>33.2</w:t>
                  </w:r>
                </w:p>
              </w:tc>
              <w:tc>
                <w:tcPr>
                  <w:tcW w:w="460" w:type="pct"/>
                  <w:shd w:val="clear" w:color="auto" w:fill="auto"/>
                  <w:vAlign w:val="bottom"/>
                </w:tcPr>
                <w:p w:rsidR="00AC2131" w:rsidRDefault="00AC2131" w:rsidP="00AC2131">
                  <w:pPr>
                    <w:pStyle w:val="TableBodyText"/>
                    <w:spacing w:after="0"/>
                    <w:ind w:left="0" w:right="57"/>
                  </w:pPr>
                  <w:r>
                    <w:t>44.6</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Innovation Investment Fund</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0.5</w:t>
                  </w:r>
                </w:p>
              </w:tc>
              <w:tc>
                <w:tcPr>
                  <w:tcW w:w="468" w:type="pct"/>
                  <w:shd w:val="clear" w:color="auto" w:fill="auto"/>
                  <w:vAlign w:val="bottom"/>
                </w:tcPr>
                <w:p w:rsidR="00AC2131" w:rsidRDefault="00AC2131" w:rsidP="00AC2131">
                  <w:pPr>
                    <w:pStyle w:val="TableBodyText"/>
                    <w:spacing w:after="0"/>
                    <w:ind w:left="0" w:right="57"/>
                  </w:pPr>
                  <w:r>
                    <w:t>0.9</w:t>
                  </w:r>
                </w:p>
              </w:tc>
              <w:tc>
                <w:tcPr>
                  <w:tcW w:w="468" w:type="pct"/>
                  <w:shd w:val="clear" w:color="auto" w:fill="auto"/>
                  <w:vAlign w:val="bottom"/>
                </w:tcPr>
                <w:p w:rsidR="00AC2131" w:rsidRDefault="00AC2131" w:rsidP="00AC2131">
                  <w:pPr>
                    <w:pStyle w:val="TableBodyText"/>
                    <w:spacing w:after="0"/>
                    <w:ind w:left="0" w:right="57"/>
                  </w:pPr>
                  <w:r>
                    <w:t>1.2</w:t>
                  </w:r>
                </w:p>
              </w:tc>
              <w:tc>
                <w:tcPr>
                  <w:tcW w:w="468" w:type="pct"/>
                  <w:vAlign w:val="bottom"/>
                </w:tcPr>
                <w:p w:rsidR="00AC2131" w:rsidRDefault="00AC2131" w:rsidP="00AC2131">
                  <w:pPr>
                    <w:pStyle w:val="TableBodyText"/>
                    <w:spacing w:after="0"/>
                    <w:ind w:left="0" w:right="57"/>
                  </w:pPr>
                  <w:r>
                    <w:t>1.4</w:t>
                  </w:r>
                </w:p>
              </w:tc>
              <w:tc>
                <w:tcPr>
                  <w:tcW w:w="460" w:type="pct"/>
                  <w:shd w:val="clear" w:color="auto" w:fill="auto"/>
                  <w:vAlign w:val="bottom"/>
                </w:tcPr>
                <w:p w:rsidR="00AC2131" w:rsidRDefault="00AC2131" w:rsidP="00AC2131">
                  <w:pPr>
                    <w:pStyle w:val="TableBodyText"/>
                    <w:spacing w:after="0"/>
                    <w:ind w:left="0" w:right="57"/>
                  </w:pPr>
                  <w:r>
                    <w:t>1.6</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Manufacturing Technology Innovation Centre</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2.4</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National Stem Cell Centre</w:t>
                  </w:r>
                </w:p>
              </w:tc>
              <w:tc>
                <w:tcPr>
                  <w:tcW w:w="468" w:type="pct"/>
                  <w:vAlign w:val="bottom"/>
                </w:tcPr>
                <w:p w:rsidR="00AC2131" w:rsidRDefault="00AC2131" w:rsidP="00AC2131">
                  <w:pPr>
                    <w:pStyle w:val="TableBodyText"/>
                    <w:spacing w:after="0"/>
                    <w:ind w:left="0" w:right="57"/>
                  </w:pPr>
                  <w:r>
                    <w:t>5.5</w:t>
                  </w:r>
                </w:p>
              </w:tc>
              <w:tc>
                <w:tcPr>
                  <w:tcW w:w="468" w:type="pct"/>
                  <w:vAlign w:val="bottom"/>
                </w:tcPr>
                <w:p w:rsidR="00AC2131" w:rsidRDefault="00AC2131" w:rsidP="00AC2131">
                  <w:pPr>
                    <w:pStyle w:val="TableBodyText"/>
                    <w:spacing w:after="0"/>
                    <w:ind w:left="0" w:right="57"/>
                  </w:pPr>
                  <w:r>
                    <w:t>5.0</w:t>
                  </w:r>
                </w:p>
              </w:tc>
              <w:tc>
                <w:tcPr>
                  <w:tcW w:w="468" w:type="pct"/>
                  <w:shd w:val="clear" w:color="auto" w:fill="auto"/>
                  <w:vAlign w:val="bottom"/>
                </w:tcPr>
                <w:p w:rsidR="00AC2131" w:rsidRDefault="00AC2131" w:rsidP="00AC2131">
                  <w:pPr>
                    <w:pStyle w:val="TableBodyText"/>
                    <w:spacing w:after="0"/>
                    <w:ind w:left="0" w:right="57"/>
                  </w:pPr>
                  <w:r>
                    <w:t>4.5</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New Industries Development Program</w:t>
                  </w:r>
                </w:p>
              </w:tc>
              <w:tc>
                <w:tcPr>
                  <w:tcW w:w="468" w:type="pct"/>
                  <w:vAlign w:val="bottom"/>
                </w:tcPr>
                <w:p w:rsidR="00AC2131" w:rsidRDefault="00AC2131" w:rsidP="00AC2131">
                  <w:pPr>
                    <w:pStyle w:val="TableBodyText"/>
                    <w:spacing w:after="0"/>
                    <w:ind w:left="0" w:right="57"/>
                  </w:pPr>
                  <w:r>
                    <w:t>&lt;0.1</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Premium R&amp;D tax concession</w:t>
                  </w:r>
                </w:p>
              </w:tc>
              <w:tc>
                <w:tcPr>
                  <w:tcW w:w="468" w:type="pct"/>
                  <w:vAlign w:val="bottom"/>
                </w:tcPr>
                <w:p w:rsidR="00AC2131" w:rsidRDefault="00AC2131" w:rsidP="00AC2131">
                  <w:pPr>
                    <w:pStyle w:val="TableBodyText"/>
                    <w:spacing w:after="0"/>
                    <w:ind w:left="0" w:right="57"/>
                  </w:pPr>
                  <w:r>
                    <w:t>9.9</w:t>
                  </w:r>
                </w:p>
              </w:tc>
              <w:tc>
                <w:tcPr>
                  <w:tcW w:w="468" w:type="pct"/>
                  <w:vAlign w:val="bottom"/>
                </w:tcPr>
                <w:p w:rsidR="00AC2131" w:rsidRDefault="00AC2131" w:rsidP="00AC2131">
                  <w:pPr>
                    <w:pStyle w:val="TableBodyText"/>
                    <w:spacing w:after="0"/>
                    <w:ind w:left="0" w:right="57"/>
                  </w:pPr>
                  <w:r>
                    <w:t>13.2</w:t>
                  </w:r>
                </w:p>
              </w:tc>
              <w:tc>
                <w:tcPr>
                  <w:tcW w:w="468" w:type="pct"/>
                  <w:shd w:val="clear" w:color="auto" w:fill="auto"/>
                  <w:vAlign w:val="bottom"/>
                </w:tcPr>
                <w:p w:rsidR="00AC2131" w:rsidRDefault="00AC2131" w:rsidP="00AC2131">
                  <w:pPr>
                    <w:pStyle w:val="TableBodyText"/>
                    <w:spacing w:after="0"/>
                    <w:ind w:left="0" w:right="57"/>
                  </w:pPr>
                  <w:r>
                    <w:t>11.3</w:t>
                  </w:r>
                </w:p>
              </w:tc>
              <w:tc>
                <w:tcPr>
                  <w:tcW w:w="468" w:type="pct"/>
                  <w:shd w:val="clear" w:color="auto" w:fill="auto"/>
                  <w:vAlign w:val="bottom"/>
                </w:tcPr>
                <w:p w:rsidR="00AC2131" w:rsidRDefault="00AC2131" w:rsidP="00AC2131">
                  <w:pPr>
                    <w:pStyle w:val="TableBodyText"/>
                    <w:spacing w:after="0"/>
                    <w:ind w:left="0" w:right="57"/>
                  </w:pPr>
                  <w:r>
                    <w:t>14.2</w:t>
                  </w:r>
                </w:p>
              </w:tc>
              <w:tc>
                <w:tcPr>
                  <w:tcW w:w="468" w:type="pct"/>
                  <w:vAlign w:val="bottom"/>
                </w:tcPr>
                <w:p w:rsidR="00AC2131" w:rsidRDefault="00AC2131" w:rsidP="00AC2131">
                  <w:pPr>
                    <w:pStyle w:val="TableBodyText"/>
                    <w:spacing w:after="0"/>
                    <w:ind w:left="0" w:right="57"/>
                  </w:pPr>
                  <w:r>
                    <w:t>3.9</w:t>
                  </w:r>
                </w:p>
              </w:tc>
              <w:tc>
                <w:tcPr>
                  <w:tcW w:w="460" w:type="pct"/>
                  <w:shd w:val="clear" w:color="auto" w:fill="auto"/>
                  <w:vAlign w:val="bottom"/>
                </w:tcPr>
                <w:p w:rsidR="00AC2131" w:rsidRDefault="00AC2131" w:rsidP="00AC2131">
                  <w:pPr>
                    <w:pStyle w:val="TableBodyText"/>
                    <w:spacing w:after="0"/>
                    <w:ind w:left="0" w:right="57"/>
                  </w:pPr>
                  <w:r>
                    <w:t>1.6</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R&amp;D Start</w:t>
                  </w:r>
                </w:p>
              </w:tc>
              <w:tc>
                <w:tcPr>
                  <w:tcW w:w="468" w:type="pct"/>
                  <w:vAlign w:val="bottom"/>
                </w:tcPr>
                <w:p w:rsidR="00AC2131" w:rsidRDefault="00AC2131" w:rsidP="00AC2131">
                  <w:pPr>
                    <w:pStyle w:val="TableBodyText"/>
                    <w:spacing w:after="0"/>
                    <w:ind w:left="0" w:right="57"/>
                  </w:pPr>
                  <w:r>
                    <w:t>0.1</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R&amp;D tax concession</w:t>
                  </w:r>
                </w:p>
              </w:tc>
              <w:tc>
                <w:tcPr>
                  <w:tcW w:w="468" w:type="pct"/>
                  <w:vAlign w:val="bottom"/>
                </w:tcPr>
                <w:p w:rsidR="00AC2131" w:rsidRDefault="00AC2131" w:rsidP="00AC2131">
                  <w:pPr>
                    <w:pStyle w:val="TableBodyText"/>
                    <w:spacing w:after="0"/>
                    <w:ind w:left="0" w:right="57"/>
                  </w:pPr>
                  <w:r>
                    <w:t>38.3</w:t>
                  </w:r>
                </w:p>
              </w:tc>
              <w:tc>
                <w:tcPr>
                  <w:tcW w:w="468" w:type="pct"/>
                  <w:vAlign w:val="bottom"/>
                </w:tcPr>
                <w:p w:rsidR="00AC2131" w:rsidRDefault="00AC2131" w:rsidP="00AC2131">
                  <w:pPr>
                    <w:pStyle w:val="TableBodyText"/>
                    <w:spacing w:after="0"/>
                    <w:ind w:left="0" w:right="57"/>
                  </w:pPr>
                  <w:r>
                    <w:t>38.6</w:t>
                  </w:r>
                </w:p>
              </w:tc>
              <w:tc>
                <w:tcPr>
                  <w:tcW w:w="468" w:type="pct"/>
                  <w:shd w:val="clear" w:color="auto" w:fill="auto"/>
                  <w:vAlign w:val="bottom"/>
                </w:tcPr>
                <w:p w:rsidR="00AC2131" w:rsidRDefault="00AC2131" w:rsidP="00AC2131">
                  <w:pPr>
                    <w:pStyle w:val="TableBodyText"/>
                    <w:spacing w:after="0"/>
                    <w:ind w:left="0" w:right="57"/>
                  </w:pPr>
                  <w:r>
                    <w:t>38.6</w:t>
                  </w:r>
                </w:p>
              </w:tc>
              <w:tc>
                <w:tcPr>
                  <w:tcW w:w="468" w:type="pct"/>
                  <w:shd w:val="clear" w:color="auto" w:fill="auto"/>
                  <w:vAlign w:val="bottom"/>
                </w:tcPr>
                <w:p w:rsidR="00AC2131" w:rsidRDefault="00AC2131" w:rsidP="00AC2131">
                  <w:pPr>
                    <w:pStyle w:val="TableBodyText"/>
                    <w:spacing w:after="0"/>
                    <w:ind w:left="0" w:right="57"/>
                  </w:pPr>
                  <w:r>
                    <w:t>40.6</w:t>
                  </w:r>
                </w:p>
              </w:tc>
              <w:tc>
                <w:tcPr>
                  <w:tcW w:w="468" w:type="pct"/>
                  <w:vAlign w:val="bottom"/>
                </w:tcPr>
                <w:p w:rsidR="00AC2131" w:rsidRDefault="00AC2131" w:rsidP="00AC2131">
                  <w:pPr>
                    <w:pStyle w:val="TableBodyText"/>
                    <w:spacing w:after="0"/>
                    <w:ind w:left="0" w:right="57"/>
                  </w:pPr>
                  <w:r>
                    <w:t>18.1</w:t>
                  </w:r>
                </w:p>
              </w:tc>
              <w:tc>
                <w:tcPr>
                  <w:tcW w:w="460" w:type="pct"/>
                  <w:shd w:val="clear" w:color="auto" w:fill="auto"/>
                  <w:vAlign w:val="bottom"/>
                </w:tcPr>
                <w:p w:rsidR="00AC2131" w:rsidRDefault="00AC2131" w:rsidP="00AC2131">
                  <w:pPr>
                    <w:pStyle w:val="TableBodyText"/>
                    <w:spacing w:after="0"/>
                    <w:ind w:left="0" w:right="57"/>
                  </w:pPr>
                  <w:r>
                    <w:t>6.2</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-8.7</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41.5</w:t>
                  </w:r>
                </w:p>
              </w:tc>
              <w:tc>
                <w:tcPr>
                  <w:tcW w:w="460" w:type="pct"/>
                  <w:shd w:val="clear" w:color="auto" w:fill="auto"/>
                  <w:vAlign w:val="bottom"/>
                </w:tcPr>
                <w:p w:rsidR="00AC2131" w:rsidRDefault="00AC2131" w:rsidP="00AC2131">
                  <w:pPr>
                    <w:pStyle w:val="TableBodyText"/>
                    <w:spacing w:after="0"/>
                    <w:ind w:left="0" w:right="57"/>
                  </w:pPr>
                  <w:r>
                    <w:t>32.7</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16.1</w:t>
                  </w:r>
                </w:p>
              </w:tc>
              <w:tc>
                <w:tcPr>
                  <w:tcW w:w="460" w:type="pct"/>
                  <w:shd w:val="clear" w:color="auto" w:fill="auto"/>
                  <w:vAlign w:val="bottom"/>
                </w:tcPr>
                <w:p w:rsidR="00AC2131" w:rsidRDefault="00AC2131" w:rsidP="00AC2131">
                  <w:pPr>
                    <w:pStyle w:val="TableBodyText"/>
                    <w:spacing w:after="0"/>
                    <w:ind w:left="0" w:right="57"/>
                  </w:pPr>
                  <w:r>
                    <w:t>28.8</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8" w:type="pct"/>
                  <w:vAlign w:val="bottom"/>
                </w:tcPr>
                <w:p w:rsidR="00AC2131" w:rsidRDefault="00AC2131" w:rsidP="00AC2131">
                  <w:pPr>
                    <w:pStyle w:val="TableBodyText"/>
                    <w:spacing w:after="0"/>
                    <w:ind w:left="0" w:right="57"/>
                  </w:pPr>
                  <w:r>
                    <w:t>20.7</w:t>
                  </w:r>
                </w:p>
              </w:tc>
              <w:tc>
                <w:tcPr>
                  <w:tcW w:w="468" w:type="pct"/>
                  <w:vAlign w:val="bottom"/>
                </w:tcPr>
                <w:p w:rsidR="00AC2131" w:rsidRDefault="00AC2131" w:rsidP="00AC2131">
                  <w:pPr>
                    <w:pStyle w:val="TableBodyText"/>
                    <w:spacing w:after="0"/>
                    <w:ind w:left="0" w:right="57"/>
                  </w:pPr>
                  <w:r>
                    <w:t>23.9</w:t>
                  </w:r>
                </w:p>
              </w:tc>
              <w:tc>
                <w:tcPr>
                  <w:tcW w:w="468" w:type="pct"/>
                  <w:shd w:val="clear" w:color="auto" w:fill="auto"/>
                  <w:vAlign w:val="bottom"/>
                </w:tcPr>
                <w:p w:rsidR="00AC2131" w:rsidRDefault="00AC2131" w:rsidP="00AC2131">
                  <w:pPr>
                    <w:pStyle w:val="TableBodyText"/>
                    <w:spacing w:after="0"/>
                    <w:ind w:left="0" w:right="57"/>
                  </w:pPr>
                  <w:r>
                    <w:t>18.3</w:t>
                  </w:r>
                </w:p>
              </w:tc>
              <w:tc>
                <w:tcPr>
                  <w:tcW w:w="468" w:type="pct"/>
                  <w:shd w:val="clear" w:color="auto" w:fill="auto"/>
                  <w:vAlign w:val="bottom"/>
                </w:tcPr>
                <w:p w:rsidR="00AC2131" w:rsidRDefault="00AC2131" w:rsidP="00AC2131">
                  <w:pPr>
                    <w:pStyle w:val="TableBodyText"/>
                    <w:spacing w:after="0"/>
                    <w:ind w:left="0" w:right="57"/>
                  </w:pPr>
                  <w:r>
                    <w:t>20.7</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Renewable Energy Development Initiative</w:t>
                  </w:r>
                </w:p>
              </w:tc>
              <w:tc>
                <w:tcPr>
                  <w:tcW w:w="468" w:type="pct"/>
                  <w:vAlign w:val="bottom"/>
                </w:tcPr>
                <w:p w:rsidR="00AC2131" w:rsidRDefault="00AC2131" w:rsidP="00AC2131">
                  <w:pPr>
                    <w:pStyle w:val="TableBodyText"/>
                    <w:spacing w:after="0"/>
                    <w:ind w:left="0" w:right="57"/>
                  </w:pPr>
                  <w:r>
                    <w:t>0.7</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tcPr>
                <w:p w:rsidR="00AC2131" w:rsidRPr="0057353B" w:rsidRDefault="00AC2131" w:rsidP="00AC2131">
                  <w:pPr>
                    <w:pStyle w:val="TableBodyText"/>
                    <w:spacing w:before="40" w:after="0"/>
                    <w:ind w:left="113"/>
                    <w:jc w:val="left"/>
                    <w:rPr>
                      <w:i/>
                    </w:rPr>
                  </w:pPr>
                  <w:r w:rsidRPr="0057353B">
                    <w:rPr>
                      <w:i/>
                    </w:rPr>
                    <w:t>Other measures</w:t>
                  </w:r>
                </w:p>
              </w:tc>
              <w:tc>
                <w:tcPr>
                  <w:tcW w:w="468" w:type="pct"/>
                </w:tcPr>
                <w:p w:rsidR="00AC2131" w:rsidRDefault="00AC2131" w:rsidP="00AC2131">
                  <w:pPr>
                    <w:pStyle w:val="TableBodyText"/>
                    <w:spacing w:before="40" w:after="0"/>
                    <w:ind w:left="113"/>
                    <w:jc w:val="left"/>
                  </w:pPr>
                </w:p>
              </w:tc>
              <w:tc>
                <w:tcPr>
                  <w:tcW w:w="468" w:type="pct"/>
                </w:tcPr>
                <w:p w:rsidR="00AC2131" w:rsidRDefault="00AC2131" w:rsidP="00AC2131">
                  <w:pPr>
                    <w:pStyle w:val="TableBodyText"/>
                    <w:spacing w:before="40" w:after="0"/>
                    <w:ind w:left="113"/>
                    <w:jc w:val="left"/>
                  </w:pPr>
                </w:p>
              </w:tc>
              <w:tc>
                <w:tcPr>
                  <w:tcW w:w="468" w:type="pct"/>
                  <w:shd w:val="clear" w:color="auto" w:fill="auto"/>
                </w:tcPr>
                <w:p w:rsidR="00AC2131" w:rsidRDefault="00AC2131" w:rsidP="00AC2131">
                  <w:pPr>
                    <w:pStyle w:val="TableBodyText"/>
                    <w:spacing w:before="40" w:after="0"/>
                    <w:ind w:left="113"/>
                    <w:jc w:val="left"/>
                  </w:pPr>
                </w:p>
              </w:tc>
              <w:tc>
                <w:tcPr>
                  <w:tcW w:w="468" w:type="pct"/>
                  <w:shd w:val="clear" w:color="auto" w:fill="auto"/>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right="28"/>
                  </w:pPr>
                </w:p>
              </w:tc>
              <w:tc>
                <w:tcPr>
                  <w:tcW w:w="460" w:type="pct"/>
                  <w:shd w:val="clear" w:color="auto" w:fill="auto"/>
                </w:tcPr>
                <w:p w:rsidR="00AC2131" w:rsidRDefault="00AC2131" w:rsidP="00AC2131">
                  <w:pPr>
                    <w:pStyle w:val="TableBodyText"/>
                    <w:spacing w:before="40" w:after="0"/>
                    <w:ind w:left="113" w:right="28"/>
                  </w:pP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25 per cent entrepreneurs' tax offset</w:t>
                  </w:r>
                </w:p>
              </w:tc>
              <w:tc>
                <w:tcPr>
                  <w:tcW w:w="468" w:type="pct"/>
                  <w:vAlign w:val="bottom"/>
                </w:tcPr>
                <w:p w:rsidR="00AC2131" w:rsidRDefault="00AC2131" w:rsidP="00AC2131">
                  <w:pPr>
                    <w:pStyle w:val="TableBodyText"/>
                    <w:spacing w:after="0"/>
                    <w:ind w:left="0" w:right="57"/>
                  </w:pPr>
                  <w:r>
                    <w:t>0.1</w:t>
                  </w:r>
                </w:p>
              </w:tc>
              <w:tc>
                <w:tcPr>
                  <w:tcW w:w="468" w:type="pct"/>
                  <w:vAlign w:val="bottom"/>
                </w:tcPr>
                <w:p w:rsidR="00AC2131" w:rsidRDefault="00AC2131" w:rsidP="00AC2131">
                  <w:pPr>
                    <w:pStyle w:val="TableBodyText"/>
                    <w:spacing w:after="0"/>
                    <w:ind w:left="0" w:right="57"/>
                  </w:pPr>
                  <w:r>
                    <w:t>0.1</w:t>
                  </w:r>
                </w:p>
              </w:tc>
              <w:tc>
                <w:tcPr>
                  <w:tcW w:w="468" w:type="pct"/>
                  <w:shd w:val="clear" w:color="auto" w:fill="auto"/>
                  <w:vAlign w:val="bottom"/>
                </w:tcPr>
                <w:p w:rsidR="00AC2131" w:rsidRDefault="00AC2131" w:rsidP="00AC2131">
                  <w:pPr>
                    <w:pStyle w:val="TableBodyText"/>
                    <w:spacing w:after="0"/>
                    <w:ind w:left="0" w:right="57"/>
                  </w:pPr>
                  <w:r>
                    <w:t>0.1</w:t>
                  </w:r>
                </w:p>
              </w:tc>
              <w:tc>
                <w:tcPr>
                  <w:tcW w:w="468" w:type="pct"/>
                  <w:shd w:val="clear" w:color="auto" w:fill="auto"/>
                  <w:vAlign w:val="bottom"/>
                </w:tcPr>
                <w:p w:rsidR="00AC2131" w:rsidRDefault="00AC2131" w:rsidP="00AC2131">
                  <w:pPr>
                    <w:pStyle w:val="TableBodyText"/>
                    <w:spacing w:after="0"/>
                    <w:ind w:left="0" w:right="57"/>
                  </w:pPr>
                  <w:r>
                    <w:t>0.1</w:t>
                  </w:r>
                </w:p>
              </w:tc>
              <w:tc>
                <w:tcPr>
                  <w:tcW w:w="468" w:type="pct"/>
                  <w:vAlign w:val="bottom"/>
                </w:tcPr>
                <w:p w:rsidR="00AC2131" w:rsidRDefault="00AC2131" w:rsidP="00AC2131">
                  <w:pPr>
                    <w:pStyle w:val="TableBodyText"/>
                    <w:spacing w:after="0"/>
                    <w:ind w:left="0" w:right="57"/>
                  </w:pPr>
                  <w:r>
                    <w:t>0.4</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Enterprise Connect Innovation Centres</w:t>
                  </w:r>
                </w:p>
              </w:tc>
              <w:tc>
                <w:tcPr>
                  <w:tcW w:w="468" w:type="pct"/>
                  <w:vAlign w:val="bottom"/>
                </w:tcPr>
                <w:p w:rsidR="00AC2131" w:rsidRDefault="00AC2131" w:rsidP="00AC2131">
                  <w:pPr>
                    <w:pStyle w:val="TableBodyText"/>
                    <w:spacing w:after="0"/>
                    <w:ind w:left="0" w:right="57"/>
                  </w:pPr>
                  <w:r>
                    <w:t>&lt;0.1</w:t>
                  </w:r>
                </w:p>
              </w:tc>
              <w:tc>
                <w:tcPr>
                  <w:tcW w:w="468" w:type="pct"/>
                  <w:vAlign w:val="bottom"/>
                </w:tcPr>
                <w:p w:rsidR="00AC2131" w:rsidRDefault="00AC2131" w:rsidP="00AC2131">
                  <w:pPr>
                    <w:pStyle w:val="TableBodyText"/>
                    <w:spacing w:after="0"/>
                    <w:ind w:left="0" w:right="57"/>
                  </w:pPr>
                  <w:r>
                    <w:t>0.5</w:t>
                  </w:r>
                </w:p>
              </w:tc>
              <w:tc>
                <w:tcPr>
                  <w:tcW w:w="468" w:type="pct"/>
                  <w:shd w:val="clear" w:color="auto" w:fill="auto"/>
                  <w:vAlign w:val="bottom"/>
                </w:tcPr>
                <w:p w:rsidR="00AC2131" w:rsidRDefault="00AC2131" w:rsidP="00AC2131">
                  <w:pPr>
                    <w:pStyle w:val="TableBodyText"/>
                    <w:spacing w:after="0"/>
                    <w:ind w:left="0" w:right="57"/>
                  </w:pPr>
                  <w:r>
                    <w:t>0.9</w:t>
                  </w:r>
                </w:p>
              </w:tc>
              <w:tc>
                <w:tcPr>
                  <w:tcW w:w="468" w:type="pct"/>
                  <w:shd w:val="clear" w:color="auto" w:fill="auto"/>
                  <w:vAlign w:val="bottom"/>
                </w:tcPr>
                <w:p w:rsidR="00AC2131" w:rsidRDefault="00AC2131" w:rsidP="00AC2131">
                  <w:pPr>
                    <w:pStyle w:val="TableBodyText"/>
                    <w:spacing w:after="0"/>
                    <w:ind w:left="0" w:right="57"/>
                  </w:pPr>
                  <w:r>
                    <w:t>0.6</w:t>
                  </w:r>
                </w:p>
              </w:tc>
              <w:tc>
                <w:tcPr>
                  <w:tcW w:w="468" w:type="pct"/>
                  <w:vAlign w:val="bottom"/>
                </w:tcPr>
                <w:p w:rsidR="00AC2131" w:rsidRDefault="00AC2131" w:rsidP="00AC2131">
                  <w:pPr>
                    <w:pStyle w:val="TableBodyText"/>
                    <w:spacing w:after="0"/>
                    <w:ind w:left="0" w:right="57"/>
                  </w:pPr>
                  <w:r>
                    <w:t>0.8</w:t>
                  </w:r>
                </w:p>
              </w:tc>
              <w:tc>
                <w:tcPr>
                  <w:tcW w:w="460" w:type="pct"/>
                  <w:shd w:val="clear" w:color="auto" w:fill="auto"/>
                  <w:vAlign w:val="bottom"/>
                </w:tcPr>
                <w:p w:rsidR="00AC2131" w:rsidRDefault="00AC2131" w:rsidP="00AC2131">
                  <w:pPr>
                    <w:pStyle w:val="TableBodyText"/>
                    <w:spacing w:after="0"/>
                    <w:ind w:left="0" w:right="57"/>
                  </w:pPr>
                  <w:r>
                    <w:t>0.5</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Geelong Innovation and Investment Fund</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0.2</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Illawarra Region Innovation and Investment Fund</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0.8</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North West and Northern Tasmania Innovation and Investment Fund</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0.3</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Scottsdale Industry and Community Development Fund</w:t>
                  </w:r>
                </w:p>
              </w:tc>
              <w:tc>
                <w:tcPr>
                  <w:tcW w:w="468" w:type="pct"/>
                  <w:vAlign w:val="bottom"/>
                </w:tcPr>
                <w:p w:rsidR="00AC2131" w:rsidRDefault="00AC2131" w:rsidP="00AC2131">
                  <w:pPr>
                    <w:pStyle w:val="TableBodyText"/>
                    <w:spacing w:after="0"/>
                    <w:ind w:left="0" w:right="57"/>
                  </w:pPr>
                  <w:r>
                    <w:t>0.1</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8" w:type="pct"/>
                  <w:vAlign w:val="bottom"/>
                </w:tcPr>
                <w:p w:rsidR="00AC2131" w:rsidRDefault="00AC2131" w:rsidP="00AC2131">
                  <w:pPr>
                    <w:pStyle w:val="TableBodyText"/>
                    <w:spacing w:after="0"/>
                    <w:ind w:left="0" w:right="57"/>
                  </w:pPr>
                  <w:r>
                    <w:t>0.1</w:t>
                  </w:r>
                </w:p>
              </w:tc>
              <w:tc>
                <w:tcPr>
                  <w:tcW w:w="468" w:type="pct"/>
                  <w:vAlign w:val="bottom"/>
                </w:tcPr>
                <w:p w:rsidR="00AC2131" w:rsidRDefault="00AC2131" w:rsidP="00AC2131">
                  <w:pPr>
                    <w:pStyle w:val="TableBodyText"/>
                    <w:spacing w:after="0"/>
                    <w:ind w:left="0" w:right="57"/>
                  </w:pPr>
                  <w:r>
                    <w:t>0.2</w:t>
                  </w:r>
                </w:p>
              </w:tc>
              <w:tc>
                <w:tcPr>
                  <w:tcW w:w="468" w:type="pct"/>
                  <w:shd w:val="clear" w:color="auto" w:fill="auto"/>
                  <w:vAlign w:val="bottom"/>
                </w:tcPr>
                <w:p w:rsidR="00AC2131" w:rsidRDefault="00AC2131" w:rsidP="00AC2131">
                  <w:pPr>
                    <w:pStyle w:val="TableBodyText"/>
                    <w:spacing w:after="0"/>
                    <w:ind w:left="0" w:right="57"/>
                  </w:pPr>
                  <w:r>
                    <w:t>0.3</w:t>
                  </w:r>
                </w:p>
              </w:tc>
              <w:tc>
                <w:tcPr>
                  <w:tcW w:w="468" w:type="pct"/>
                  <w:shd w:val="clear" w:color="auto" w:fill="auto"/>
                  <w:vAlign w:val="bottom"/>
                </w:tcPr>
                <w:p w:rsidR="00AC2131" w:rsidRDefault="00AC2131" w:rsidP="00AC2131">
                  <w:pPr>
                    <w:pStyle w:val="TableBodyText"/>
                    <w:spacing w:after="0"/>
                    <w:ind w:left="0" w:right="57"/>
                  </w:pPr>
                  <w:r>
                    <w:t>&lt;0.1</w:t>
                  </w:r>
                </w:p>
              </w:tc>
              <w:tc>
                <w:tcPr>
                  <w:tcW w:w="468" w:type="pct"/>
                  <w:vAlign w:val="bottom"/>
                </w:tcPr>
                <w:p w:rsidR="00AC2131" w:rsidRDefault="00AC2131" w:rsidP="00AC2131">
                  <w:pPr>
                    <w:pStyle w:val="TableBodyText"/>
                    <w:spacing w:after="0"/>
                    <w:ind w:left="0" w:right="57"/>
                  </w:pPr>
                  <w:r>
                    <w:t>-0.1</w:t>
                  </w:r>
                </w:p>
              </w:tc>
              <w:tc>
                <w:tcPr>
                  <w:tcW w:w="460" w:type="pct"/>
                  <w:shd w:val="clear" w:color="auto" w:fill="auto"/>
                  <w:vAlign w:val="bottom"/>
                </w:tcPr>
                <w:p w:rsidR="00AC2131" w:rsidRDefault="00AC2131" w:rsidP="00AC2131">
                  <w:pPr>
                    <w:pStyle w:val="TableBodyText"/>
                    <w:spacing w:after="0"/>
                    <w:ind w:left="0" w:right="57"/>
                  </w:pPr>
                  <w:r>
                    <w:t>3.3</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 xml:space="preserve">Small business </w:t>
                  </w:r>
                  <w:r>
                    <w:rPr>
                      <w:rFonts w:ascii="Arial" w:hAnsi="Arial" w:cs="Arial"/>
                      <w:color w:val="000000"/>
                      <w:sz w:val="18"/>
                      <w:szCs w:val="18"/>
                    </w:rPr>
                    <w:t>capital gains tax</w:t>
                  </w:r>
                  <w:r w:rsidRPr="0057353B">
                    <w:rPr>
                      <w:rFonts w:ascii="Arial" w:hAnsi="Arial" w:cs="Arial"/>
                      <w:color w:val="000000"/>
                      <w:sz w:val="18"/>
                      <w:szCs w:val="18"/>
                    </w:rPr>
                    <w:t xml:space="preserve"> 50 per cent reduction</w:t>
                  </w:r>
                </w:p>
              </w:tc>
              <w:tc>
                <w:tcPr>
                  <w:tcW w:w="468" w:type="pct"/>
                  <w:vAlign w:val="bottom"/>
                </w:tcPr>
                <w:p w:rsidR="00AC2131" w:rsidRDefault="00AC2131" w:rsidP="00AC2131">
                  <w:pPr>
                    <w:pStyle w:val="TableBodyText"/>
                    <w:spacing w:after="0"/>
                    <w:ind w:left="0" w:right="57"/>
                  </w:pPr>
                  <w:r>
                    <w:t>0.4</w:t>
                  </w:r>
                </w:p>
              </w:tc>
              <w:tc>
                <w:tcPr>
                  <w:tcW w:w="468" w:type="pct"/>
                  <w:vAlign w:val="bottom"/>
                </w:tcPr>
                <w:p w:rsidR="00AC2131" w:rsidRDefault="00AC2131" w:rsidP="00AC2131">
                  <w:pPr>
                    <w:pStyle w:val="TableBodyText"/>
                    <w:spacing w:after="0"/>
                    <w:ind w:left="0" w:right="57"/>
                  </w:pPr>
                  <w:r>
                    <w:t>0.7</w:t>
                  </w:r>
                </w:p>
              </w:tc>
              <w:tc>
                <w:tcPr>
                  <w:tcW w:w="468" w:type="pct"/>
                  <w:shd w:val="clear" w:color="auto" w:fill="auto"/>
                  <w:vAlign w:val="bottom"/>
                </w:tcPr>
                <w:p w:rsidR="00AC2131" w:rsidRDefault="00AC2131" w:rsidP="00AC2131">
                  <w:pPr>
                    <w:pStyle w:val="TableBodyText"/>
                    <w:spacing w:after="0"/>
                    <w:ind w:left="0" w:right="57"/>
                  </w:pPr>
                  <w:r>
                    <w:t>0.9</w:t>
                  </w:r>
                </w:p>
              </w:tc>
              <w:tc>
                <w:tcPr>
                  <w:tcW w:w="468" w:type="pct"/>
                  <w:shd w:val="clear" w:color="auto" w:fill="auto"/>
                  <w:vAlign w:val="bottom"/>
                </w:tcPr>
                <w:p w:rsidR="00AC2131" w:rsidRDefault="00AC2131" w:rsidP="00AC2131">
                  <w:pPr>
                    <w:pStyle w:val="TableBodyText"/>
                    <w:spacing w:after="0"/>
                    <w:ind w:left="0" w:right="57"/>
                  </w:pPr>
                  <w:r>
                    <w:t>1.0</w:t>
                  </w:r>
                </w:p>
              </w:tc>
              <w:tc>
                <w:tcPr>
                  <w:tcW w:w="468" w:type="pct"/>
                  <w:vAlign w:val="bottom"/>
                </w:tcPr>
                <w:p w:rsidR="00AC2131" w:rsidRDefault="00AC2131" w:rsidP="00AC2131">
                  <w:pPr>
                    <w:pStyle w:val="TableBodyText"/>
                    <w:spacing w:after="0"/>
                    <w:ind w:left="0" w:right="57"/>
                  </w:pPr>
                  <w:r>
                    <w:t>1.0</w:t>
                  </w:r>
                </w:p>
              </w:tc>
              <w:tc>
                <w:tcPr>
                  <w:tcW w:w="460" w:type="pct"/>
                  <w:shd w:val="clear" w:color="auto" w:fill="auto"/>
                  <w:vAlign w:val="bottom"/>
                </w:tcPr>
                <w:p w:rsidR="00AC2131" w:rsidRDefault="00AC2131" w:rsidP="00AC2131">
                  <w:pPr>
                    <w:pStyle w:val="TableBodyText"/>
                    <w:spacing w:after="0"/>
                    <w:ind w:left="0" w:right="57"/>
                  </w:pPr>
                  <w:r>
                    <w:t>1.1</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 xml:space="preserve">Small business </w:t>
                  </w:r>
                  <w:r>
                    <w:rPr>
                      <w:rFonts w:ascii="Arial" w:hAnsi="Arial" w:cs="Arial"/>
                      <w:color w:val="000000"/>
                      <w:sz w:val="18"/>
                      <w:szCs w:val="18"/>
                    </w:rPr>
                    <w:t>capital gains tax</w:t>
                  </w:r>
                  <w:r w:rsidRPr="0057353B">
                    <w:rPr>
                      <w:rFonts w:ascii="Arial" w:hAnsi="Arial" w:cs="Arial"/>
                      <w:color w:val="000000"/>
                      <w:sz w:val="18"/>
                      <w:szCs w:val="18"/>
                    </w:rPr>
                    <w:t xml:space="preserve"> retirement exemption</w:t>
                  </w:r>
                </w:p>
              </w:tc>
              <w:tc>
                <w:tcPr>
                  <w:tcW w:w="468" w:type="pct"/>
                  <w:vAlign w:val="bottom"/>
                </w:tcPr>
                <w:p w:rsidR="00AC2131" w:rsidRDefault="00AC2131" w:rsidP="00AC2131">
                  <w:pPr>
                    <w:pStyle w:val="TableBodyText"/>
                    <w:spacing w:after="0"/>
                    <w:ind w:left="0" w:right="57"/>
                  </w:pPr>
                  <w:r>
                    <w:t>1.2</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South Australia Innovation and Investment Fund and Labour Assistance Package</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1.4</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57353B" w:rsidRDefault="00AC2131" w:rsidP="00AC2131">
                  <w:pPr>
                    <w:ind w:left="227"/>
                    <w:rPr>
                      <w:rFonts w:ascii="Arial" w:hAnsi="Arial" w:cs="Arial"/>
                      <w:color w:val="000000"/>
                      <w:sz w:val="18"/>
                      <w:szCs w:val="18"/>
                    </w:rPr>
                  </w:pPr>
                  <w:r w:rsidRPr="0057353B">
                    <w:rPr>
                      <w:rFonts w:ascii="Arial" w:hAnsi="Arial" w:cs="Arial"/>
                      <w:color w:val="000000"/>
                      <w:sz w:val="18"/>
                      <w:szCs w:val="18"/>
                    </w:rPr>
                    <w:t>Tasmanian Innovation and Investment Fund</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w:t>
                  </w:r>
                </w:p>
              </w:tc>
              <w:tc>
                <w:tcPr>
                  <w:tcW w:w="468" w:type="pct"/>
                  <w:shd w:val="clear" w:color="auto" w:fill="auto"/>
                  <w:vAlign w:val="bottom"/>
                </w:tcPr>
                <w:p w:rsidR="00AC2131" w:rsidRDefault="00AC2131" w:rsidP="00AC2131">
                  <w:pPr>
                    <w:pStyle w:val="TableBodyText"/>
                    <w:spacing w:after="0"/>
                    <w:ind w:left="0" w:right="57"/>
                  </w:pPr>
                  <w:r>
                    <w:t>&lt;0.1</w:t>
                  </w:r>
                </w:p>
              </w:tc>
              <w:tc>
                <w:tcPr>
                  <w:tcW w:w="468" w:type="pct"/>
                  <w:vAlign w:val="bottom"/>
                </w:tcPr>
                <w:p w:rsidR="00AC2131" w:rsidRDefault="00AC2131" w:rsidP="00AC2131">
                  <w:pPr>
                    <w:pStyle w:val="TableBodyText"/>
                    <w:spacing w:after="0"/>
                    <w:ind w:left="0" w:right="57"/>
                  </w:pPr>
                  <w:r>
                    <w:t>&lt;0.1</w:t>
                  </w:r>
                </w:p>
              </w:tc>
              <w:tc>
                <w:tcPr>
                  <w:tcW w:w="460"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tcPr>
                <w:p w:rsidR="00AC2131" w:rsidRPr="0057353B" w:rsidRDefault="00AC2131" w:rsidP="00AC2131">
                  <w:pPr>
                    <w:ind w:left="227"/>
                    <w:rPr>
                      <w:rFonts w:ascii="Arial" w:hAnsi="Arial" w:cs="Arial"/>
                      <w:sz w:val="18"/>
                      <w:szCs w:val="18"/>
                    </w:rPr>
                  </w:pPr>
                  <w:r w:rsidRPr="0057353B">
                    <w:rPr>
                      <w:rFonts w:ascii="Arial" w:hAnsi="Arial" w:cs="Arial"/>
                      <w:sz w:val="18"/>
                      <w:szCs w:val="18"/>
                    </w:rPr>
                    <w:t>The Small Business and General Business Tax Break</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12.5</w:t>
                  </w:r>
                </w:p>
              </w:tc>
              <w:tc>
                <w:tcPr>
                  <w:tcW w:w="468" w:type="pct"/>
                  <w:shd w:val="clear" w:color="auto" w:fill="auto"/>
                  <w:vAlign w:val="bottom"/>
                </w:tcPr>
                <w:p w:rsidR="00AC2131" w:rsidRDefault="00AC2131" w:rsidP="00AC2131">
                  <w:pPr>
                    <w:pStyle w:val="TableBodyText"/>
                    <w:spacing w:after="0"/>
                    <w:ind w:left="0" w:right="57"/>
                  </w:pPr>
                  <w:r>
                    <w:t>66.2</w:t>
                  </w:r>
                </w:p>
              </w:tc>
              <w:tc>
                <w:tcPr>
                  <w:tcW w:w="468" w:type="pct"/>
                  <w:shd w:val="clear" w:color="auto" w:fill="auto"/>
                  <w:vAlign w:val="bottom"/>
                </w:tcPr>
                <w:p w:rsidR="00AC2131" w:rsidRDefault="00AC2131" w:rsidP="00AC2131">
                  <w:pPr>
                    <w:pStyle w:val="TableBodyText"/>
                    <w:spacing w:after="0"/>
                    <w:ind w:left="0" w:right="57"/>
                  </w:pPr>
                  <w:r>
                    <w:t>1.7</w:t>
                  </w:r>
                </w:p>
              </w:tc>
              <w:tc>
                <w:tcPr>
                  <w:tcW w:w="468" w:type="pct"/>
                  <w:vAlign w:val="bottom"/>
                </w:tcPr>
                <w:p w:rsidR="00AC2131" w:rsidRDefault="00AC2131" w:rsidP="00AC2131">
                  <w:pPr>
                    <w:pStyle w:val="TableBodyText"/>
                    <w:spacing w:after="0"/>
                    <w:ind w:left="0" w:right="57"/>
                  </w:pPr>
                  <w:r>
                    <w:t>0.6</w:t>
                  </w:r>
                </w:p>
              </w:tc>
              <w:tc>
                <w:tcPr>
                  <w:tcW w:w="460"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tcBorders>
                    <w:bottom w:val="single" w:sz="6" w:space="0" w:color="BFBFBF"/>
                  </w:tcBorders>
                </w:tcPr>
                <w:p w:rsidR="00AC2131" w:rsidRPr="0057353B" w:rsidRDefault="00AC2131" w:rsidP="00AC2131">
                  <w:pPr>
                    <w:spacing w:before="20" w:after="20"/>
                    <w:rPr>
                      <w:rFonts w:ascii="Arial" w:hAnsi="Arial" w:cs="Arial"/>
                      <w:i/>
                      <w:sz w:val="18"/>
                      <w:szCs w:val="18"/>
                    </w:rPr>
                  </w:pPr>
                  <w:r w:rsidRPr="0057353B">
                    <w:rPr>
                      <w:rFonts w:ascii="Arial" w:hAnsi="Arial" w:cs="Arial"/>
                      <w:i/>
                      <w:sz w:val="18"/>
                      <w:szCs w:val="18"/>
                    </w:rPr>
                    <w:t>Total</w:t>
                  </w:r>
                </w:p>
              </w:tc>
              <w:tc>
                <w:tcPr>
                  <w:tcW w:w="468" w:type="pct"/>
                  <w:tcBorders>
                    <w:bottom w:val="single" w:sz="6" w:space="0" w:color="BFBFBF"/>
                  </w:tcBorders>
                  <w:vAlign w:val="bottom"/>
                </w:tcPr>
                <w:p w:rsidR="00AC2131" w:rsidRPr="00593A79" w:rsidRDefault="00AC2131" w:rsidP="00AC2131">
                  <w:pPr>
                    <w:pStyle w:val="TableBodyText"/>
                    <w:spacing w:before="20" w:after="20"/>
                    <w:ind w:left="0" w:right="57"/>
                    <w:rPr>
                      <w:i/>
                    </w:rPr>
                  </w:pPr>
                  <w:r w:rsidRPr="00593A79">
                    <w:rPr>
                      <w:i/>
                    </w:rPr>
                    <w:t>249.4</w:t>
                  </w:r>
                </w:p>
              </w:tc>
              <w:tc>
                <w:tcPr>
                  <w:tcW w:w="468" w:type="pct"/>
                  <w:tcBorders>
                    <w:bottom w:val="single" w:sz="6" w:space="0" w:color="BFBFBF"/>
                  </w:tcBorders>
                  <w:vAlign w:val="bottom"/>
                </w:tcPr>
                <w:p w:rsidR="00AC2131" w:rsidRPr="00593A79" w:rsidRDefault="00AC2131" w:rsidP="00AC2131">
                  <w:pPr>
                    <w:pStyle w:val="TableBodyText"/>
                    <w:spacing w:before="20" w:after="20"/>
                    <w:ind w:left="0" w:right="57"/>
                    <w:rPr>
                      <w:i/>
                    </w:rPr>
                  </w:pPr>
                  <w:r w:rsidRPr="00593A79">
                    <w:rPr>
                      <w:i/>
                    </w:rPr>
                    <w:t>276.9</w:t>
                  </w:r>
                </w:p>
              </w:tc>
              <w:tc>
                <w:tcPr>
                  <w:tcW w:w="468" w:type="pct"/>
                  <w:tcBorders>
                    <w:bottom w:val="single" w:sz="6" w:space="0" w:color="BFBFBF"/>
                  </w:tcBorders>
                  <w:shd w:val="clear" w:color="auto" w:fill="auto"/>
                  <w:vAlign w:val="bottom"/>
                </w:tcPr>
                <w:p w:rsidR="00AC2131" w:rsidRPr="00593A79" w:rsidRDefault="00AC2131" w:rsidP="00AC2131">
                  <w:pPr>
                    <w:pStyle w:val="TableBodyText"/>
                    <w:spacing w:before="20" w:after="20"/>
                    <w:ind w:left="0" w:right="57"/>
                    <w:rPr>
                      <w:i/>
                    </w:rPr>
                  </w:pPr>
                  <w:r w:rsidRPr="00593A79">
                    <w:rPr>
                      <w:i/>
                    </w:rPr>
                    <w:t>353.0</w:t>
                  </w:r>
                </w:p>
              </w:tc>
              <w:tc>
                <w:tcPr>
                  <w:tcW w:w="468" w:type="pct"/>
                  <w:tcBorders>
                    <w:bottom w:val="single" w:sz="6" w:space="0" w:color="BFBFBF"/>
                  </w:tcBorders>
                  <w:shd w:val="clear" w:color="auto" w:fill="auto"/>
                  <w:vAlign w:val="bottom"/>
                </w:tcPr>
                <w:p w:rsidR="00AC2131" w:rsidRPr="00593A79" w:rsidRDefault="00AC2131" w:rsidP="00AC2131">
                  <w:pPr>
                    <w:pStyle w:val="TableBodyText"/>
                    <w:spacing w:before="20" w:after="20"/>
                    <w:ind w:left="0" w:right="57"/>
                    <w:rPr>
                      <w:i/>
                    </w:rPr>
                  </w:pPr>
                  <w:r w:rsidRPr="00593A79">
                    <w:rPr>
                      <w:i/>
                    </w:rPr>
                    <w:t>279.2</w:t>
                  </w:r>
                </w:p>
              </w:tc>
              <w:tc>
                <w:tcPr>
                  <w:tcW w:w="468" w:type="pct"/>
                  <w:tcBorders>
                    <w:bottom w:val="single" w:sz="6" w:space="0" w:color="BFBFBF"/>
                  </w:tcBorders>
                  <w:vAlign w:val="bottom"/>
                </w:tcPr>
                <w:p w:rsidR="00AC2131" w:rsidRPr="00593A79" w:rsidRDefault="00AC2131" w:rsidP="00AC2131">
                  <w:pPr>
                    <w:pStyle w:val="TableBodyText"/>
                    <w:spacing w:before="20" w:after="20"/>
                    <w:ind w:left="0" w:right="57"/>
                    <w:rPr>
                      <w:i/>
                    </w:rPr>
                  </w:pPr>
                  <w:r w:rsidRPr="00593A79">
                    <w:rPr>
                      <w:i/>
                    </w:rPr>
                    <w:t>293.7</w:t>
                  </w:r>
                </w:p>
              </w:tc>
              <w:tc>
                <w:tcPr>
                  <w:tcW w:w="460" w:type="pct"/>
                  <w:tcBorders>
                    <w:bottom w:val="single" w:sz="6" w:space="0" w:color="BFBFBF"/>
                  </w:tcBorders>
                  <w:shd w:val="clear" w:color="auto" w:fill="auto"/>
                  <w:vAlign w:val="bottom"/>
                </w:tcPr>
                <w:p w:rsidR="00AC2131" w:rsidRPr="00593A79" w:rsidRDefault="00AC2131" w:rsidP="00AC2131">
                  <w:pPr>
                    <w:pStyle w:val="TableBodyText"/>
                    <w:spacing w:before="20" w:after="20"/>
                    <w:ind w:left="0" w:right="57"/>
                    <w:rPr>
                      <w:i/>
                    </w:rPr>
                  </w:pPr>
                  <w:r w:rsidRPr="00593A79">
                    <w:rPr>
                      <w:i/>
                    </w:rPr>
                    <w:t>298.3</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ind w:left="6499"/>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8"/>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4" w:type="dxa"/>
              <w:tblCellMar>
                <w:top w:w="28" w:type="dxa"/>
                <w:left w:w="0" w:type="dxa"/>
                <w:right w:w="0" w:type="dxa"/>
              </w:tblCellMar>
              <w:tblLook w:val="0000" w:firstRow="0" w:lastRow="0" w:firstColumn="0" w:lastColumn="0" w:noHBand="0" w:noVBand="0"/>
            </w:tblPr>
            <w:tblGrid>
              <w:gridCol w:w="3742"/>
              <w:gridCol w:w="793"/>
              <w:gridCol w:w="794"/>
              <w:gridCol w:w="794"/>
              <w:gridCol w:w="794"/>
              <w:gridCol w:w="794"/>
              <w:gridCol w:w="793"/>
            </w:tblGrid>
            <w:tr w:rsidR="00AC2131" w:rsidTr="00AC2131">
              <w:tc>
                <w:tcPr>
                  <w:tcW w:w="2200" w:type="pct"/>
                  <w:tcBorders>
                    <w:top w:val="single" w:sz="6" w:space="0" w:color="BFBFBF"/>
                    <w:bottom w:val="single" w:sz="6" w:space="0" w:color="BFBFBF"/>
                  </w:tcBorders>
                </w:tcPr>
                <w:p w:rsidR="00AC2131" w:rsidRDefault="00AC2131" w:rsidP="00AC2131">
                  <w:pPr>
                    <w:pStyle w:val="TableColumnHeading"/>
                    <w:jc w:val="left"/>
                  </w:pPr>
                </w:p>
              </w:tc>
              <w:tc>
                <w:tcPr>
                  <w:tcW w:w="466"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6"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332F05" w:rsidRDefault="00AC2131" w:rsidP="00AC2131">
                  <w:pPr>
                    <w:pStyle w:val="TableUnitsRow"/>
                    <w:jc w:val="left"/>
                    <w:rPr>
                      <w:b/>
                    </w:rPr>
                  </w:pPr>
                  <w:r w:rsidRPr="00332F05">
                    <w:rPr>
                      <w:b/>
                    </w:rPr>
                    <w:t>Non-Metallic mineral products</w:t>
                  </w:r>
                </w:p>
              </w:tc>
              <w:tc>
                <w:tcPr>
                  <w:tcW w:w="466" w:type="pct"/>
                  <w:tcBorders>
                    <w:top w:val="single" w:sz="6" w:space="0" w:color="BFBFBF"/>
                  </w:tcBorders>
                </w:tcPr>
                <w:p w:rsidR="00AC2131" w:rsidRDefault="00AC2131" w:rsidP="00AC2131">
                  <w:pPr>
                    <w:pStyle w:val="TableBodyText"/>
                    <w:spacing w:before="40"/>
                  </w:pPr>
                </w:p>
              </w:tc>
              <w:tc>
                <w:tcPr>
                  <w:tcW w:w="467" w:type="pct"/>
                  <w:tcBorders>
                    <w:top w:val="single" w:sz="6" w:space="0" w:color="BFBFBF"/>
                  </w:tcBorders>
                </w:tcPr>
                <w:p w:rsidR="00AC2131" w:rsidRDefault="00AC2131" w:rsidP="00AC2131">
                  <w:pPr>
                    <w:pStyle w:val="TableBodyText"/>
                    <w:spacing w:before="40"/>
                  </w:pPr>
                </w:p>
              </w:tc>
              <w:tc>
                <w:tcPr>
                  <w:tcW w:w="467" w:type="pct"/>
                  <w:tcBorders>
                    <w:top w:val="single" w:sz="6" w:space="0" w:color="BFBFBF"/>
                  </w:tcBorders>
                </w:tcPr>
                <w:p w:rsidR="00AC2131" w:rsidRDefault="00AC2131" w:rsidP="00AC2131">
                  <w:pPr>
                    <w:pStyle w:val="TableBodyText"/>
                    <w:spacing w:before="40"/>
                  </w:pPr>
                </w:p>
              </w:tc>
              <w:tc>
                <w:tcPr>
                  <w:tcW w:w="467" w:type="pct"/>
                  <w:tcBorders>
                    <w:top w:val="single" w:sz="6" w:space="0" w:color="BFBFBF"/>
                  </w:tcBorders>
                </w:tcPr>
                <w:p w:rsidR="00AC2131" w:rsidRDefault="00AC2131" w:rsidP="00AC2131">
                  <w:pPr>
                    <w:pStyle w:val="TableBodyText"/>
                    <w:spacing w:before="40"/>
                  </w:pPr>
                </w:p>
              </w:tc>
              <w:tc>
                <w:tcPr>
                  <w:tcW w:w="467" w:type="pct"/>
                  <w:tcBorders>
                    <w:top w:val="single" w:sz="6" w:space="0" w:color="BFBFBF"/>
                  </w:tcBorders>
                </w:tcPr>
                <w:p w:rsidR="00AC2131" w:rsidRDefault="00AC2131" w:rsidP="00AC2131">
                  <w:pPr>
                    <w:pStyle w:val="TableBodyText"/>
                    <w:spacing w:before="40"/>
                  </w:pPr>
                </w:p>
              </w:tc>
              <w:tc>
                <w:tcPr>
                  <w:tcW w:w="466" w:type="pct"/>
                  <w:tcBorders>
                    <w:top w:val="single" w:sz="6" w:space="0" w:color="BFBFBF"/>
                  </w:tcBorders>
                </w:tcPr>
                <w:p w:rsidR="00AC2131" w:rsidRDefault="00AC2131" w:rsidP="00AC2131">
                  <w:pPr>
                    <w:pStyle w:val="TableBodyText"/>
                    <w:spacing w:before="40"/>
                  </w:pPr>
                </w:p>
              </w:tc>
            </w:tr>
            <w:tr w:rsidR="00AC2131" w:rsidTr="00AC2131">
              <w:tc>
                <w:tcPr>
                  <w:tcW w:w="2200" w:type="pct"/>
                </w:tcPr>
                <w:p w:rsidR="00AC2131" w:rsidRPr="001465F4" w:rsidRDefault="00AC2131" w:rsidP="00AC2131">
                  <w:pPr>
                    <w:pStyle w:val="TableBodyText"/>
                    <w:spacing w:before="40" w:after="0"/>
                    <w:ind w:left="113"/>
                    <w:jc w:val="left"/>
                    <w:rPr>
                      <w:i/>
                    </w:rPr>
                  </w:pPr>
                  <w:r w:rsidRPr="001465F4">
                    <w:rPr>
                      <w:i/>
                    </w:rPr>
                    <w:t>Sector-specific measures</w:t>
                  </w:r>
                </w:p>
              </w:tc>
              <w:tc>
                <w:tcPr>
                  <w:tcW w:w="466"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6" w:type="pct"/>
                </w:tcPr>
                <w:p w:rsidR="00AC2131" w:rsidRDefault="00AC2131" w:rsidP="00AC2131">
                  <w:pPr>
                    <w:pStyle w:val="TableBodyText"/>
                  </w:pPr>
                </w:p>
              </w:tc>
            </w:tr>
            <w:tr w:rsidR="00AC2131" w:rsidTr="00AC2131">
              <w:tc>
                <w:tcPr>
                  <w:tcW w:w="2200" w:type="pct"/>
                </w:tcPr>
                <w:p w:rsidR="00AC2131" w:rsidRDefault="00AC2131" w:rsidP="00AC2131">
                  <w:pPr>
                    <w:pStyle w:val="TableBodyText"/>
                    <w:ind w:left="227" w:right="0"/>
                    <w:jc w:val="left"/>
                  </w:pPr>
                  <w:r w:rsidRPr="001465F4">
                    <w:t xml:space="preserve">Clean Technology Investment </w:t>
                  </w:r>
                  <w:r>
                    <w:t>–</w:t>
                  </w:r>
                  <w:r w:rsidRPr="001465F4">
                    <w:t xml:space="preserve"> General Program</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5.7</w:t>
                  </w:r>
                </w:p>
              </w:tc>
              <w:tc>
                <w:tcPr>
                  <w:tcW w:w="466" w:type="pct"/>
                  <w:shd w:val="clear" w:color="auto" w:fill="auto"/>
                  <w:vAlign w:val="bottom"/>
                </w:tcPr>
                <w:p w:rsidR="00AC2131" w:rsidRDefault="00AC2131" w:rsidP="00AC2131">
                  <w:pPr>
                    <w:pStyle w:val="TableBodyText"/>
                    <w:spacing w:after="0"/>
                    <w:ind w:left="0" w:right="57"/>
                  </w:pPr>
                  <w:r>
                    <w:t>16.8</w:t>
                  </w:r>
                </w:p>
              </w:tc>
            </w:tr>
            <w:tr w:rsidR="00AC2131" w:rsidTr="00AC2131">
              <w:tc>
                <w:tcPr>
                  <w:tcW w:w="2200" w:type="pct"/>
                </w:tcPr>
                <w:p w:rsidR="00AC2131" w:rsidRPr="001465F4" w:rsidRDefault="00AC2131" w:rsidP="00AC2131">
                  <w:pPr>
                    <w:pStyle w:val="TableBodyText"/>
                    <w:spacing w:before="40" w:after="0"/>
                    <w:ind w:left="113"/>
                    <w:jc w:val="left"/>
                    <w:rPr>
                      <w:i/>
                    </w:rPr>
                  </w:pPr>
                  <w:r w:rsidRPr="001465F4">
                    <w:rPr>
                      <w:i/>
                    </w:rPr>
                    <w:t>General export measures</w:t>
                  </w:r>
                </w:p>
              </w:tc>
              <w:tc>
                <w:tcPr>
                  <w:tcW w:w="466" w:type="pct"/>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jc w:val="left"/>
                  </w:pPr>
                </w:p>
              </w:tc>
              <w:tc>
                <w:tcPr>
                  <w:tcW w:w="467" w:type="pct"/>
                  <w:shd w:val="clear" w:color="auto" w:fill="auto"/>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Export Market Development Grants Scheme</w:t>
                  </w:r>
                </w:p>
              </w:tc>
              <w:tc>
                <w:tcPr>
                  <w:tcW w:w="466"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0.7</w:t>
                  </w:r>
                </w:p>
              </w:tc>
              <w:tc>
                <w:tcPr>
                  <w:tcW w:w="467" w:type="pct"/>
                  <w:shd w:val="clear" w:color="auto" w:fill="auto"/>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0.3</w:t>
                  </w:r>
                </w:p>
              </w:tc>
              <w:tc>
                <w:tcPr>
                  <w:tcW w:w="466" w:type="pct"/>
                  <w:shd w:val="clear" w:color="auto" w:fill="auto"/>
                  <w:vAlign w:val="bottom"/>
                </w:tcPr>
                <w:p w:rsidR="00AC2131" w:rsidRDefault="00AC2131" w:rsidP="00AC2131">
                  <w:pPr>
                    <w:pStyle w:val="TableBodyText"/>
                    <w:spacing w:after="0"/>
                    <w:ind w:left="0" w:right="57"/>
                  </w:pPr>
                  <w:r>
                    <w:t>0.6</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TRADEX</w:t>
                  </w:r>
                </w:p>
              </w:tc>
              <w:tc>
                <w:tcPr>
                  <w:tcW w:w="466"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0.2</w:t>
                  </w:r>
                </w:p>
              </w:tc>
              <w:tc>
                <w:tcPr>
                  <w:tcW w:w="466"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tcPr>
                <w:p w:rsidR="00AC2131" w:rsidRPr="001465F4" w:rsidRDefault="00AC2131" w:rsidP="00AC2131">
                  <w:pPr>
                    <w:pStyle w:val="TableBodyText"/>
                    <w:spacing w:before="40" w:after="0"/>
                    <w:ind w:left="113"/>
                    <w:jc w:val="left"/>
                    <w:rPr>
                      <w:i/>
                    </w:rPr>
                  </w:pPr>
                  <w:r w:rsidRPr="001465F4">
                    <w:rPr>
                      <w:i/>
                    </w:rPr>
                    <w:t>General R&amp;D measures</w:t>
                  </w:r>
                </w:p>
              </w:tc>
              <w:tc>
                <w:tcPr>
                  <w:tcW w:w="466" w:type="pct"/>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jc w:val="left"/>
                  </w:pPr>
                </w:p>
              </w:tc>
              <w:tc>
                <w:tcPr>
                  <w:tcW w:w="467" w:type="pct"/>
                  <w:shd w:val="clear" w:color="auto" w:fill="auto"/>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 xml:space="preserve">Clean Business Australia </w:t>
                  </w:r>
                  <w:r>
                    <w:rPr>
                      <w:rFonts w:ascii="Arial" w:hAnsi="Arial" w:cs="Arial"/>
                      <w:color w:val="000000"/>
                      <w:sz w:val="18"/>
                      <w:szCs w:val="18"/>
                    </w:rPr>
                    <w:t>–</w:t>
                  </w:r>
                  <w:r w:rsidRPr="001465F4">
                    <w:rPr>
                      <w:rFonts w:ascii="Arial" w:hAnsi="Arial" w:cs="Arial"/>
                      <w:color w:val="000000"/>
                      <w:sz w:val="18"/>
                      <w:szCs w:val="18"/>
                    </w:rPr>
                    <w:t xml:space="preserve"> Climate Ready Program</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Clean Technology Innovation Program</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0.1</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COMET Program</w:t>
                  </w:r>
                </w:p>
              </w:tc>
              <w:tc>
                <w:tcPr>
                  <w:tcW w:w="466"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Commercial Ready Program</w:t>
                  </w:r>
                </w:p>
              </w:tc>
              <w:tc>
                <w:tcPr>
                  <w:tcW w:w="466"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Commercialisation Australia</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0.6</w:t>
                  </w:r>
                </w:p>
              </w:tc>
              <w:tc>
                <w:tcPr>
                  <w:tcW w:w="466" w:type="pct"/>
                  <w:shd w:val="clear" w:color="auto" w:fill="auto"/>
                  <w:vAlign w:val="bottom"/>
                </w:tcPr>
                <w:p w:rsidR="00AC2131" w:rsidRDefault="00AC2131" w:rsidP="00AC2131">
                  <w:pPr>
                    <w:pStyle w:val="TableBodyText"/>
                    <w:spacing w:after="0"/>
                    <w:ind w:left="0" w:right="57"/>
                  </w:pPr>
                  <w:r>
                    <w:t>0.3</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CSIRO</w:t>
                  </w:r>
                </w:p>
              </w:tc>
              <w:tc>
                <w:tcPr>
                  <w:tcW w:w="466"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1.5</w:t>
                  </w:r>
                </w:p>
              </w:tc>
              <w:tc>
                <w:tcPr>
                  <w:tcW w:w="467" w:type="pct"/>
                  <w:shd w:val="clear" w:color="auto" w:fill="auto"/>
                  <w:vAlign w:val="bottom"/>
                </w:tcPr>
                <w:p w:rsidR="00AC2131" w:rsidRDefault="00AC2131" w:rsidP="00AC2131">
                  <w:pPr>
                    <w:pStyle w:val="TableBodyText"/>
                    <w:spacing w:after="0"/>
                    <w:ind w:left="0" w:right="57"/>
                  </w:pPr>
                  <w:r>
                    <w:t>1.9</w:t>
                  </w:r>
                </w:p>
              </w:tc>
              <w:tc>
                <w:tcPr>
                  <w:tcW w:w="466" w:type="pct"/>
                  <w:shd w:val="clear" w:color="auto" w:fill="auto"/>
                  <w:vAlign w:val="bottom"/>
                </w:tcPr>
                <w:p w:rsidR="00AC2131" w:rsidRDefault="00AC2131" w:rsidP="00AC2131">
                  <w:pPr>
                    <w:pStyle w:val="TableBodyText"/>
                    <w:spacing w:after="0"/>
                    <w:ind w:left="0" w:right="57"/>
                  </w:pPr>
                  <w:r>
                    <w:t>1.8</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Premium R&amp;D tax concession</w:t>
                  </w:r>
                </w:p>
              </w:tc>
              <w:tc>
                <w:tcPr>
                  <w:tcW w:w="466"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2.4</w:t>
                  </w:r>
                </w:p>
              </w:tc>
              <w:tc>
                <w:tcPr>
                  <w:tcW w:w="467" w:type="pct"/>
                  <w:shd w:val="clear" w:color="auto" w:fill="auto"/>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&lt;0.1</w:t>
                  </w:r>
                </w:p>
              </w:tc>
              <w:tc>
                <w:tcPr>
                  <w:tcW w:w="466"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R&amp;D Start</w:t>
                  </w:r>
                </w:p>
              </w:tc>
              <w:tc>
                <w:tcPr>
                  <w:tcW w:w="466"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R&amp;D tax concession</w:t>
                  </w:r>
                </w:p>
              </w:tc>
              <w:tc>
                <w:tcPr>
                  <w:tcW w:w="466" w:type="pct"/>
                  <w:vAlign w:val="bottom"/>
                </w:tcPr>
                <w:p w:rsidR="00AC2131" w:rsidRDefault="00AC2131" w:rsidP="00AC2131">
                  <w:pPr>
                    <w:pStyle w:val="TableBodyText"/>
                    <w:spacing w:after="0"/>
                    <w:ind w:left="0" w:right="57"/>
                  </w:pPr>
                  <w:r>
                    <w:t>5.2</w:t>
                  </w:r>
                </w:p>
              </w:tc>
              <w:tc>
                <w:tcPr>
                  <w:tcW w:w="467" w:type="pct"/>
                  <w:vAlign w:val="bottom"/>
                </w:tcPr>
                <w:p w:rsidR="00AC2131" w:rsidRDefault="00AC2131" w:rsidP="00AC2131">
                  <w:pPr>
                    <w:pStyle w:val="TableBodyText"/>
                    <w:spacing w:after="0"/>
                    <w:ind w:left="0" w:right="57"/>
                  </w:pPr>
                  <w:r>
                    <w:t>8.7</w:t>
                  </w:r>
                </w:p>
              </w:tc>
              <w:tc>
                <w:tcPr>
                  <w:tcW w:w="467" w:type="pct"/>
                  <w:shd w:val="clear" w:color="auto" w:fill="auto"/>
                  <w:vAlign w:val="bottom"/>
                </w:tcPr>
                <w:p w:rsidR="00AC2131" w:rsidRDefault="00AC2131" w:rsidP="00AC2131">
                  <w:pPr>
                    <w:pStyle w:val="TableBodyText"/>
                    <w:spacing w:after="0"/>
                    <w:ind w:left="0" w:right="57"/>
                  </w:pPr>
                  <w:r>
                    <w:t>8.7</w:t>
                  </w:r>
                </w:p>
              </w:tc>
              <w:tc>
                <w:tcPr>
                  <w:tcW w:w="467" w:type="pct"/>
                  <w:vAlign w:val="bottom"/>
                </w:tcPr>
                <w:p w:rsidR="00AC2131" w:rsidRDefault="00AC2131" w:rsidP="00AC2131">
                  <w:pPr>
                    <w:pStyle w:val="TableBodyText"/>
                    <w:spacing w:after="0"/>
                    <w:ind w:left="0" w:right="57"/>
                  </w:pPr>
                  <w:r>
                    <w:t>6.6</w:t>
                  </w:r>
                </w:p>
              </w:tc>
              <w:tc>
                <w:tcPr>
                  <w:tcW w:w="467" w:type="pct"/>
                  <w:shd w:val="clear" w:color="auto" w:fill="auto"/>
                  <w:vAlign w:val="bottom"/>
                </w:tcPr>
                <w:p w:rsidR="00AC2131" w:rsidRDefault="00AC2131" w:rsidP="00AC2131">
                  <w:pPr>
                    <w:pStyle w:val="TableBodyText"/>
                    <w:spacing w:after="0"/>
                    <w:ind w:left="0" w:right="57"/>
                  </w:pPr>
                  <w:r>
                    <w:t>2.9</w:t>
                  </w:r>
                </w:p>
              </w:tc>
              <w:tc>
                <w:tcPr>
                  <w:tcW w:w="466" w:type="pct"/>
                  <w:shd w:val="clear" w:color="auto" w:fill="auto"/>
                  <w:vAlign w:val="bottom"/>
                </w:tcPr>
                <w:p w:rsidR="00AC2131" w:rsidRDefault="00AC2131" w:rsidP="00AC2131">
                  <w:pPr>
                    <w:pStyle w:val="TableBodyText"/>
                    <w:spacing w:after="0"/>
                    <w:ind w:left="0" w:right="57"/>
                  </w:pPr>
                  <w:r>
                    <w:t>1.0</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-2.1</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6.1</w:t>
                  </w:r>
                </w:p>
              </w:tc>
              <w:tc>
                <w:tcPr>
                  <w:tcW w:w="466" w:type="pct"/>
                  <w:shd w:val="clear" w:color="auto" w:fill="auto"/>
                  <w:vAlign w:val="bottom"/>
                </w:tcPr>
                <w:p w:rsidR="00AC2131" w:rsidRDefault="00AC2131" w:rsidP="00AC2131">
                  <w:pPr>
                    <w:pStyle w:val="TableBodyText"/>
                    <w:spacing w:after="0"/>
                    <w:ind w:left="0" w:right="57"/>
                  </w:pPr>
                  <w:r>
                    <w:t>3.4</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3.9</w:t>
                  </w:r>
                </w:p>
              </w:tc>
              <w:tc>
                <w:tcPr>
                  <w:tcW w:w="466" w:type="pct"/>
                  <w:shd w:val="clear" w:color="auto" w:fill="auto"/>
                  <w:vAlign w:val="bottom"/>
                </w:tcPr>
                <w:p w:rsidR="00AC2131" w:rsidRDefault="00AC2131" w:rsidP="00AC2131">
                  <w:pPr>
                    <w:pStyle w:val="TableBodyText"/>
                    <w:spacing w:after="0"/>
                    <w:ind w:left="0" w:right="57"/>
                  </w:pPr>
                  <w:r>
                    <w:t>7.0</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6" w:type="pct"/>
                  <w:vAlign w:val="bottom"/>
                </w:tcPr>
                <w:p w:rsidR="00AC2131" w:rsidRDefault="00AC2131" w:rsidP="00AC2131">
                  <w:pPr>
                    <w:pStyle w:val="TableBodyText"/>
                    <w:spacing w:after="0"/>
                    <w:ind w:left="0" w:right="57"/>
                  </w:pPr>
                  <w:r>
                    <w:t>5.1</w:t>
                  </w:r>
                </w:p>
              </w:tc>
              <w:tc>
                <w:tcPr>
                  <w:tcW w:w="467" w:type="pct"/>
                  <w:vAlign w:val="bottom"/>
                </w:tcPr>
                <w:p w:rsidR="00AC2131" w:rsidRDefault="00AC2131" w:rsidP="00AC2131">
                  <w:pPr>
                    <w:pStyle w:val="TableBodyText"/>
                    <w:spacing w:after="0"/>
                    <w:ind w:left="0" w:right="57"/>
                  </w:pPr>
                  <w:r>
                    <w:t>6.2</w:t>
                  </w:r>
                </w:p>
              </w:tc>
              <w:tc>
                <w:tcPr>
                  <w:tcW w:w="467" w:type="pct"/>
                  <w:shd w:val="clear" w:color="auto" w:fill="auto"/>
                  <w:vAlign w:val="bottom"/>
                </w:tcPr>
                <w:p w:rsidR="00AC2131" w:rsidRDefault="00AC2131" w:rsidP="00AC2131">
                  <w:pPr>
                    <w:pStyle w:val="TableBodyText"/>
                    <w:spacing w:after="0"/>
                    <w:ind w:left="0" w:right="57"/>
                  </w:pPr>
                  <w:r>
                    <w:t>4.5</w:t>
                  </w:r>
                </w:p>
              </w:tc>
              <w:tc>
                <w:tcPr>
                  <w:tcW w:w="467" w:type="pct"/>
                  <w:vAlign w:val="bottom"/>
                </w:tcPr>
                <w:p w:rsidR="00AC2131" w:rsidRDefault="00AC2131" w:rsidP="00AC2131">
                  <w:pPr>
                    <w:pStyle w:val="TableBodyText"/>
                    <w:spacing w:after="0"/>
                    <w:ind w:left="0" w:right="57"/>
                  </w:pPr>
                  <w:r>
                    <w:t>5.0</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tcPr>
                <w:p w:rsidR="00AC2131" w:rsidRPr="001465F4" w:rsidRDefault="00AC2131" w:rsidP="00AC2131">
                  <w:pPr>
                    <w:pStyle w:val="TableBodyText"/>
                    <w:spacing w:before="40" w:after="0"/>
                    <w:ind w:left="113"/>
                    <w:jc w:val="left"/>
                    <w:rPr>
                      <w:i/>
                    </w:rPr>
                  </w:pPr>
                  <w:r w:rsidRPr="001465F4">
                    <w:rPr>
                      <w:i/>
                    </w:rPr>
                    <w:t>Other measures</w:t>
                  </w:r>
                </w:p>
              </w:tc>
              <w:tc>
                <w:tcPr>
                  <w:tcW w:w="466" w:type="pct"/>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jc w:val="left"/>
                  </w:pPr>
                </w:p>
              </w:tc>
              <w:tc>
                <w:tcPr>
                  <w:tcW w:w="467" w:type="pct"/>
                  <w:shd w:val="clear" w:color="auto" w:fill="auto"/>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25 per cent entrepreneurs' tax offset</w:t>
                  </w:r>
                </w:p>
              </w:tc>
              <w:tc>
                <w:tcPr>
                  <w:tcW w:w="466"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0.4</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Enterprise Connect Innovation Centres</w:t>
                  </w:r>
                </w:p>
              </w:tc>
              <w:tc>
                <w:tcPr>
                  <w:tcW w:w="466"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6"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Geelong Innovation and Investment Fund</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Illawarra Region Innovation and Investment Fund</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0.1</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North West and Northern Tasmania Innovation and Investment Fund</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6"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-0.1</w:t>
                  </w:r>
                </w:p>
              </w:tc>
              <w:tc>
                <w:tcPr>
                  <w:tcW w:w="466" w:type="pct"/>
                  <w:shd w:val="clear" w:color="auto" w:fill="auto"/>
                  <w:vAlign w:val="bottom"/>
                </w:tcPr>
                <w:p w:rsidR="00AC2131" w:rsidRDefault="00AC2131" w:rsidP="00AC2131">
                  <w:pPr>
                    <w:pStyle w:val="TableBodyText"/>
                    <w:spacing w:after="0"/>
                    <w:ind w:left="0" w:right="57"/>
                  </w:pPr>
                  <w:r>
                    <w:t>2.2</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 xml:space="preserve">Small business </w:t>
                  </w:r>
                  <w:r>
                    <w:rPr>
                      <w:rFonts w:ascii="Arial" w:hAnsi="Arial" w:cs="Arial"/>
                      <w:color w:val="000000"/>
                      <w:sz w:val="18"/>
                      <w:szCs w:val="18"/>
                    </w:rPr>
                    <w:t>capital gains tax</w:t>
                  </w:r>
                  <w:r w:rsidRPr="001465F4">
                    <w:rPr>
                      <w:rFonts w:ascii="Arial" w:hAnsi="Arial" w:cs="Arial"/>
                      <w:color w:val="000000"/>
                      <w:sz w:val="18"/>
                      <w:szCs w:val="18"/>
                    </w:rPr>
                    <w:t xml:space="preserve"> 50 per cent reduction</w:t>
                  </w:r>
                </w:p>
              </w:tc>
              <w:tc>
                <w:tcPr>
                  <w:tcW w:w="466"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0.4</w:t>
                  </w:r>
                </w:p>
              </w:tc>
              <w:tc>
                <w:tcPr>
                  <w:tcW w:w="466" w:type="pct"/>
                  <w:shd w:val="clear" w:color="auto" w:fill="auto"/>
                  <w:vAlign w:val="bottom"/>
                </w:tcPr>
                <w:p w:rsidR="00AC2131" w:rsidRDefault="00AC2131" w:rsidP="00AC2131">
                  <w:pPr>
                    <w:pStyle w:val="TableBodyText"/>
                    <w:spacing w:after="0"/>
                    <w:ind w:left="0" w:right="57"/>
                  </w:pPr>
                  <w:r>
                    <w:t>0.4</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South East South Australia Innovation and Investment Fund</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0.2</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Tasmanian Innovation and Investment Fund</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vAlign w:val="bottom"/>
                </w:tcPr>
                <w:p w:rsidR="00AC2131" w:rsidRPr="001465F4" w:rsidRDefault="00AC2131" w:rsidP="00AC2131">
                  <w:pPr>
                    <w:ind w:left="227"/>
                    <w:rPr>
                      <w:rFonts w:ascii="Arial" w:hAnsi="Arial" w:cs="Arial"/>
                      <w:color w:val="000000"/>
                      <w:sz w:val="18"/>
                      <w:szCs w:val="18"/>
                    </w:rPr>
                  </w:pPr>
                  <w:r w:rsidRPr="001465F4">
                    <w:rPr>
                      <w:rFonts w:ascii="Arial" w:hAnsi="Arial" w:cs="Arial"/>
                      <w:color w:val="000000"/>
                      <w:sz w:val="18"/>
                      <w:szCs w:val="18"/>
                    </w:rPr>
                    <w:t>The Small Business and General Business Tax Break</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6.2</w:t>
                  </w:r>
                </w:p>
              </w:tc>
              <w:tc>
                <w:tcPr>
                  <w:tcW w:w="467" w:type="pct"/>
                  <w:shd w:val="clear" w:color="auto" w:fill="auto"/>
                  <w:vAlign w:val="bottom"/>
                </w:tcPr>
                <w:p w:rsidR="00AC2131" w:rsidRDefault="00AC2131" w:rsidP="00AC2131">
                  <w:pPr>
                    <w:pStyle w:val="TableBodyText"/>
                    <w:spacing w:after="0"/>
                    <w:ind w:left="0" w:right="57"/>
                  </w:pPr>
                  <w:r>
                    <w:t>9.6</w:t>
                  </w:r>
                </w:p>
              </w:tc>
              <w:tc>
                <w:tcPr>
                  <w:tcW w:w="467" w:type="pct"/>
                  <w:vAlign w:val="bottom"/>
                </w:tcPr>
                <w:p w:rsidR="00AC2131" w:rsidRDefault="00AC2131" w:rsidP="00AC2131">
                  <w:pPr>
                    <w:pStyle w:val="TableBodyText"/>
                    <w:spacing w:after="0"/>
                    <w:ind w:left="0" w:right="57"/>
                  </w:pPr>
                  <w:r>
                    <w:t>1.9</w:t>
                  </w:r>
                </w:p>
              </w:tc>
              <w:tc>
                <w:tcPr>
                  <w:tcW w:w="467" w:type="pct"/>
                  <w:shd w:val="clear" w:color="auto" w:fill="auto"/>
                  <w:vAlign w:val="bottom"/>
                </w:tcPr>
                <w:p w:rsidR="00AC2131" w:rsidRDefault="00AC2131" w:rsidP="00AC2131">
                  <w:pPr>
                    <w:pStyle w:val="TableBodyText"/>
                    <w:spacing w:after="0"/>
                    <w:ind w:left="0" w:right="57"/>
                  </w:pPr>
                  <w:r>
                    <w:t>0.7</w:t>
                  </w:r>
                </w:p>
              </w:tc>
              <w:tc>
                <w:tcPr>
                  <w:tcW w:w="466"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tcBorders>
                    <w:bottom w:val="single" w:sz="6" w:space="0" w:color="BFBFBF"/>
                  </w:tcBorders>
                </w:tcPr>
                <w:p w:rsidR="00AC2131" w:rsidRPr="001465F4" w:rsidRDefault="00AC2131" w:rsidP="00AC2131">
                  <w:pPr>
                    <w:pStyle w:val="TableBodyText"/>
                    <w:spacing w:before="20" w:after="20"/>
                    <w:jc w:val="left"/>
                    <w:rPr>
                      <w:i/>
                    </w:rPr>
                  </w:pPr>
                  <w:r w:rsidRPr="001465F4">
                    <w:rPr>
                      <w:i/>
                    </w:rPr>
                    <w:t>Total</w:t>
                  </w:r>
                </w:p>
              </w:tc>
              <w:tc>
                <w:tcPr>
                  <w:tcW w:w="466" w:type="pct"/>
                  <w:tcBorders>
                    <w:bottom w:val="single" w:sz="6" w:space="0" w:color="BFBFBF"/>
                  </w:tcBorders>
                  <w:vAlign w:val="bottom"/>
                </w:tcPr>
                <w:p w:rsidR="00AC2131" w:rsidRPr="00D00812" w:rsidRDefault="00AC2131" w:rsidP="00AC2131">
                  <w:pPr>
                    <w:pStyle w:val="TableBodyText"/>
                    <w:spacing w:before="20" w:after="20"/>
                    <w:ind w:left="0" w:right="57"/>
                    <w:rPr>
                      <w:i/>
                    </w:rPr>
                  </w:pPr>
                  <w:r w:rsidRPr="00D00812">
                    <w:rPr>
                      <w:i/>
                    </w:rPr>
                    <w:t>14.4</w:t>
                  </w:r>
                </w:p>
              </w:tc>
              <w:tc>
                <w:tcPr>
                  <w:tcW w:w="467" w:type="pct"/>
                  <w:tcBorders>
                    <w:bottom w:val="single" w:sz="6" w:space="0" w:color="BFBFBF"/>
                  </w:tcBorders>
                  <w:vAlign w:val="bottom"/>
                </w:tcPr>
                <w:p w:rsidR="00AC2131" w:rsidRPr="00D00812" w:rsidRDefault="00AC2131" w:rsidP="00AC2131">
                  <w:pPr>
                    <w:pStyle w:val="TableBodyText"/>
                    <w:spacing w:before="20" w:after="20"/>
                    <w:ind w:left="0" w:right="57"/>
                    <w:rPr>
                      <w:i/>
                    </w:rPr>
                  </w:pPr>
                  <w:r w:rsidRPr="00D00812">
                    <w:rPr>
                      <w:i/>
                    </w:rPr>
                    <w:t>26.4</w:t>
                  </w:r>
                </w:p>
              </w:tc>
              <w:tc>
                <w:tcPr>
                  <w:tcW w:w="467" w:type="pct"/>
                  <w:tcBorders>
                    <w:bottom w:val="single" w:sz="6" w:space="0" w:color="BFBFBF"/>
                  </w:tcBorders>
                  <w:shd w:val="clear" w:color="auto" w:fill="auto"/>
                  <w:vAlign w:val="bottom"/>
                </w:tcPr>
                <w:p w:rsidR="00AC2131" w:rsidRPr="00D00812" w:rsidRDefault="00AC2131" w:rsidP="00AC2131">
                  <w:pPr>
                    <w:pStyle w:val="TableBodyText"/>
                    <w:spacing w:before="20" w:after="20"/>
                    <w:ind w:left="0" w:right="57"/>
                    <w:rPr>
                      <w:i/>
                    </w:rPr>
                  </w:pPr>
                  <w:r w:rsidRPr="00D00812">
                    <w:rPr>
                      <w:i/>
                    </w:rPr>
                    <w:t>27.5</w:t>
                  </w:r>
                </w:p>
              </w:tc>
              <w:tc>
                <w:tcPr>
                  <w:tcW w:w="467" w:type="pct"/>
                  <w:tcBorders>
                    <w:bottom w:val="single" w:sz="6" w:space="0" w:color="BFBFBF"/>
                  </w:tcBorders>
                  <w:vAlign w:val="bottom"/>
                </w:tcPr>
                <w:p w:rsidR="00AC2131" w:rsidRPr="00D00812" w:rsidRDefault="00AC2131" w:rsidP="00AC2131">
                  <w:pPr>
                    <w:pStyle w:val="TableBodyText"/>
                    <w:spacing w:before="20" w:after="20"/>
                    <w:ind w:left="0" w:right="57"/>
                    <w:rPr>
                      <w:i/>
                    </w:rPr>
                  </w:pPr>
                  <w:r w:rsidRPr="00D00812">
                    <w:rPr>
                      <w:i/>
                    </w:rPr>
                    <w:t>16.7</w:t>
                  </w:r>
                </w:p>
              </w:tc>
              <w:tc>
                <w:tcPr>
                  <w:tcW w:w="467" w:type="pct"/>
                  <w:tcBorders>
                    <w:bottom w:val="single" w:sz="6" w:space="0" w:color="BFBFBF"/>
                  </w:tcBorders>
                  <w:shd w:val="clear" w:color="auto" w:fill="auto"/>
                  <w:vAlign w:val="bottom"/>
                </w:tcPr>
                <w:p w:rsidR="00AC2131" w:rsidRPr="00D00812" w:rsidRDefault="00AC2131" w:rsidP="00AC2131">
                  <w:pPr>
                    <w:pStyle w:val="TableBodyText"/>
                    <w:spacing w:before="20" w:after="20"/>
                    <w:ind w:left="0" w:right="57"/>
                    <w:rPr>
                      <w:i/>
                    </w:rPr>
                  </w:pPr>
                  <w:r w:rsidRPr="00D00812">
                    <w:rPr>
                      <w:i/>
                    </w:rPr>
                    <w:t>23.5</w:t>
                  </w:r>
                </w:p>
              </w:tc>
              <w:tc>
                <w:tcPr>
                  <w:tcW w:w="466" w:type="pct"/>
                  <w:tcBorders>
                    <w:bottom w:val="single" w:sz="6" w:space="0" w:color="BFBFBF"/>
                  </w:tcBorders>
                  <w:shd w:val="clear" w:color="auto" w:fill="auto"/>
                  <w:vAlign w:val="bottom"/>
                </w:tcPr>
                <w:p w:rsidR="00AC2131" w:rsidRPr="00D00812" w:rsidRDefault="00AC2131" w:rsidP="00AC2131">
                  <w:pPr>
                    <w:pStyle w:val="TableBodyText"/>
                    <w:spacing w:before="20" w:after="20"/>
                    <w:ind w:left="0" w:right="57"/>
                    <w:rPr>
                      <w:i/>
                    </w:rPr>
                  </w:pPr>
                  <w:r w:rsidRPr="00D00812">
                    <w:rPr>
                      <w:i/>
                    </w:rPr>
                    <w:t>31.9</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left="6499"/>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rPr>
              <w:t>(continued)</w:t>
            </w:r>
          </w:p>
        </w:tc>
      </w:tr>
      <w:tr w:rsidR="00AC2131" w:rsidTr="00AC2131">
        <w:trPr>
          <w:cantSplit/>
        </w:trPr>
        <w:tc>
          <w:tcPr>
            <w:tcW w:w="8767" w:type="dxa"/>
            <w:tcBorders>
              <w:top w:val="nil"/>
              <w:left w:val="nil"/>
              <w:bottom w:val="nil"/>
              <w:right w:val="nil"/>
            </w:tcBorders>
            <w:shd w:val="clear" w:color="auto" w:fill="auto"/>
          </w:tcPr>
          <w:tbl>
            <w:tblPr>
              <w:tblW w:w="8504" w:type="dxa"/>
              <w:tblLayout w:type="fixed"/>
              <w:tblCellMar>
                <w:top w:w="28" w:type="dxa"/>
                <w:left w:w="0" w:type="dxa"/>
                <w:right w:w="0" w:type="dxa"/>
              </w:tblCellMar>
              <w:tblLook w:val="0000" w:firstRow="0" w:lastRow="0" w:firstColumn="0" w:lastColumn="0" w:noHBand="0" w:noVBand="0"/>
            </w:tblPr>
            <w:tblGrid>
              <w:gridCol w:w="3744"/>
              <w:gridCol w:w="795"/>
              <w:gridCol w:w="794"/>
              <w:gridCol w:w="794"/>
              <w:gridCol w:w="794"/>
              <w:gridCol w:w="794"/>
              <w:gridCol w:w="789"/>
            </w:tblGrid>
            <w:tr w:rsidR="00AC2131" w:rsidTr="00AC2131">
              <w:tc>
                <w:tcPr>
                  <w:tcW w:w="2201" w:type="pct"/>
                  <w:tcBorders>
                    <w:top w:val="single" w:sz="6" w:space="0" w:color="BFBFBF"/>
                    <w:bottom w:val="single" w:sz="6" w:space="0" w:color="BFBFBF"/>
                  </w:tcBorders>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4"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1" w:type="pct"/>
                </w:tcPr>
                <w:p w:rsidR="00AC2131" w:rsidRPr="00D177A9" w:rsidRDefault="00AC2131" w:rsidP="00AC2131">
                  <w:pPr>
                    <w:pStyle w:val="TableBodyText"/>
                    <w:spacing w:before="40"/>
                    <w:jc w:val="left"/>
                    <w:rPr>
                      <w:b/>
                    </w:rPr>
                  </w:pPr>
                  <w:r w:rsidRPr="00D177A9">
                    <w:rPr>
                      <w:b/>
                    </w:rPr>
                    <w:t>Metal and fabricated metal products</w:t>
                  </w:r>
                </w:p>
              </w:tc>
              <w:tc>
                <w:tcPr>
                  <w:tcW w:w="467" w:type="pct"/>
                  <w:vAlign w:val="bottom"/>
                </w:tcPr>
                <w:p w:rsidR="00AC2131" w:rsidRDefault="00AC2131" w:rsidP="00AC2131">
                  <w:pPr>
                    <w:spacing w:before="40" w:after="40"/>
                    <w:jc w:val="right"/>
                    <w:rPr>
                      <w:rFonts w:ascii="Arial" w:hAnsi="Arial" w:cs="Arial"/>
                      <w:sz w:val="18"/>
                      <w:szCs w:val="18"/>
                    </w:rPr>
                  </w:pPr>
                </w:p>
              </w:tc>
              <w:tc>
                <w:tcPr>
                  <w:tcW w:w="467" w:type="pct"/>
                  <w:vAlign w:val="bottom"/>
                </w:tcPr>
                <w:p w:rsidR="00AC2131" w:rsidRDefault="00AC2131" w:rsidP="00AC2131">
                  <w:pPr>
                    <w:spacing w:before="40" w:after="40"/>
                    <w:jc w:val="right"/>
                    <w:rPr>
                      <w:rFonts w:ascii="Arial" w:hAnsi="Arial" w:cs="Arial"/>
                      <w:sz w:val="18"/>
                      <w:szCs w:val="18"/>
                    </w:rPr>
                  </w:pPr>
                </w:p>
              </w:tc>
              <w:tc>
                <w:tcPr>
                  <w:tcW w:w="467" w:type="pct"/>
                  <w:shd w:val="clear" w:color="auto" w:fill="auto"/>
                  <w:vAlign w:val="bottom"/>
                </w:tcPr>
                <w:p w:rsidR="00AC2131" w:rsidRDefault="00AC2131" w:rsidP="00AC2131">
                  <w:pPr>
                    <w:spacing w:before="40" w:after="40"/>
                    <w:jc w:val="right"/>
                    <w:rPr>
                      <w:rFonts w:ascii="Arial" w:hAnsi="Arial" w:cs="Arial"/>
                      <w:sz w:val="18"/>
                      <w:szCs w:val="18"/>
                    </w:rPr>
                  </w:pPr>
                </w:p>
              </w:tc>
              <w:tc>
                <w:tcPr>
                  <w:tcW w:w="467" w:type="pct"/>
                  <w:vAlign w:val="bottom"/>
                </w:tcPr>
                <w:p w:rsidR="00AC2131" w:rsidRDefault="00AC2131" w:rsidP="00AC2131">
                  <w:pPr>
                    <w:spacing w:before="40" w:after="40"/>
                    <w:jc w:val="right"/>
                    <w:rPr>
                      <w:rFonts w:ascii="Arial" w:hAnsi="Arial" w:cs="Arial"/>
                      <w:sz w:val="18"/>
                      <w:szCs w:val="18"/>
                    </w:rPr>
                  </w:pPr>
                </w:p>
              </w:tc>
              <w:tc>
                <w:tcPr>
                  <w:tcW w:w="467" w:type="pct"/>
                  <w:shd w:val="clear" w:color="auto" w:fill="auto"/>
                  <w:vAlign w:val="bottom"/>
                </w:tcPr>
                <w:p w:rsidR="00AC2131" w:rsidRDefault="00AC2131" w:rsidP="00AC2131">
                  <w:pPr>
                    <w:spacing w:before="40" w:after="40"/>
                    <w:jc w:val="right"/>
                    <w:rPr>
                      <w:rFonts w:ascii="Arial" w:hAnsi="Arial" w:cs="Arial"/>
                      <w:sz w:val="18"/>
                      <w:szCs w:val="18"/>
                    </w:rPr>
                  </w:pPr>
                </w:p>
              </w:tc>
              <w:tc>
                <w:tcPr>
                  <w:tcW w:w="464" w:type="pct"/>
                  <w:shd w:val="clear" w:color="auto" w:fill="auto"/>
                  <w:vAlign w:val="bottom"/>
                </w:tcPr>
                <w:p w:rsidR="00AC2131" w:rsidRDefault="00AC2131" w:rsidP="00AC2131">
                  <w:pPr>
                    <w:spacing w:before="40" w:after="40"/>
                    <w:jc w:val="right"/>
                    <w:rPr>
                      <w:rFonts w:ascii="Arial" w:hAnsi="Arial" w:cs="Arial"/>
                      <w:sz w:val="18"/>
                      <w:szCs w:val="18"/>
                    </w:rPr>
                  </w:pPr>
                </w:p>
              </w:tc>
            </w:tr>
            <w:tr w:rsidR="00AC2131" w:rsidTr="00AC2131">
              <w:tc>
                <w:tcPr>
                  <w:tcW w:w="2201" w:type="pct"/>
                </w:tcPr>
                <w:p w:rsidR="00AC2131" w:rsidRPr="00D177A9" w:rsidRDefault="00AC2131" w:rsidP="00AC2131">
                  <w:pPr>
                    <w:pStyle w:val="TableBodyText"/>
                    <w:spacing w:before="40" w:after="0"/>
                    <w:ind w:left="113"/>
                    <w:jc w:val="left"/>
                    <w:rPr>
                      <w:i/>
                    </w:rPr>
                  </w:pPr>
                  <w:r w:rsidRPr="00D177A9">
                    <w:rPr>
                      <w:i/>
                    </w:rPr>
                    <w:t>Industry-specific measures</w:t>
                  </w: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shd w:val="clear" w:color="auto" w:fill="auto"/>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shd w:val="clear" w:color="auto" w:fill="auto"/>
                  <w:vAlign w:val="bottom"/>
                </w:tcPr>
                <w:p w:rsidR="00AC2131" w:rsidRDefault="00AC2131" w:rsidP="00AC2131">
                  <w:pPr>
                    <w:spacing w:before="40"/>
                    <w:ind w:left="113"/>
                    <w:jc w:val="right"/>
                    <w:rPr>
                      <w:rFonts w:ascii="Arial" w:hAnsi="Arial" w:cs="Arial"/>
                      <w:sz w:val="18"/>
                      <w:szCs w:val="18"/>
                    </w:rPr>
                  </w:pPr>
                </w:p>
              </w:tc>
              <w:tc>
                <w:tcPr>
                  <w:tcW w:w="464" w:type="pct"/>
                  <w:shd w:val="clear" w:color="auto" w:fill="auto"/>
                  <w:vAlign w:val="bottom"/>
                </w:tcPr>
                <w:p w:rsidR="00AC2131" w:rsidRDefault="00AC2131" w:rsidP="00AC2131">
                  <w:pPr>
                    <w:spacing w:before="40"/>
                    <w:ind w:left="113"/>
                    <w:jc w:val="right"/>
                    <w:rPr>
                      <w:rFonts w:ascii="Arial" w:hAnsi="Arial" w:cs="Arial"/>
                      <w:sz w:val="18"/>
                      <w:szCs w:val="18"/>
                    </w:rPr>
                  </w:pP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 xml:space="preserve">Clean Technology Investment </w:t>
                  </w:r>
                  <w:r>
                    <w:rPr>
                      <w:rFonts w:ascii="Arial" w:hAnsi="Arial" w:cs="Arial"/>
                      <w:color w:val="000000"/>
                      <w:sz w:val="18"/>
                      <w:szCs w:val="18"/>
                    </w:rPr>
                    <w:t>–</w:t>
                  </w:r>
                  <w:r w:rsidRPr="00D177A9">
                    <w:rPr>
                      <w:rFonts w:ascii="Arial" w:hAnsi="Arial" w:cs="Arial"/>
                      <w:color w:val="000000"/>
                      <w:sz w:val="18"/>
                      <w:szCs w:val="18"/>
                    </w:rPr>
                    <w:t xml:space="preserve"> Food and Foundries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0.9</w:t>
                  </w:r>
                </w:p>
              </w:tc>
              <w:tc>
                <w:tcPr>
                  <w:tcW w:w="464" w:type="pct"/>
                  <w:shd w:val="clear" w:color="auto" w:fill="auto"/>
                  <w:vAlign w:val="bottom"/>
                </w:tcPr>
                <w:p w:rsidR="00AC2131" w:rsidRDefault="00AC2131" w:rsidP="00AC2131">
                  <w:pPr>
                    <w:pStyle w:val="TableBodyText"/>
                    <w:spacing w:after="0"/>
                    <w:ind w:left="0" w:right="57"/>
                  </w:pPr>
                  <w:r>
                    <w:t>1.0</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Greenhouse Gas Abatement Program</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Steel Transformation Plan</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164.0</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tcPr>
                <w:p w:rsidR="00AC2131" w:rsidRPr="00D177A9" w:rsidRDefault="00AC2131" w:rsidP="00AC2131">
                  <w:pPr>
                    <w:pStyle w:val="TableUnitsRow"/>
                    <w:spacing w:after="0"/>
                    <w:ind w:left="113"/>
                    <w:jc w:val="left"/>
                    <w:rPr>
                      <w:i/>
                    </w:rPr>
                  </w:pPr>
                  <w:r w:rsidRPr="00D177A9">
                    <w:rPr>
                      <w:i/>
                    </w:rPr>
                    <w:t>Sector-specific measures</w:t>
                  </w:r>
                </w:p>
              </w:tc>
              <w:tc>
                <w:tcPr>
                  <w:tcW w:w="467" w:type="pct"/>
                </w:tcPr>
                <w:p w:rsidR="00AC2131" w:rsidRDefault="00AC2131" w:rsidP="00AC2131">
                  <w:pPr>
                    <w:pStyle w:val="TableUnitsRow"/>
                    <w:spacing w:after="0"/>
                    <w:ind w:left="113"/>
                    <w:jc w:val="left"/>
                  </w:pPr>
                </w:p>
              </w:tc>
              <w:tc>
                <w:tcPr>
                  <w:tcW w:w="467" w:type="pct"/>
                </w:tcPr>
                <w:p w:rsidR="00AC2131" w:rsidRDefault="00AC2131" w:rsidP="00AC2131">
                  <w:pPr>
                    <w:pStyle w:val="TableUnitsRow"/>
                    <w:spacing w:after="0"/>
                    <w:ind w:left="113"/>
                    <w:jc w:val="left"/>
                  </w:pPr>
                </w:p>
              </w:tc>
              <w:tc>
                <w:tcPr>
                  <w:tcW w:w="467" w:type="pct"/>
                </w:tcPr>
                <w:p w:rsidR="00AC2131" w:rsidRDefault="00AC2131" w:rsidP="00AC2131">
                  <w:pPr>
                    <w:pStyle w:val="TableUnitsRow"/>
                    <w:spacing w:after="0"/>
                    <w:ind w:left="113"/>
                    <w:jc w:val="left"/>
                  </w:pPr>
                </w:p>
              </w:tc>
              <w:tc>
                <w:tcPr>
                  <w:tcW w:w="467" w:type="pct"/>
                </w:tcPr>
                <w:p w:rsidR="00AC2131" w:rsidRDefault="00AC2131" w:rsidP="00AC2131">
                  <w:pPr>
                    <w:pStyle w:val="TableUnitsRow"/>
                    <w:spacing w:after="0"/>
                    <w:ind w:left="113"/>
                  </w:pPr>
                </w:p>
              </w:tc>
              <w:tc>
                <w:tcPr>
                  <w:tcW w:w="467" w:type="pct"/>
                </w:tcPr>
                <w:p w:rsidR="00AC2131" w:rsidRDefault="00AC2131" w:rsidP="00AC2131">
                  <w:pPr>
                    <w:pStyle w:val="TableUnitsRow"/>
                    <w:spacing w:after="0"/>
                    <w:ind w:left="113"/>
                  </w:pPr>
                </w:p>
              </w:tc>
              <w:tc>
                <w:tcPr>
                  <w:tcW w:w="464" w:type="pct"/>
                </w:tcPr>
                <w:p w:rsidR="00AC2131" w:rsidRDefault="00AC2131" w:rsidP="00AC2131">
                  <w:pPr>
                    <w:pStyle w:val="TableUnitsRow"/>
                    <w:spacing w:after="0"/>
                    <w:ind w:left="113" w:right="28"/>
                  </w:pPr>
                </w:p>
              </w:tc>
            </w:tr>
            <w:tr w:rsidR="00AC2131" w:rsidTr="00AC2131">
              <w:tc>
                <w:tcPr>
                  <w:tcW w:w="2201" w:type="pct"/>
                </w:tcPr>
                <w:p w:rsidR="00AC2131" w:rsidRDefault="00AC2131" w:rsidP="00AC2131">
                  <w:pPr>
                    <w:pStyle w:val="TableBodyText"/>
                    <w:spacing w:after="0"/>
                    <w:ind w:left="227" w:right="0"/>
                    <w:jc w:val="left"/>
                  </w:pPr>
                  <w:r w:rsidRPr="00D177A9">
                    <w:t xml:space="preserve">Clean Technology Investment </w:t>
                  </w:r>
                  <w:r>
                    <w:t>–</w:t>
                  </w:r>
                  <w:r w:rsidRPr="00D177A9">
                    <w:t xml:space="preserve"> General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3.1</w:t>
                  </w:r>
                </w:p>
              </w:tc>
              <w:tc>
                <w:tcPr>
                  <w:tcW w:w="464" w:type="pct"/>
                  <w:vAlign w:val="bottom"/>
                </w:tcPr>
                <w:p w:rsidR="00AC2131" w:rsidRDefault="00AC2131" w:rsidP="00AC2131">
                  <w:pPr>
                    <w:pStyle w:val="TableBodyText"/>
                    <w:spacing w:after="0"/>
                    <w:ind w:left="0" w:right="57"/>
                  </w:pPr>
                  <w:r>
                    <w:t>2.4</w:t>
                  </w:r>
                </w:p>
              </w:tc>
            </w:tr>
            <w:tr w:rsidR="00AC2131" w:rsidTr="00AC2131">
              <w:tc>
                <w:tcPr>
                  <w:tcW w:w="2201" w:type="pct"/>
                </w:tcPr>
                <w:p w:rsidR="00AC2131" w:rsidRPr="00D177A9" w:rsidRDefault="00AC2131" w:rsidP="00AC2131">
                  <w:pPr>
                    <w:pStyle w:val="TableBodyText"/>
                    <w:spacing w:before="40" w:after="0"/>
                    <w:ind w:left="113"/>
                    <w:jc w:val="left"/>
                    <w:rPr>
                      <w:i/>
                    </w:rPr>
                  </w:pPr>
                  <w:r w:rsidRPr="00D177A9">
                    <w:rPr>
                      <w:i/>
                    </w:rPr>
                    <w:t>General export measures</w:t>
                  </w:r>
                </w:p>
              </w:tc>
              <w:tc>
                <w:tcPr>
                  <w:tcW w:w="467" w:type="pct"/>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jc w:val="left"/>
                  </w:pPr>
                </w:p>
              </w:tc>
              <w:tc>
                <w:tcPr>
                  <w:tcW w:w="467" w:type="pct"/>
                  <w:shd w:val="clear" w:color="auto" w:fill="auto"/>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4" w:type="pct"/>
                  <w:shd w:val="clear" w:color="auto" w:fill="auto"/>
                </w:tcPr>
                <w:p w:rsidR="00AC2131" w:rsidRDefault="00AC2131" w:rsidP="00AC2131">
                  <w:pPr>
                    <w:pStyle w:val="TableBodyText"/>
                    <w:spacing w:before="40" w:after="0"/>
                    <w:ind w:left="113" w:right="28"/>
                  </w:pP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3.8</w:t>
                  </w:r>
                </w:p>
              </w:tc>
              <w:tc>
                <w:tcPr>
                  <w:tcW w:w="467" w:type="pct"/>
                  <w:vAlign w:val="bottom"/>
                </w:tcPr>
                <w:p w:rsidR="00AC2131" w:rsidRDefault="00AC2131" w:rsidP="00AC2131">
                  <w:pPr>
                    <w:pStyle w:val="TableBodyText"/>
                    <w:spacing w:after="0"/>
                    <w:ind w:left="0" w:right="57"/>
                  </w:pPr>
                  <w:r>
                    <w:t>3.0</w:t>
                  </w:r>
                </w:p>
              </w:tc>
              <w:tc>
                <w:tcPr>
                  <w:tcW w:w="467" w:type="pct"/>
                  <w:shd w:val="clear" w:color="auto" w:fill="auto"/>
                  <w:vAlign w:val="bottom"/>
                </w:tcPr>
                <w:p w:rsidR="00AC2131" w:rsidRDefault="00AC2131" w:rsidP="00AC2131">
                  <w:pPr>
                    <w:pStyle w:val="TableBodyText"/>
                    <w:spacing w:after="0"/>
                    <w:ind w:left="0" w:right="57"/>
                  </w:pPr>
                  <w:r>
                    <w:t>2.6</w:t>
                  </w:r>
                </w:p>
              </w:tc>
              <w:tc>
                <w:tcPr>
                  <w:tcW w:w="467" w:type="pct"/>
                  <w:vAlign w:val="bottom"/>
                </w:tcPr>
                <w:p w:rsidR="00AC2131" w:rsidRDefault="00AC2131" w:rsidP="00AC2131">
                  <w:pPr>
                    <w:pStyle w:val="TableBodyText"/>
                    <w:spacing w:after="0"/>
                    <w:ind w:left="0" w:right="57"/>
                  </w:pPr>
                  <w:r>
                    <w:t>2.2</w:t>
                  </w:r>
                </w:p>
              </w:tc>
              <w:tc>
                <w:tcPr>
                  <w:tcW w:w="467" w:type="pct"/>
                  <w:shd w:val="clear" w:color="auto" w:fill="auto"/>
                  <w:vAlign w:val="bottom"/>
                </w:tcPr>
                <w:p w:rsidR="00AC2131" w:rsidRDefault="00AC2131" w:rsidP="00AC2131">
                  <w:pPr>
                    <w:pStyle w:val="TableBodyText"/>
                    <w:spacing w:after="0"/>
                    <w:ind w:left="0" w:right="57"/>
                  </w:pPr>
                  <w:r>
                    <w:t>2.2</w:t>
                  </w:r>
                </w:p>
              </w:tc>
              <w:tc>
                <w:tcPr>
                  <w:tcW w:w="464" w:type="pct"/>
                  <w:shd w:val="clear" w:color="auto" w:fill="auto"/>
                  <w:vAlign w:val="bottom"/>
                </w:tcPr>
                <w:p w:rsidR="00AC2131" w:rsidRDefault="00AC2131" w:rsidP="00AC2131">
                  <w:pPr>
                    <w:pStyle w:val="TableBodyText"/>
                    <w:spacing w:after="0"/>
                    <w:ind w:left="0" w:right="57"/>
                  </w:pPr>
                  <w:r>
                    <w:t>2.6</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TRADEX</w:t>
                  </w:r>
                </w:p>
              </w:tc>
              <w:tc>
                <w:tcPr>
                  <w:tcW w:w="467" w:type="pct"/>
                  <w:vAlign w:val="bottom"/>
                </w:tcPr>
                <w:p w:rsidR="00AC2131" w:rsidRDefault="00AC2131" w:rsidP="00AC2131">
                  <w:pPr>
                    <w:pStyle w:val="TableBodyText"/>
                    <w:spacing w:after="0"/>
                    <w:ind w:left="0" w:right="57"/>
                  </w:pPr>
                  <w:r>
                    <w:t>1.9</w:t>
                  </w:r>
                </w:p>
              </w:tc>
              <w:tc>
                <w:tcPr>
                  <w:tcW w:w="467" w:type="pct"/>
                  <w:vAlign w:val="bottom"/>
                </w:tcPr>
                <w:p w:rsidR="00AC2131" w:rsidRDefault="00AC2131" w:rsidP="00AC2131">
                  <w:pPr>
                    <w:pStyle w:val="TableBodyText"/>
                    <w:spacing w:after="0"/>
                    <w:ind w:left="0" w:right="57"/>
                  </w:pPr>
                  <w:r>
                    <w:t>1.7</w:t>
                  </w:r>
                </w:p>
              </w:tc>
              <w:tc>
                <w:tcPr>
                  <w:tcW w:w="467" w:type="pct"/>
                  <w:shd w:val="clear" w:color="auto" w:fill="auto"/>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1.1</w:t>
                  </w:r>
                </w:p>
              </w:tc>
              <w:tc>
                <w:tcPr>
                  <w:tcW w:w="467" w:type="pct"/>
                  <w:shd w:val="clear" w:color="auto" w:fill="auto"/>
                  <w:vAlign w:val="bottom"/>
                </w:tcPr>
                <w:p w:rsidR="00AC2131" w:rsidRDefault="00AC2131" w:rsidP="00AC2131">
                  <w:pPr>
                    <w:pStyle w:val="TableBodyText"/>
                    <w:spacing w:after="0"/>
                    <w:ind w:left="0" w:right="57"/>
                  </w:pPr>
                  <w:r>
                    <w:t>1.2</w:t>
                  </w:r>
                </w:p>
              </w:tc>
              <w:tc>
                <w:tcPr>
                  <w:tcW w:w="464" w:type="pct"/>
                  <w:shd w:val="clear" w:color="auto" w:fill="auto"/>
                  <w:vAlign w:val="bottom"/>
                </w:tcPr>
                <w:p w:rsidR="00AC2131" w:rsidRDefault="00AC2131" w:rsidP="00AC2131">
                  <w:pPr>
                    <w:pStyle w:val="TableBodyText"/>
                    <w:spacing w:after="0"/>
                    <w:ind w:left="0" w:right="57"/>
                  </w:pPr>
                  <w:r>
                    <w:t>1.2</w:t>
                  </w:r>
                </w:p>
              </w:tc>
            </w:tr>
            <w:tr w:rsidR="00AC2131" w:rsidTr="00AC2131">
              <w:tc>
                <w:tcPr>
                  <w:tcW w:w="2201" w:type="pct"/>
                </w:tcPr>
                <w:p w:rsidR="00AC2131" w:rsidRPr="00D177A9" w:rsidRDefault="00AC2131" w:rsidP="00AC2131">
                  <w:pPr>
                    <w:pStyle w:val="TableBodyText"/>
                    <w:spacing w:before="40" w:after="0"/>
                    <w:ind w:left="113"/>
                    <w:jc w:val="left"/>
                    <w:rPr>
                      <w:i/>
                    </w:rPr>
                  </w:pPr>
                  <w:r w:rsidRPr="00D177A9">
                    <w:rPr>
                      <w:i/>
                    </w:rPr>
                    <w:t>General R&amp;D measures</w:t>
                  </w:r>
                </w:p>
              </w:tc>
              <w:tc>
                <w:tcPr>
                  <w:tcW w:w="467" w:type="pct"/>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jc w:val="left"/>
                  </w:pPr>
                </w:p>
              </w:tc>
              <w:tc>
                <w:tcPr>
                  <w:tcW w:w="467" w:type="pct"/>
                  <w:shd w:val="clear" w:color="auto" w:fill="auto"/>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4" w:type="pct"/>
                  <w:shd w:val="clear" w:color="auto" w:fill="auto"/>
                </w:tcPr>
                <w:p w:rsidR="00AC2131" w:rsidRDefault="00AC2131" w:rsidP="00AC2131">
                  <w:pPr>
                    <w:pStyle w:val="TableBodyText"/>
                    <w:spacing w:before="40" w:after="0"/>
                    <w:ind w:left="113" w:right="28"/>
                  </w:pP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 xml:space="preserve">Clean Business Australia </w:t>
                  </w:r>
                  <w:r>
                    <w:rPr>
                      <w:rFonts w:ascii="Arial" w:hAnsi="Arial" w:cs="Arial"/>
                      <w:color w:val="000000"/>
                      <w:sz w:val="18"/>
                      <w:szCs w:val="18"/>
                    </w:rPr>
                    <w:t>–</w:t>
                  </w:r>
                  <w:r w:rsidRPr="00D177A9">
                    <w:rPr>
                      <w:rFonts w:ascii="Arial" w:hAnsi="Arial" w:cs="Arial"/>
                      <w:color w:val="000000"/>
                      <w:sz w:val="18"/>
                      <w:szCs w:val="18"/>
                    </w:rPr>
                    <w:t xml:space="preserve"> Climate Ready Program</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1.8</w:t>
                  </w:r>
                </w:p>
              </w:tc>
              <w:tc>
                <w:tcPr>
                  <w:tcW w:w="467" w:type="pct"/>
                  <w:shd w:val="clear" w:color="auto" w:fill="auto"/>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Clean Technology Innovation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0.1</w:t>
                  </w:r>
                </w:p>
              </w:tc>
              <w:tc>
                <w:tcPr>
                  <w:tcW w:w="464" w:type="pct"/>
                  <w:shd w:val="clear" w:color="auto" w:fill="auto"/>
                  <w:vAlign w:val="bottom"/>
                </w:tcPr>
                <w:p w:rsidR="00AC2131" w:rsidRDefault="00AC2131" w:rsidP="00AC2131">
                  <w:pPr>
                    <w:pStyle w:val="TableBodyText"/>
                    <w:spacing w:after="0"/>
                    <w:ind w:left="0" w:right="57"/>
                  </w:pPr>
                  <w:r>
                    <w:t>0.2</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Commercial Ready Program</w:t>
                  </w:r>
                </w:p>
              </w:tc>
              <w:tc>
                <w:tcPr>
                  <w:tcW w:w="467" w:type="pct"/>
                  <w:vAlign w:val="bottom"/>
                </w:tcPr>
                <w:p w:rsidR="00AC2131" w:rsidRDefault="00AC2131" w:rsidP="00AC2131">
                  <w:pPr>
                    <w:pStyle w:val="TableBodyText"/>
                    <w:spacing w:after="0"/>
                    <w:ind w:left="0" w:right="57"/>
                  </w:pPr>
                  <w:r>
                    <w:t>2.4</w:t>
                  </w:r>
                </w:p>
              </w:tc>
              <w:tc>
                <w:tcPr>
                  <w:tcW w:w="467" w:type="pct"/>
                  <w:vAlign w:val="bottom"/>
                </w:tcPr>
                <w:p w:rsidR="00AC2131" w:rsidRDefault="00AC2131" w:rsidP="00AC2131">
                  <w:pPr>
                    <w:pStyle w:val="TableBodyText"/>
                    <w:spacing w:after="0"/>
                    <w:ind w:left="0" w:right="57"/>
                  </w:pPr>
                  <w:r>
                    <w:t>2.4</w:t>
                  </w:r>
                </w:p>
              </w:tc>
              <w:tc>
                <w:tcPr>
                  <w:tcW w:w="467" w:type="pct"/>
                  <w:shd w:val="clear" w:color="auto" w:fill="auto"/>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1.1</w:t>
                  </w:r>
                </w:p>
              </w:tc>
              <w:tc>
                <w:tcPr>
                  <w:tcW w:w="467" w:type="pct"/>
                  <w:shd w:val="clear" w:color="auto" w:fill="auto"/>
                  <w:vAlign w:val="bottom"/>
                </w:tcPr>
                <w:p w:rsidR="00AC2131" w:rsidRDefault="00AC2131" w:rsidP="00AC2131">
                  <w:pPr>
                    <w:pStyle w:val="TableBodyText"/>
                    <w:spacing w:after="0"/>
                    <w:ind w:left="0" w:right="57"/>
                  </w:pPr>
                  <w:r>
                    <w:t>2.4</w:t>
                  </w:r>
                </w:p>
              </w:tc>
              <w:tc>
                <w:tcPr>
                  <w:tcW w:w="464" w:type="pct"/>
                  <w:shd w:val="clear" w:color="auto" w:fill="auto"/>
                  <w:vAlign w:val="bottom"/>
                </w:tcPr>
                <w:p w:rsidR="00AC2131" w:rsidRDefault="00AC2131" w:rsidP="00AC2131">
                  <w:pPr>
                    <w:pStyle w:val="TableBodyText"/>
                    <w:spacing w:after="0"/>
                    <w:ind w:left="0" w:right="57"/>
                  </w:pPr>
                  <w:r>
                    <w:t>1.6</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Cooperative Research Centres</w:t>
                  </w:r>
                </w:p>
              </w:tc>
              <w:tc>
                <w:tcPr>
                  <w:tcW w:w="467" w:type="pct"/>
                  <w:vAlign w:val="bottom"/>
                </w:tcPr>
                <w:p w:rsidR="00AC2131" w:rsidRDefault="00AC2131" w:rsidP="00AC2131">
                  <w:pPr>
                    <w:pStyle w:val="TableBodyText"/>
                    <w:spacing w:after="0"/>
                    <w:ind w:left="0" w:right="57"/>
                  </w:pPr>
                  <w:r>
                    <w:t>8.3</w:t>
                  </w:r>
                </w:p>
              </w:tc>
              <w:tc>
                <w:tcPr>
                  <w:tcW w:w="467" w:type="pct"/>
                  <w:vAlign w:val="bottom"/>
                </w:tcPr>
                <w:p w:rsidR="00AC2131" w:rsidRDefault="00AC2131" w:rsidP="00AC2131">
                  <w:pPr>
                    <w:pStyle w:val="TableBodyText"/>
                    <w:spacing w:after="0"/>
                    <w:ind w:left="0" w:right="57"/>
                  </w:pPr>
                  <w:r>
                    <w:t>8.1</w:t>
                  </w:r>
                </w:p>
              </w:tc>
              <w:tc>
                <w:tcPr>
                  <w:tcW w:w="467" w:type="pct"/>
                  <w:shd w:val="clear" w:color="auto" w:fill="auto"/>
                  <w:vAlign w:val="bottom"/>
                </w:tcPr>
                <w:p w:rsidR="00AC2131" w:rsidRDefault="00AC2131" w:rsidP="00AC2131">
                  <w:pPr>
                    <w:pStyle w:val="TableBodyText"/>
                    <w:spacing w:after="0"/>
                    <w:ind w:left="0" w:right="57"/>
                  </w:pPr>
                  <w:r>
                    <w:t>7.8</w:t>
                  </w:r>
                </w:p>
              </w:tc>
              <w:tc>
                <w:tcPr>
                  <w:tcW w:w="467" w:type="pct"/>
                  <w:vAlign w:val="bottom"/>
                </w:tcPr>
                <w:p w:rsidR="00AC2131" w:rsidRDefault="00AC2131" w:rsidP="00AC2131">
                  <w:pPr>
                    <w:pStyle w:val="TableBodyText"/>
                    <w:spacing w:after="0"/>
                    <w:ind w:left="0" w:right="57"/>
                  </w:pPr>
                  <w:r>
                    <w:t>5.5</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26.5</w:t>
                  </w:r>
                </w:p>
              </w:tc>
              <w:tc>
                <w:tcPr>
                  <w:tcW w:w="467" w:type="pct"/>
                  <w:vAlign w:val="bottom"/>
                </w:tcPr>
                <w:p w:rsidR="00AC2131" w:rsidRDefault="00AC2131" w:rsidP="00AC2131">
                  <w:pPr>
                    <w:pStyle w:val="TableBodyText"/>
                    <w:spacing w:after="0"/>
                    <w:ind w:left="0" w:right="57"/>
                  </w:pPr>
                  <w:r>
                    <w:t>28.6</w:t>
                  </w:r>
                </w:p>
              </w:tc>
              <w:tc>
                <w:tcPr>
                  <w:tcW w:w="467" w:type="pct"/>
                  <w:shd w:val="clear" w:color="auto" w:fill="auto"/>
                  <w:vAlign w:val="bottom"/>
                </w:tcPr>
                <w:p w:rsidR="00AC2131" w:rsidRDefault="00AC2131" w:rsidP="00AC2131">
                  <w:pPr>
                    <w:pStyle w:val="TableBodyText"/>
                    <w:spacing w:after="0"/>
                    <w:ind w:left="0" w:right="57"/>
                  </w:pPr>
                  <w:r>
                    <w:t>29.2</w:t>
                  </w:r>
                </w:p>
              </w:tc>
              <w:tc>
                <w:tcPr>
                  <w:tcW w:w="467" w:type="pct"/>
                  <w:vAlign w:val="bottom"/>
                </w:tcPr>
                <w:p w:rsidR="00AC2131" w:rsidRDefault="00AC2131" w:rsidP="00AC2131">
                  <w:pPr>
                    <w:pStyle w:val="TableBodyText"/>
                    <w:spacing w:after="0"/>
                    <w:ind w:left="0" w:right="57"/>
                  </w:pPr>
                  <w:r>
                    <w:t>22.5</w:t>
                  </w:r>
                </w:p>
              </w:tc>
              <w:tc>
                <w:tcPr>
                  <w:tcW w:w="467" w:type="pct"/>
                  <w:shd w:val="clear" w:color="auto" w:fill="auto"/>
                  <w:vAlign w:val="bottom"/>
                </w:tcPr>
                <w:p w:rsidR="00AC2131" w:rsidRDefault="00AC2131" w:rsidP="00AC2131">
                  <w:pPr>
                    <w:pStyle w:val="TableBodyText"/>
                    <w:spacing w:after="0"/>
                    <w:ind w:left="0" w:right="57"/>
                  </w:pPr>
                  <w:r>
                    <w:t>31.9</w:t>
                  </w:r>
                </w:p>
              </w:tc>
              <w:tc>
                <w:tcPr>
                  <w:tcW w:w="464" w:type="pct"/>
                  <w:shd w:val="clear" w:color="auto" w:fill="auto"/>
                  <w:vAlign w:val="bottom"/>
                </w:tcPr>
                <w:p w:rsidR="00AC2131" w:rsidRDefault="00AC2131" w:rsidP="00AC2131">
                  <w:pPr>
                    <w:pStyle w:val="TableBodyText"/>
                    <w:spacing w:after="0"/>
                    <w:ind w:left="0" w:right="57"/>
                  </w:pPr>
                  <w:r>
                    <w:t>31.9</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Innovation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0.3</w:t>
                  </w:r>
                </w:p>
              </w:tc>
              <w:tc>
                <w:tcPr>
                  <w:tcW w:w="464" w:type="pct"/>
                  <w:shd w:val="clear" w:color="auto" w:fill="auto"/>
                  <w:vAlign w:val="bottom"/>
                </w:tcPr>
                <w:p w:rsidR="00AC2131" w:rsidRDefault="00AC2131" w:rsidP="00AC2131">
                  <w:pPr>
                    <w:pStyle w:val="TableBodyText"/>
                    <w:spacing w:after="0"/>
                    <w:ind w:left="0" w:right="57"/>
                  </w:pPr>
                  <w:r>
                    <w:t>0.3</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13.9</w:t>
                  </w:r>
                </w:p>
              </w:tc>
              <w:tc>
                <w:tcPr>
                  <w:tcW w:w="467" w:type="pct"/>
                  <w:vAlign w:val="bottom"/>
                </w:tcPr>
                <w:p w:rsidR="00AC2131" w:rsidRDefault="00AC2131" w:rsidP="00AC2131">
                  <w:pPr>
                    <w:pStyle w:val="TableBodyText"/>
                    <w:spacing w:after="0"/>
                    <w:ind w:left="0" w:right="57"/>
                  </w:pPr>
                  <w:r>
                    <w:t>7.8</w:t>
                  </w:r>
                </w:p>
              </w:tc>
              <w:tc>
                <w:tcPr>
                  <w:tcW w:w="467" w:type="pct"/>
                  <w:shd w:val="clear" w:color="auto" w:fill="auto"/>
                  <w:vAlign w:val="bottom"/>
                </w:tcPr>
                <w:p w:rsidR="00AC2131" w:rsidRDefault="00AC2131" w:rsidP="00AC2131">
                  <w:pPr>
                    <w:pStyle w:val="TableBodyText"/>
                    <w:spacing w:after="0"/>
                    <w:ind w:left="0" w:right="57"/>
                  </w:pPr>
                  <w:r>
                    <w:t>6.7</w:t>
                  </w:r>
                </w:p>
              </w:tc>
              <w:tc>
                <w:tcPr>
                  <w:tcW w:w="467" w:type="pct"/>
                  <w:vAlign w:val="bottom"/>
                </w:tcPr>
                <w:p w:rsidR="00AC2131" w:rsidRDefault="00AC2131" w:rsidP="00AC2131">
                  <w:pPr>
                    <w:pStyle w:val="TableBodyText"/>
                    <w:spacing w:after="0"/>
                    <w:ind w:left="0" w:right="57"/>
                  </w:pPr>
                  <w:r>
                    <w:t>24.8</w:t>
                  </w:r>
                </w:p>
              </w:tc>
              <w:tc>
                <w:tcPr>
                  <w:tcW w:w="467" w:type="pct"/>
                  <w:shd w:val="clear" w:color="auto" w:fill="auto"/>
                  <w:vAlign w:val="bottom"/>
                </w:tcPr>
                <w:p w:rsidR="00AC2131" w:rsidRDefault="00AC2131" w:rsidP="00AC2131">
                  <w:pPr>
                    <w:pStyle w:val="TableBodyText"/>
                    <w:spacing w:after="0"/>
                    <w:ind w:left="0" w:right="57"/>
                  </w:pPr>
                  <w:r>
                    <w:t>6.8</w:t>
                  </w:r>
                </w:p>
              </w:tc>
              <w:tc>
                <w:tcPr>
                  <w:tcW w:w="464" w:type="pct"/>
                  <w:shd w:val="clear" w:color="auto" w:fill="auto"/>
                  <w:vAlign w:val="bottom"/>
                </w:tcPr>
                <w:p w:rsidR="00AC2131" w:rsidRDefault="00AC2131" w:rsidP="00AC2131">
                  <w:pPr>
                    <w:pStyle w:val="TableBodyText"/>
                    <w:spacing w:after="0"/>
                    <w:ind w:left="0" w:right="57"/>
                  </w:pPr>
                  <w:r>
                    <w:t>2.8</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sidRPr="00D177A9">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31.1</w:t>
                  </w:r>
                </w:p>
              </w:tc>
              <w:tc>
                <w:tcPr>
                  <w:tcW w:w="467" w:type="pct"/>
                  <w:vAlign w:val="bottom"/>
                </w:tcPr>
                <w:p w:rsidR="00AC2131" w:rsidRDefault="00AC2131" w:rsidP="00AC2131">
                  <w:pPr>
                    <w:pStyle w:val="TableBodyText"/>
                    <w:spacing w:after="0"/>
                    <w:ind w:left="0" w:right="57"/>
                  </w:pPr>
                  <w:r>
                    <w:t>40.8</w:t>
                  </w:r>
                </w:p>
              </w:tc>
              <w:tc>
                <w:tcPr>
                  <w:tcW w:w="467" w:type="pct"/>
                  <w:shd w:val="clear" w:color="auto" w:fill="auto"/>
                  <w:vAlign w:val="bottom"/>
                </w:tcPr>
                <w:p w:rsidR="00AC2131" w:rsidRDefault="00AC2131" w:rsidP="00AC2131">
                  <w:pPr>
                    <w:pStyle w:val="TableBodyText"/>
                    <w:spacing w:after="0"/>
                    <w:ind w:left="0" w:right="57"/>
                  </w:pPr>
                  <w:r>
                    <w:t>40.8</w:t>
                  </w:r>
                </w:p>
              </w:tc>
              <w:tc>
                <w:tcPr>
                  <w:tcW w:w="467" w:type="pct"/>
                  <w:vAlign w:val="bottom"/>
                </w:tcPr>
                <w:p w:rsidR="00AC2131" w:rsidRDefault="00AC2131" w:rsidP="00AC2131">
                  <w:pPr>
                    <w:pStyle w:val="TableBodyText"/>
                    <w:spacing w:after="0"/>
                    <w:ind w:left="0" w:right="57"/>
                  </w:pPr>
                  <w:r>
                    <w:t>50.4</w:t>
                  </w:r>
                </w:p>
              </w:tc>
              <w:tc>
                <w:tcPr>
                  <w:tcW w:w="467" w:type="pct"/>
                  <w:shd w:val="clear" w:color="auto" w:fill="auto"/>
                  <w:vAlign w:val="bottom"/>
                </w:tcPr>
                <w:p w:rsidR="00AC2131" w:rsidRDefault="00AC2131" w:rsidP="00AC2131">
                  <w:pPr>
                    <w:pStyle w:val="TableBodyText"/>
                    <w:spacing w:after="0"/>
                    <w:ind w:left="0" w:right="57"/>
                  </w:pPr>
                  <w:r>
                    <w:t>22.5</w:t>
                  </w:r>
                </w:p>
              </w:tc>
              <w:tc>
                <w:tcPr>
                  <w:tcW w:w="464" w:type="pct"/>
                  <w:shd w:val="clear" w:color="auto" w:fill="auto"/>
                  <w:vAlign w:val="bottom"/>
                </w:tcPr>
                <w:p w:rsidR="00AC2131" w:rsidRDefault="00AC2131" w:rsidP="00AC2131">
                  <w:pPr>
                    <w:pStyle w:val="TableBodyText"/>
                    <w:spacing w:after="0"/>
                    <w:ind w:left="0" w:right="57"/>
                  </w:pPr>
                  <w:r>
                    <w:t>7.6</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-3.4</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110.5</w:t>
                  </w:r>
                </w:p>
              </w:tc>
              <w:tc>
                <w:tcPr>
                  <w:tcW w:w="464" w:type="pct"/>
                  <w:shd w:val="clear" w:color="auto" w:fill="auto"/>
                  <w:vAlign w:val="bottom"/>
                </w:tcPr>
                <w:p w:rsidR="00AC2131" w:rsidRDefault="00AC2131" w:rsidP="00AC2131">
                  <w:pPr>
                    <w:pStyle w:val="TableBodyText"/>
                    <w:spacing w:after="0"/>
                    <w:ind w:left="0" w:right="57"/>
                  </w:pPr>
                  <w:r>
                    <w:t>350.9</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6.2</w:t>
                  </w:r>
                </w:p>
              </w:tc>
              <w:tc>
                <w:tcPr>
                  <w:tcW w:w="464" w:type="pct"/>
                  <w:shd w:val="clear" w:color="auto" w:fill="auto"/>
                  <w:vAlign w:val="bottom"/>
                </w:tcPr>
                <w:p w:rsidR="00AC2131" w:rsidRDefault="00AC2131" w:rsidP="00AC2131">
                  <w:pPr>
                    <w:pStyle w:val="TableBodyText"/>
                    <w:spacing w:after="0"/>
                    <w:ind w:left="0" w:right="57"/>
                  </w:pPr>
                  <w:r>
                    <w:t>11.1</w:t>
                  </w:r>
                </w:p>
              </w:tc>
            </w:tr>
            <w:tr w:rsidR="00AC2131" w:rsidTr="00AC2131">
              <w:tc>
                <w:tcPr>
                  <w:tcW w:w="2201" w:type="pct"/>
                  <w:vAlign w:val="bottom"/>
                </w:tcPr>
                <w:p w:rsidR="00AC2131" w:rsidRPr="00D177A9"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12.4</w:t>
                  </w:r>
                </w:p>
              </w:tc>
              <w:tc>
                <w:tcPr>
                  <w:tcW w:w="467" w:type="pct"/>
                  <w:vAlign w:val="bottom"/>
                </w:tcPr>
                <w:p w:rsidR="00AC2131" w:rsidRDefault="00AC2131" w:rsidP="00AC2131">
                  <w:pPr>
                    <w:pStyle w:val="TableBodyText"/>
                    <w:spacing w:after="0"/>
                    <w:ind w:left="0" w:right="57"/>
                  </w:pPr>
                  <w:r>
                    <w:t>13.4</w:t>
                  </w:r>
                </w:p>
              </w:tc>
              <w:tc>
                <w:tcPr>
                  <w:tcW w:w="467" w:type="pct"/>
                  <w:shd w:val="clear" w:color="auto" w:fill="auto"/>
                  <w:vAlign w:val="bottom"/>
                </w:tcPr>
                <w:p w:rsidR="00AC2131" w:rsidRDefault="00AC2131" w:rsidP="00AC2131">
                  <w:pPr>
                    <w:pStyle w:val="TableBodyText"/>
                    <w:spacing w:after="0"/>
                    <w:ind w:left="0" w:right="57"/>
                  </w:pPr>
                  <w:r>
                    <w:t>7.1</w:t>
                  </w:r>
                </w:p>
              </w:tc>
              <w:tc>
                <w:tcPr>
                  <w:tcW w:w="467" w:type="pct"/>
                  <w:vAlign w:val="bottom"/>
                </w:tcPr>
                <w:p w:rsidR="00AC2131" w:rsidRDefault="00AC2131" w:rsidP="00AC2131">
                  <w:pPr>
                    <w:pStyle w:val="TableBodyText"/>
                    <w:spacing w:after="0"/>
                    <w:ind w:left="0" w:right="57"/>
                  </w:pPr>
                  <w:r>
                    <w:t>8.0</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tcPr>
                <w:p w:rsidR="00AC2131" w:rsidRPr="00826457" w:rsidRDefault="00AC2131" w:rsidP="00AC2131">
                  <w:pPr>
                    <w:pStyle w:val="TableBodyText"/>
                    <w:spacing w:before="40" w:after="0"/>
                    <w:ind w:left="113"/>
                    <w:jc w:val="left"/>
                    <w:rPr>
                      <w:i/>
                    </w:rPr>
                  </w:pPr>
                  <w:r w:rsidRPr="00826457">
                    <w:rPr>
                      <w:i/>
                    </w:rPr>
                    <w:t>Other measures</w:t>
                  </w:r>
                </w:p>
              </w:tc>
              <w:tc>
                <w:tcPr>
                  <w:tcW w:w="467" w:type="pct"/>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jc w:val="left"/>
                  </w:pPr>
                </w:p>
              </w:tc>
              <w:tc>
                <w:tcPr>
                  <w:tcW w:w="467" w:type="pct"/>
                  <w:shd w:val="clear" w:color="auto" w:fill="auto"/>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4" w:type="pct"/>
                  <w:shd w:val="clear" w:color="auto" w:fill="auto"/>
                </w:tcPr>
                <w:p w:rsidR="00AC2131" w:rsidRDefault="00AC2131" w:rsidP="00AC2131">
                  <w:pPr>
                    <w:pStyle w:val="TableBodyText"/>
                    <w:spacing w:before="40" w:after="0"/>
                    <w:ind w:left="113" w:right="28"/>
                  </w:pP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1.0</w:t>
                  </w:r>
                </w:p>
              </w:tc>
              <w:tc>
                <w:tcPr>
                  <w:tcW w:w="467" w:type="pct"/>
                  <w:shd w:val="clear" w:color="auto" w:fill="auto"/>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1.0</w:t>
                  </w:r>
                </w:p>
              </w:tc>
              <w:tc>
                <w:tcPr>
                  <w:tcW w:w="467" w:type="pct"/>
                  <w:shd w:val="clear" w:color="auto" w:fill="auto"/>
                  <w:vAlign w:val="bottom"/>
                </w:tcPr>
                <w:p w:rsidR="00AC2131" w:rsidRDefault="00AC2131" w:rsidP="00AC2131">
                  <w:pPr>
                    <w:pStyle w:val="TableBodyText"/>
                    <w:spacing w:after="0"/>
                    <w:ind w:left="0" w:right="57"/>
                  </w:pPr>
                  <w:r>
                    <w:t>1.4</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1.0</w:t>
                  </w:r>
                </w:p>
              </w:tc>
              <w:tc>
                <w:tcPr>
                  <w:tcW w:w="464" w:type="pct"/>
                  <w:shd w:val="clear" w:color="auto" w:fill="auto"/>
                  <w:vAlign w:val="bottom"/>
                </w:tcPr>
                <w:p w:rsidR="00AC2131" w:rsidRDefault="00AC2131" w:rsidP="00AC2131">
                  <w:pPr>
                    <w:pStyle w:val="TableBodyText"/>
                    <w:spacing w:after="0"/>
                    <w:ind w:left="0" w:right="57"/>
                  </w:pPr>
                  <w:r>
                    <w:t>1.1</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Geelong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Illawarra Region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0.1</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Innovation Investment Fund for South Australia</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North East Tasmania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North West and Northern Tasmania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0.6</w:t>
                  </w:r>
                </w:p>
              </w:tc>
              <w:tc>
                <w:tcPr>
                  <w:tcW w:w="467" w:type="pct"/>
                  <w:shd w:val="clear" w:color="auto" w:fill="auto"/>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-0.3</w:t>
                  </w:r>
                </w:p>
              </w:tc>
              <w:tc>
                <w:tcPr>
                  <w:tcW w:w="464" w:type="pct"/>
                  <w:shd w:val="clear" w:color="auto" w:fill="auto"/>
                  <w:vAlign w:val="bottom"/>
                </w:tcPr>
                <w:p w:rsidR="00AC2131" w:rsidRDefault="00AC2131" w:rsidP="00AC2131">
                  <w:pPr>
                    <w:pStyle w:val="TableBodyText"/>
                    <w:spacing w:after="0"/>
                    <w:ind w:left="0" w:right="57"/>
                  </w:pPr>
                  <w:r>
                    <w:t>10.6</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tcBorders>
                    <w:bottom w:val="single" w:sz="6" w:space="0" w:color="BFBFBF"/>
                  </w:tcBorders>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 xml:space="preserve">Small business </w:t>
                  </w:r>
                  <w:r>
                    <w:rPr>
                      <w:rFonts w:ascii="Arial" w:hAnsi="Arial" w:cs="Arial"/>
                      <w:color w:val="000000"/>
                      <w:sz w:val="18"/>
                      <w:szCs w:val="18"/>
                    </w:rPr>
                    <w:t>capital gains tax</w:t>
                  </w:r>
                  <w:r w:rsidRPr="00826457">
                    <w:rPr>
                      <w:rFonts w:ascii="Arial" w:hAnsi="Arial" w:cs="Arial"/>
                      <w:color w:val="000000"/>
                      <w:sz w:val="18"/>
                      <w:szCs w:val="18"/>
                    </w:rPr>
                    <w:t xml:space="preserve"> 50 per cent reduction</w:t>
                  </w:r>
                </w:p>
              </w:tc>
              <w:tc>
                <w:tcPr>
                  <w:tcW w:w="467" w:type="pct"/>
                  <w:tcBorders>
                    <w:bottom w:val="single" w:sz="6" w:space="0" w:color="BFBFBF"/>
                  </w:tcBorders>
                  <w:vAlign w:val="bottom"/>
                </w:tcPr>
                <w:p w:rsidR="00AC2131" w:rsidRDefault="00AC2131" w:rsidP="00AC2131">
                  <w:pPr>
                    <w:pStyle w:val="TableBodyText"/>
                    <w:spacing w:after="0"/>
                    <w:ind w:left="0" w:right="57"/>
                  </w:pPr>
                  <w:r>
                    <w:t>5.1</w:t>
                  </w:r>
                </w:p>
              </w:tc>
              <w:tc>
                <w:tcPr>
                  <w:tcW w:w="467" w:type="pct"/>
                  <w:tcBorders>
                    <w:bottom w:val="single" w:sz="6" w:space="0" w:color="BFBFBF"/>
                  </w:tcBorders>
                  <w:vAlign w:val="bottom"/>
                </w:tcPr>
                <w:p w:rsidR="00AC2131" w:rsidRDefault="00AC2131" w:rsidP="00AC2131">
                  <w:pPr>
                    <w:pStyle w:val="TableBodyText"/>
                    <w:spacing w:after="0"/>
                    <w:ind w:left="0" w:right="57"/>
                  </w:pPr>
                  <w:r>
                    <w:t>0.8</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1.1</w:t>
                  </w:r>
                </w:p>
              </w:tc>
              <w:tc>
                <w:tcPr>
                  <w:tcW w:w="467" w:type="pct"/>
                  <w:tcBorders>
                    <w:bottom w:val="single" w:sz="6" w:space="0" w:color="BFBFBF"/>
                  </w:tcBorders>
                  <w:vAlign w:val="bottom"/>
                </w:tcPr>
                <w:p w:rsidR="00AC2131" w:rsidRDefault="00AC2131" w:rsidP="00AC2131">
                  <w:pPr>
                    <w:pStyle w:val="TableBodyText"/>
                    <w:spacing w:after="0"/>
                    <w:ind w:left="0" w:right="57"/>
                  </w:pPr>
                  <w:r>
                    <w:t>1.2</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1.3</w:t>
                  </w:r>
                </w:p>
              </w:tc>
              <w:tc>
                <w:tcPr>
                  <w:tcW w:w="464" w:type="pct"/>
                  <w:tcBorders>
                    <w:bottom w:val="single" w:sz="6" w:space="0" w:color="BFBFBF"/>
                  </w:tcBorders>
                  <w:shd w:val="clear" w:color="auto" w:fill="auto"/>
                  <w:vAlign w:val="bottom"/>
                </w:tcPr>
                <w:p w:rsidR="00AC2131" w:rsidRDefault="00AC2131" w:rsidP="00AC2131">
                  <w:pPr>
                    <w:pStyle w:val="TableBodyText"/>
                    <w:spacing w:after="0"/>
                    <w:ind w:left="0" w:right="57"/>
                  </w:pPr>
                  <w:r>
                    <w:t>1.3</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ind w:left="6499"/>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8"/>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4" w:type="dxa"/>
              <w:tblCellMar>
                <w:top w:w="28" w:type="dxa"/>
                <w:left w:w="0" w:type="dxa"/>
                <w:right w:w="0" w:type="dxa"/>
              </w:tblCellMar>
              <w:tblLook w:val="0000" w:firstRow="0" w:lastRow="0" w:firstColumn="0" w:lastColumn="0" w:noHBand="0" w:noVBand="0"/>
            </w:tblPr>
            <w:tblGrid>
              <w:gridCol w:w="3744"/>
              <w:gridCol w:w="795"/>
              <w:gridCol w:w="794"/>
              <w:gridCol w:w="794"/>
              <w:gridCol w:w="794"/>
              <w:gridCol w:w="794"/>
              <w:gridCol w:w="789"/>
            </w:tblGrid>
            <w:tr w:rsidR="00AC2131" w:rsidTr="00AC2131">
              <w:tc>
                <w:tcPr>
                  <w:tcW w:w="2201" w:type="pct"/>
                  <w:tcBorders>
                    <w:top w:val="single" w:sz="6" w:space="0" w:color="BFBFBF"/>
                    <w:bottom w:val="single" w:sz="6" w:space="0" w:color="BFBFBF"/>
                  </w:tcBorders>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4"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1" w:type="pct"/>
                </w:tcPr>
                <w:p w:rsidR="00AC2131" w:rsidRPr="00826457" w:rsidRDefault="00AC2131" w:rsidP="00AC2131">
                  <w:pPr>
                    <w:pStyle w:val="TableBodyText"/>
                    <w:spacing w:before="40" w:after="0"/>
                    <w:ind w:left="113"/>
                    <w:jc w:val="left"/>
                    <w:rPr>
                      <w:i/>
                    </w:rPr>
                  </w:pPr>
                  <w:r w:rsidRPr="00826457">
                    <w:rPr>
                      <w:i/>
                    </w:rPr>
                    <w:t>Other measures</w:t>
                  </w:r>
                  <w:r>
                    <w:rPr>
                      <w:i/>
                    </w:rPr>
                    <w:t xml:space="preserve"> (continued)</w:t>
                  </w:r>
                </w:p>
              </w:tc>
              <w:tc>
                <w:tcPr>
                  <w:tcW w:w="467" w:type="pct"/>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jc w:val="left"/>
                  </w:pPr>
                </w:p>
              </w:tc>
              <w:tc>
                <w:tcPr>
                  <w:tcW w:w="467" w:type="pct"/>
                  <w:shd w:val="clear" w:color="auto" w:fill="auto"/>
                </w:tcPr>
                <w:p w:rsidR="00AC2131" w:rsidRDefault="00AC2131" w:rsidP="00AC2131">
                  <w:pPr>
                    <w:pStyle w:val="TableBodyText"/>
                    <w:spacing w:before="40" w:after="0"/>
                    <w:ind w:left="113"/>
                    <w:jc w:val="left"/>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4" w:type="pct"/>
                  <w:shd w:val="clear" w:color="auto" w:fill="auto"/>
                </w:tcPr>
                <w:p w:rsidR="00AC2131" w:rsidRDefault="00AC2131" w:rsidP="00AC2131">
                  <w:pPr>
                    <w:pStyle w:val="TableBodyText"/>
                    <w:spacing w:before="40" w:after="0"/>
                    <w:ind w:left="113" w:right="28"/>
                  </w:pP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 xml:space="preserve">Small business </w:t>
                  </w:r>
                  <w:r>
                    <w:rPr>
                      <w:rFonts w:ascii="Arial" w:hAnsi="Arial" w:cs="Arial"/>
                      <w:color w:val="000000"/>
                      <w:sz w:val="18"/>
                      <w:szCs w:val="18"/>
                    </w:rPr>
                    <w:t>capital gains tax</w:t>
                  </w:r>
                  <w:r w:rsidRPr="00826457">
                    <w:rPr>
                      <w:rFonts w:ascii="Arial" w:hAnsi="Arial" w:cs="Arial"/>
                      <w:color w:val="000000"/>
                      <w:sz w:val="18"/>
                      <w:szCs w:val="18"/>
                    </w:rPr>
                    <w:t xml:space="preserve"> retirement exemption</w:t>
                  </w:r>
                </w:p>
              </w:tc>
              <w:tc>
                <w:tcPr>
                  <w:tcW w:w="467" w:type="pct"/>
                  <w:vAlign w:val="bottom"/>
                </w:tcPr>
                <w:p w:rsidR="00AC2131" w:rsidRDefault="00AC2131" w:rsidP="00AC2131">
                  <w:pPr>
                    <w:pStyle w:val="TableBodyText"/>
                    <w:spacing w:after="0"/>
                    <w:ind w:left="0" w:right="57"/>
                  </w:pPr>
                  <w:r>
                    <w:t>4.2</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1.0</w:t>
                  </w:r>
                </w:p>
              </w:tc>
              <w:tc>
                <w:tcPr>
                  <w:tcW w:w="467" w:type="pct"/>
                  <w:shd w:val="clear" w:color="auto" w:fill="auto"/>
                  <w:vAlign w:val="bottom"/>
                </w:tcPr>
                <w:p w:rsidR="00AC2131" w:rsidRDefault="00AC2131" w:rsidP="00AC2131">
                  <w:pPr>
                    <w:pStyle w:val="TableBodyText"/>
                    <w:spacing w:after="0"/>
                    <w:ind w:left="0" w:right="57"/>
                  </w:pPr>
                  <w:r>
                    <w:t>1.0</w:t>
                  </w:r>
                </w:p>
              </w:tc>
              <w:tc>
                <w:tcPr>
                  <w:tcW w:w="464" w:type="pct"/>
                  <w:shd w:val="clear" w:color="auto" w:fill="auto"/>
                  <w:vAlign w:val="bottom"/>
                </w:tcPr>
                <w:p w:rsidR="00AC2131" w:rsidRDefault="00AC2131" w:rsidP="00AC2131">
                  <w:pPr>
                    <w:pStyle w:val="TableBodyText"/>
                    <w:spacing w:after="0"/>
                    <w:ind w:left="0" w:right="57"/>
                  </w:pPr>
                  <w:r>
                    <w:t>1.0</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 xml:space="preserve">Small business </w:t>
                  </w:r>
                  <w:r>
                    <w:rPr>
                      <w:rFonts w:ascii="Arial" w:hAnsi="Arial" w:cs="Arial"/>
                      <w:color w:val="000000"/>
                      <w:sz w:val="18"/>
                      <w:szCs w:val="18"/>
                    </w:rPr>
                    <w:t>capital gains tax</w:t>
                  </w:r>
                  <w:r w:rsidRPr="00826457">
                    <w:rPr>
                      <w:rFonts w:ascii="Arial" w:hAnsi="Arial" w:cs="Arial"/>
                      <w:color w:val="000000"/>
                      <w:sz w:val="18"/>
                      <w:szCs w:val="18"/>
                    </w:rPr>
                    <w:t xml:space="preserve"> rollover deferral</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0.3</w:t>
                  </w:r>
                </w:p>
              </w:tc>
              <w:tc>
                <w:tcPr>
                  <w:tcW w:w="464" w:type="pct"/>
                  <w:shd w:val="clear" w:color="auto" w:fill="auto"/>
                  <w:vAlign w:val="bottom"/>
                </w:tcPr>
                <w:p w:rsidR="00AC2131" w:rsidRDefault="00AC2131" w:rsidP="00AC2131">
                  <w:pPr>
                    <w:pStyle w:val="TableBodyText"/>
                    <w:spacing w:after="0"/>
                    <w:ind w:left="0" w:right="57"/>
                  </w:pPr>
                  <w:r>
                    <w:t>0.3</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South Australia Innovation and Investment Fund and Labour Assistance Package</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2.5</w:t>
                  </w:r>
                </w:p>
              </w:tc>
              <w:tc>
                <w:tcPr>
                  <w:tcW w:w="467" w:type="pct"/>
                  <w:shd w:val="clear" w:color="auto" w:fill="auto"/>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South East South Australia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0.5</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Tasmanian Freight Equalisation Scheme</w:t>
                  </w:r>
                </w:p>
              </w:tc>
              <w:tc>
                <w:tcPr>
                  <w:tcW w:w="467" w:type="pct"/>
                  <w:vAlign w:val="bottom"/>
                </w:tcPr>
                <w:p w:rsidR="00AC2131" w:rsidRDefault="00AC2131" w:rsidP="00AC2131">
                  <w:pPr>
                    <w:pStyle w:val="TableBodyText"/>
                    <w:spacing w:after="0"/>
                    <w:ind w:left="0" w:right="57"/>
                  </w:pPr>
                  <w:r>
                    <w:t>4.8</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Tasmanian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0.7</w:t>
                  </w:r>
                </w:p>
              </w:tc>
              <w:tc>
                <w:tcPr>
                  <w:tcW w:w="464" w:type="pct"/>
                  <w:shd w:val="clear" w:color="auto" w:fill="auto"/>
                  <w:vAlign w:val="bottom"/>
                </w:tcPr>
                <w:p w:rsidR="00AC2131" w:rsidRDefault="00AC2131" w:rsidP="00AC2131">
                  <w:pPr>
                    <w:pStyle w:val="TableBodyText"/>
                    <w:spacing w:after="0"/>
                    <w:ind w:left="0" w:right="57"/>
                  </w:pPr>
                  <w:r>
                    <w:t>0.1</w:t>
                  </w:r>
                </w:p>
              </w:tc>
            </w:tr>
            <w:tr w:rsidR="00AC2131" w:rsidTr="00AC2131">
              <w:tc>
                <w:tcPr>
                  <w:tcW w:w="2201" w:type="pct"/>
                  <w:vAlign w:val="bottom"/>
                </w:tcPr>
                <w:p w:rsidR="00AC2131" w:rsidRPr="00826457" w:rsidRDefault="00AC2131" w:rsidP="00AC2131">
                  <w:pPr>
                    <w:ind w:left="227"/>
                    <w:rPr>
                      <w:rFonts w:ascii="Arial" w:hAnsi="Arial" w:cs="Arial"/>
                      <w:color w:val="000000"/>
                      <w:sz w:val="18"/>
                      <w:szCs w:val="18"/>
                    </w:rPr>
                  </w:pPr>
                  <w:r w:rsidRPr="00826457">
                    <w:rPr>
                      <w:rFonts w:ascii="Arial" w:hAnsi="Arial" w:cs="Arial"/>
                      <w:color w:val="000000"/>
                      <w:sz w:val="18"/>
                      <w:szCs w:val="18"/>
                    </w:rPr>
                    <w:t>The Small Business and General Business Tax Break</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17.4</w:t>
                  </w:r>
                </w:p>
              </w:tc>
              <w:tc>
                <w:tcPr>
                  <w:tcW w:w="467" w:type="pct"/>
                  <w:shd w:val="clear" w:color="auto" w:fill="auto"/>
                  <w:vAlign w:val="bottom"/>
                </w:tcPr>
                <w:p w:rsidR="00AC2131" w:rsidRDefault="00AC2131" w:rsidP="00AC2131">
                  <w:pPr>
                    <w:pStyle w:val="TableBodyText"/>
                    <w:spacing w:after="0"/>
                    <w:ind w:left="0" w:right="57"/>
                  </w:pPr>
                  <w:r>
                    <w:t>37.3</w:t>
                  </w:r>
                </w:p>
              </w:tc>
              <w:tc>
                <w:tcPr>
                  <w:tcW w:w="467" w:type="pct"/>
                  <w:vAlign w:val="bottom"/>
                </w:tcPr>
                <w:p w:rsidR="00AC2131" w:rsidRDefault="00AC2131" w:rsidP="00AC2131">
                  <w:pPr>
                    <w:pStyle w:val="TableBodyText"/>
                    <w:spacing w:after="0"/>
                    <w:ind w:left="0" w:right="57"/>
                  </w:pPr>
                  <w:r>
                    <w:t>3.5</w:t>
                  </w:r>
                </w:p>
              </w:tc>
              <w:tc>
                <w:tcPr>
                  <w:tcW w:w="467" w:type="pct"/>
                  <w:shd w:val="clear" w:color="auto" w:fill="auto"/>
                  <w:vAlign w:val="bottom"/>
                </w:tcPr>
                <w:p w:rsidR="00AC2131" w:rsidRDefault="00AC2131" w:rsidP="00AC2131">
                  <w:pPr>
                    <w:pStyle w:val="TableBodyText"/>
                    <w:spacing w:after="0"/>
                    <w:ind w:left="0" w:right="57"/>
                  </w:pPr>
                  <w:r>
                    <w:t>1.2</w:t>
                  </w:r>
                </w:p>
              </w:tc>
              <w:tc>
                <w:tcPr>
                  <w:tcW w:w="464" w:type="pct"/>
                  <w:shd w:val="clear" w:color="auto" w:fill="auto"/>
                  <w:vAlign w:val="bottom"/>
                </w:tcPr>
                <w:p w:rsidR="00AC2131" w:rsidRDefault="00AC2131" w:rsidP="00AC2131">
                  <w:pPr>
                    <w:pStyle w:val="TableBodyText"/>
                    <w:spacing w:after="0"/>
                    <w:ind w:left="0" w:right="57"/>
                  </w:pPr>
                  <w:r>
                    <w:t>0.1</w:t>
                  </w:r>
                </w:p>
              </w:tc>
            </w:tr>
            <w:tr w:rsidR="00AC2131" w:rsidTr="00AC2131">
              <w:tc>
                <w:tcPr>
                  <w:tcW w:w="2201" w:type="pct"/>
                </w:tcPr>
                <w:p w:rsidR="00AC2131" w:rsidRPr="00826457" w:rsidRDefault="00AC2131" w:rsidP="00AC2131">
                  <w:pPr>
                    <w:pStyle w:val="TableBodyText"/>
                    <w:spacing w:before="20" w:after="20"/>
                    <w:jc w:val="left"/>
                    <w:rPr>
                      <w:i/>
                    </w:rPr>
                  </w:pPr>
                  <w:r w:rsidRPr="00826457">
                    <w:rPr>
                      <w:i/>
                    </w:rPr>
                    <w:t>Total</w:t>
                  </w:r>
                </w:p>
              </w:tc>
              <w:tc>
                <w:tcPr>
                  <w:tcW w:w="467" w:type="pct"/>
                  <w:vAlign w:val="bottom"/>
                </w:tcPr>
                <w:p w:rsidR="00AC2131" w:rsidRPr="00D570BE" w:rsidRDefault="00AC2131" w:rsidP="00AC2131">
                  <w:pPr>
                    <w:pStyle w:val="TableBodyText"/>
                    <w:spacing w:before="20" w:after="20"/>
                    <w:ind w:left="0" w:right="57"/>
                    <w:rPr>
                      <w:i/>
                    </w:rPr>
                  </w:pPr>
                  <w:r w:rsidRPr="00D570BE">
                    <w:rPr>
                      <w:i/>
                    </w:rPr>
                    <w:t>120.8</w:t>
                  </w:r>
                </w:p>
              </w:tc>
              <w:tc>
                <w:tcPr>
                  <w:tcW w:w="467" w:type="pct"/>
                  <w:vAlign w:val="bottom"/>
                </w:tcPr>
                <w:p w:rsidR="00AC2131" w:rsidRPr="00D570BE" w:rsidRDefault="00AC2131" w:rsidP="00AC2131">
                  <w:pPr>
                    <w:pStyle w:val="TableBodyText"/>
                    <w:spacing w:before="20" w:after="20"/>
                    <w:ind w:left="0" w:right="57"/>
                    <w:rPr>
                      <w:i/>
                    </w:rPr>
                  </w:pPr>
                  <w:r w:rsidRPr="00D570BE">
                    <w:rPr>
                      <w:i/>
                    </w:rPr>
                    <w:t>132.9</w:t>
                  </w:r>
                </w:p>
              </w:tc>
              <w:tc>
                <w:tcPr>
                  <w:tcW w:w="467" w:type="pct"/>
                  <w:shd w:val="clear" w:color="auto" w:fill="auto"/>
                  <w:vAlign w:val="bottom"/>
                </w:tcPr>
                <w:p w:rsidR="00AC2131" w:rsidRPr="00D570BE" w:rsidRDefault="00AC2131" w:rsidP="00AC2131">
                  <w:pPr>
                    <w:pStyle w:val="TableBodyText"/>
                    <w:spacing w:before="20" w:after="20"/>
                    <w:ind w:left="0" w:right="57"/>
                    <w:rPr>
                      <w:i/>
                    </w:rPr>
                  </w:pPr>
                  <w:r w:rsidRPr="00D570BE">
                    <w:rPr>
                      <w:i/>
                    </w:rPr>
                    <w:t>140.5</w:t>
                  </w:r>
                </w:p>
              </w:tc>
              <w:tc>
                <w:tcPr>
                  <w:tcW w:w="467" w:type="pct"/>
                  <w:vAlign w:val="bottom"/>
                </w:tcPr>
                <w:p w:rsidR="00AC2131" w:rsidRPr="00D570BE" w:rsidRDefault="00AC2131" w:rsidP="00AC2131">
                  <w:pPr>
                    <w:pStyle w:val="TableBodyText"/>
                    <w:spacing w:before="20" w:after="20"/>
                    <w:ind w:left="0" w:right="57"/>
                    <w:rPr>
                      <w:i/>
                    </w:rPr>
                  </w:pPr>
                  <w:r w:rsidRPr="00D570BE">
                    <w:rPr>
                      <w:i/>
                    </w:rPr>
                    <w:t>288.7</w:t>
                  </w:r>
                </w:p>
              </w:tc>
              <w:tc>
                <w:tcPr>
                  <w:tcW w:w="467" w:type="pct"/>
                  <w:shd w:val="clear" w:color="auto" w:fill="auto"/>
                  <w:vAlign w:val="bottom"/>
                </w:tcPr>
                <w:p w:rsidR="00AC2131" w:rsidRPr="00D570BE" w:rsidRDefault="00AC2131" w:rsidP="00AC2131">
                  <w:pPr>
                    <w:pStyle w:val="TableBodyText"/>
                    <w:spacing w:before="20" w:after="20"/>
                    <w:ind w:left="0" w:right="57"/>
                    <w:rPr>
                      <w:i/>
                    </w:rPr>
                  </w:pPr>
                  <w:r w:rsidRPr="00D570BE">
                    <w:rPr>
                      <w:i/>
                    </w:rPr>
                    <w:t>195.2</w:t>
                  </w:r>
                </w:p>
              </w:tc>
              <w:tc>
                <w:tcPr>
                  <w:tcW w:w="464" w:type="pct"/>
                  <w:shd w:val="clear" w:color="auto" w:fill="auto"/>
                  <w:vAlign w:val="bottom"/>
                </w:tcPr>
                <w:p w:rsidR="00AC2131" w:rsidRPr="00D570BE" w:rsidRDefault="00AC2131" w:rsidP="00AC2131">
                  <w:pPr>
                    <w:pStyle w:val="TableBodyText"/>
                    <w:spacing w:before="20" w:after="20"/>
                    <w:ind w:left="0" w:right="57"/>
                    <w:rPr>
                      <w:i/>
                    </w:rPr>
                  </w:pPr>
                  <w:r w:rsidRPr="00D570BE">
                    <w:rPr>
                      <w:i/>
                    </w:rPr>
                    <w:t>425.1</w:t>
                  </w:r>
                </w:p>
              </w:tc>
            </w:tr>
            <w:tr w:rsidR="00AC2131" w:rsidTr="00AC2131">
              <w:tc>
                <w:tcPr>
                  <w:tcW w:w="2201" w:type="pct"/>
                </w:tcPr>
                <w:p w:rsidR="00AC2131" w:rsidRPr="005237FE" w:rsidRDefault="00AC2131" w:rsidP="00AC2131">
                  <w:pPr>
                    <w:pStyle w:val="TableUnitsRow"/>
                    <w:jc w:val="left"/>
                    <w:rPr>
                      <w:b/>
                    </w:rPr>
                  </w:pPr>
                  <w:r w:rsidRPr="005237FE">
                    <w:rPr>
                      <w:b/>
                    </w:rPr>
                    <w:t>Motor vehicle</w:t>
                  </w:r>
                  <w:r>
                    <w:rPr>
                      <w:b/>
                    </w:rPr>
                    <w:t>s</w:t>
                  </w:r>
                  <w:r w:rsidRPr="005237FE">
                    <w:rPr>
                      <w:b/>
                    </w:rPr>
                    <w:t xml:space="preserve"> and parts</w:t>
                  </w: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4" w:type="pct"/>
                </w:tcPr>
                <w:p w:rsidR="00AC2131" w:rsidRDefault="00AC2131" w:rsidP="00AC2131">
                  <w:pPr>
                    <w:pStyle w:val="TableBodyText"/>
                    <w:spacing w:before="40"/>
                  </w:pPr>
                </w:p>
              </w:tc>
            </w:tr>
            <w:tr w:rsidR="00AC2131" w:rsidTr="00AC2131">
              <w:tc>
                <w:tcPr>
                  <w:tcW w:w="2201" w:type="pct"/>
                </w:tcPr>
                <w:p w:rsidR="00AC2131" w:rsidRPr="005237FE" w:rsidRDefault="00AC2131" w:rsidP="00AC2131">
                  <w:pPr>
                    <w:pStyle w:val="TableBodyText"/>
                    <w:spacing w:before="40" w:after="0"/>
                    <w:ind w:left="113"/>
                    <w:jc w:val="left"/>
                    <w:rPr>
                      <w:i/>
                    </w:rPr>
                  </w:pPr>
                  <w:r w:rsidRPr="005237FE">
                    <w:rPr>
                      <w:i/>
                    </w:rPr>
                    <w:t>Industry-specific measures</w:t>
                  </w: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4" w:type="pct"/>
                </w:tcPr>
                <w:p w:rsidR="00AC2131" w:rsidRDefault="00AC2131" w:rsidP="00AC2131">
                  <w:pPr>
                    <w:pStyle w:val="TableBodyText"/>
                  </w:pPr>
                </w:p>
              </w:tc>
            </w:tr>
            <w:tr w:rsidR="00AC2131" w:rsidTr="00AC2131">
              <w:tc>
                <w:tcPr>
                  <w:tcW w:w="2201" w:type="pct"/>
                  <w:vAlign w:val="bottom"/>
                </w:tcPr>
                <w:p w:rsidR="00AC2131" w:rsidRPr="005237FE" w:rsidRDefault="00AC2131" w:rsidP="00AC2131">
                  <w:pPr>
                    <w:ind w:left="227"/>
                    <w:rPr>
                      <w:rFonts w:ascii="Arial" w:hAnsi="Arial" w:cs="Arial"/>
                      <w:color w:val="000000"/>
                      <w:sz w:val="18"/>
                      <w:szCs w:val="18"/>
                    </w:rPr>
                  </w:pPr>
                  <w:r w:rsidRPr="005237FE">
                    <w:rPr>
                      <w:rFonts w:ascii="Arial" w:hAnsi="Arial" w:cs="Arial"/>
                      <w:color w:val="000000"/>
                      <w:sz w:val="18"/>
                      <w:szCs w:val="18"/>
                    </w:rPr>
                    <w:t xml:space="preserve">Automotive competitiveness and investment scheme </w:t>
                  </w:r>
                  <w:r>
                    <w:rPr>
                      <w:rFonts w:ascii="Arial" w:hAnsi="Arial" w:cs="Arial"/>
                      <w:color w:val="000000"/>
                      <w:sz w:val="18"/>
                      <w:szCs w:val="18"/>
                    </w:rPr>
                    <w:t>–</w:t>
                  </w:r>
                  <w:r w:rsidRPr="005237FE">
                    <w:rPr>
                      <w:rFonts w:ascii="Arial" w:hAnsi="Arial" w:cs="Arial"/>
                      <w:color w:val="000000"/>
                      <w:sz w:val="18"/>
                      <w:szCs w:val="18"/>
                    </w:rPr>
                    <w:t xml:space="preserve"> Stage 2</w:t>
                  </w:r>
                </w:p>
              </w:tc>
              <w:tc>
                <w:tcPr>
                  <w:tcW w:w="467" w:type="pct"/>
                  <w:vAlign w:val="bottom"/>
                </w:tcPr>
                <w:p w:rsidR="00AC2131" w:rsidRDefault="00AC2131" w:rsidP="00AC2131">
                  <w:pPr>
                    <w:pStyle w:val="TableBodyText"/>
                    <w:spacing w:after="0"/>
                    <w:ind w:left="0" w:right="57"/>
                  </w:pPr>
                  <w:r>
                    <w:t>479.1</w:t>
                  </w:r>
                </w:p>
              </w:tc>
              <w:tc>
                <w:tcPr>
                  <w:tcW w:w="467" w:type="pct"/>
                  <w:vAlign w:val="bottom"/>
                </w:tcPr>
                <w:p w:rsidR="00AC2131" w:rsidRDefault="00AC2131" w:rsidP="00AC2131">
                  <w:pPr>
                    <w:pStyle w:val="TableBodyText"/>
                    <w:spacing w:after="0"/>
                    <w:ind w:left="0" w:right="57"/>
                  </w:pPr>
                  <w:r>
                    <w:t>520.9</w:t>
                  </w:r>
                </w:p>
              </w:tc>
              <w:tc>
                <w:tcPr>
                  <w:tcW w:w="467" w:type="pct"/>
                  <w:vAlign w:val="bottom"/>
                </w:tcPr>
                <w:p w:rsidR="00AC2131" w:rsidRDefault="00AC2131" w:rsidP="00AC2131">
                  <w:pPr>
                    <w:pStyle w:val="TableBodyText"/>
                    <w:spacing w:after="0"/>
                    <w:ind w:left="0" w:right="57"/>
                  </w:pPr>
                  <w:r>
                    <w:t>282.7</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5237FE" w:rsidRDefault="00AC2131" w:rsidP="00AC2131">
                  <w:pPr>
                    <w:ind w:left="227"/>
                    <w:rPr>
                      <w:rFonts w:ascii="Arial" w:hAnsi="Arial" w:cs="Arial"/>
                      <w:color w:val="000000"/>
                      <w:sz w:val="18"/>
                      <w:szCs w:val="18"/>
                    </w:rPr>
                  </w:pPr>
                  <w:r w:rsidRPr="005237FE">
                    <w:rPr>
                      <w:rFonts w:ascii="Arial" w:hAnsi="Arial" w:cs="Arial"/>
                      <w:color w:val="000000"/>
                      <w:sz w:val="18"/>
                      <w:szCs w:val="18"/>
                    </w:rPr>
                    <w:t>Automotive Industry Structural Adjustment Program</w:t>
                  </w:r>
                </w:p>
              </w:tc>
              <w:tc>
                <w:tcPr>
                  <w:tcW w:w="467" w:type="pct"/>
                  <w:vAlign w:val="bottom"/>
                </w:tcPr>
                <w:p w:rsidR="00AC2131" w:rsidRDefault="00AC2131" w:rsidP="00AC2131">
                  <w:pPr>
                    <w:pStyle w:val="TableBodyText"/>
                    <w:spacing w:after="0"/>
                    <w:ind w:left="0" w:right="57"/>
                  </w:pPr>
                  <w:r>
                    <w:t>7.9</w:t>
                  </w:r>
                </w:p>
              </w:tc>
              <w:tc>
                <w:tcPr>
                  <w:tcW w:w="467" w:type="pct"/>
                  <w:vAlign w:val="bottom"/>
                </w:tcPr>
                <w:p w:rsidR="00AC2131" w:rsidRDefault="00AC2131" w:rsidP="00AC2131">
                  <w:pPr>
                    <w:pStyle w:val="TableBodyText"/>
                    <w:spacing w:after="0"/>
                    <w:ind w:left="0" w:right="57"/>
                  </w:pPr>
                  <w:r>
                    <w:t>18.1</w:t>
                  </w:r>
                </w:p>
              </w:tc>
              <w:tc>
                <w:tcPr>
                  <w:tcW w:w="467" w:type="pct"/>
                  <w:vAlign w:val="bottom"/>
                </w:tcPr>
                <w:p w:rsidR="00AC2131" w:rsidRDefault="00AC2131" w:rsidP="00AC2131">
                  <w:pPr>
                    <w:pStyle w:val="TableBodyText"/>
                    <w:spacing w:after="0"/>
                    <w:ind w:left="0" w:right="57"/>
                  </w:pPr>
                  <w:r>
                    <w:t>17.0</w:t>
                  </w:r>
                </w:p>
              </w:tc>
              <w:tc>
                <w:tcPr>
                  <w:tcW w:w="467" w:type="pct"/>
                  <w:shd w:val="clear" w:color="auto" w:fill="auto"/>
                  <w:vAlign w:val="bottom"/>
                </w:tcPr>
                <w:p w:rsidR="00AC2131" w:rsidRDefault="00AC2131" w:rsidP="00AC2131">
                  <w:pPr>
                    <w:pStyle w:val="TableBodyText"/>
                    <w:spacing w:after="0"/>
                    <w:ind w:left="0" w:right="57"/>
                  </w:pPr>
                  <w:r>
                    <w:t>16.8</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5237FE" w:rsidRDefault="00AC2131" w:rsidP="00AC2131">
                  <w:pPr>
                    <w:ind w:left="227"/>
                    <w:rPr>
                      <w:rFonts w:ascii="Arial" w:hAnsi="Arial" w:cs="Arial"/>
                      <w:color w:val="000000"/>
                      <w:sz w:val="18"/>
                      <w:szCs w:val="18"/>
                    </w:rPr>
                  </w:pPr>
                  <w:r w:rsidRPr="005237FE">
                    <w:rPr>
                      <w:rFonts w:ascii="Arial" w:hAnsi="Arial" w:cs="Arial"/>
                      <w:color w:val="000000"/>
                      <w:sz w:val="18"/>
                      <w:szCs w:val="18"/>
                    </w:rPr>
                    <w:t>Automotive Market Access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5237FE" w:rsidRDefault="00AC2131" w:rsidP="00AC2131">
                  <w:pPr>
                    <w:ind w:left="227"/>
                    <w:rPr>
                      <w:rFonts w:ascii="Arial" w:hAnsi="Arial" w:cs="Arial"/>
                      <w:color w:val="000000"/>
                      <w:sz w:val="18"/>
                      <w:szCs w:val="18"/>
                    </w:rPr>
                  </w:pPr>
                  <w:r w:rsidRPr="005237FE">
                    <w:rPr>
                      <w:rFonts w:ascii="Arial" w:hAnsi="Arial" w:cs="Arial"/>
                      <w:color w:val="000000"/>
                      <w:sz w:val="18"/>
                      <w:szCs w:val="18"/>
                    </w:rPr>
                    <w:t>Automotive New Markets Initiative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2.9</w:t>
                  </w:r>
                </w:p>
              </w:tc>
              <w:tc>
                <w:tcPr>
                  <w:tcW w:w="464" w:type="pct"/>
                  <w:shd w:val="clear" w:color="auto" w:fill="auto"/>
                  <w:vAlign w:val="bottom"/>
                </w:tcPr>
                <w:p w:rsidR="00AC2131" w:rsidRDefault="00AC2131" w:rsidP="00AC2131">
                  <w:pPr>
                    <w:pStyle w:val="TableBodyText"/>
                    <w:spacing w:after="0"/>
                    <w:ind w:left="0" w:right="57"/>
                  </w:pPr>
                  <w:r>
                    <w:t>6.3</w:t>
                  </w:r>
                </w:p>
              </w:tc>
            </w:tr>
            <w:tr w:rsidR="00AC2131" w:rsidTr="00AC2131">
              <w:tc>
                <w:tcPr>
                  <w:tcW w:w="2201" w:type="pct"/>
                  <w:vAlign w:val="bottom"/>
                </w:tcPr>
                <w:p w:rsidR="00AC2131" w:rsidRPr="005237FE" w:rsidRDefault="00AC2131" w:rsidP="00AC2131">
                  <w:pPr>
                    <w:ind w:left="227"/>
                    <w:rPr>
                      <w:rFonts w:ascii="Arial" w:hAnsi="Arial" w:cs="Arial"/>
                      <w:color w:val="000000"/>
                      <w:sz w:val="18"/>
                      <w:szCs w:val="18"/>
                    </w:rPr>
                  </w:pPr>
                  <w:r w:rsidRPr="005237FE">
                    <w:rPr>
                      <w:rFonts w:ascii="Arial" w:hAnsi="Arial" w:cs="Arial"/>
                      <w:color w:val="000000"/>
                      <w:sz w:val="18"/>
                      <w:szCs w:val="18"/>
                    </w:rPr>
                    <w:t>Automotive Supply Chain Development Program</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3.9</w:t>
                  </w:r>
                </w:p>
              </w:tc>
              <w:tc>
                <w:tcPr>
                  <w:tcW w:w="467" w:type="pct"/>
                  <w:vAlign w:val="bottom"/>
                </w:tcPr>
                <w:p w:rsidR="00AC2131" w:rsidRDefault="00AC2131" w:rsidP="00AC2131">
                  <w:pPr>
                    <w:pStyle w:val="TableBodyText"/>
                    <w:spacing w:after="0"/>
                    <w:ind w:left="0" w:right="57"/>
                  </w:pPr>
                  <w:r>
                    <w:t>5.8</w:t>
                  </w:r>
                </w:p>
              </w:tc>
              <w:tc>
                <w:tcPr>
                  <w:tcW w:w="467" w:type="pct"/>
                  <w:shd w:val="clear" w:color="auto" w:fill="auto"/>
                  <w:vAlign w:val="bottom"/>
                </w:tcPr>
                <w:p w:rsidR="00AC2131" w:rsidRDefault="00AC2131" w:rsidP="00AC2131">
                  <w:pPr>
                    <w:pStyle w:val="TableBodyText"/>
                    <w:spacing w:after="0"/>
                    <w:ind w:left="0" w:right="57"/>
                  </w:pPr>
                  <w:r>
                    <w:t>5.4</w:t>
                  </w:r>
                </w:p>
              </w:tc>
              <w:tc>
                <w:tcPr>
                  <w:tcW w:w="467" w:type="pct"/>
                  <w:shd w:val="clear" w:color="auto" w:fill="auto"/>
                  <w:vAlign w:val="bottom"/>
                </w:tcPr>
                <w:p w:rsidR="00AC2131" w:rsidRDefault="00AC2131" w:rsidP="00AC2131">
                  <w:pPr>
                    <w:pStyle w:val="TableBodyText"/>
                    <w:spacing w:after="0"/>
                    <w:ind w:left="0" w:right="57"/>
                  </w:pPr>
                  <w:r>
                    <w:t>4.4</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5237FE" w:rsidRDefault="00AC2131" w:rsidP="00AC2131">
                  <w:pPr>
                    <w:ind w:left="227"/>
                    <w:rPr>
                      <w:rFonts w:ascii="Arial" w:hAnsi="Arial" w:cs="Arial"/>
                      <w:color w:val="000000"/>
                      <w:sz w:val="18"/>
                      <w:szCs w:val="18"/>
                    </w:rPr>
                  </w:pPr>
                  <w:r w:rsidRPr="005237FE">
                    <w:rPr>
                      <w:rFonts w:ascii="Arial" w:hAnsi="Arial" w:cs="Arial"/>
                      <w:color w:val="000000"/>
                      <w:sz w:val="18"/>
                      <w:szCs w:val="18"/>
                    </w:rPr>
                    <w:t>Automotive Transformation Scheme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93.3</w:t>
                  </w:r>
                </w:p>
              </w:tc>
              <w:tc>
                <w:tcPr>
                  <w:tcW w:w="467" w:type="pct"/>
                  <w:shd w:val="clear" w:color="auto" w:fill="auto"/>
                  <w:vAlign w:val="bottom"/>
                </w:tcPr>
                <w:p w:rsidR="00AC2131" w:rsidRDefault="00AC2131" w:rsidP="00AC2131">
                  <w:pPr>
                    <w:pStyle w:val="TableBodyText"/>
                    <w:spacing w:after="0"/>
                    <w:ind w:left="0" w:right="57"/>
                  </w:pPr>
                  <w:r>
                    <w:t>381.0</w:t>
                  </w:r>
                </w:p>
              </w:tc>
              <w:tc>
                <w:tcPr>
                  <w:tcW w:w="467" w:type="pct"/>
                  <w:shd w:val="clear" w:color="auto" w:fill="auto"/>
                  <w:vAlign w:val="bottom"/>
                </w:tcPr>
                <w:p w:rsidR="00AC2131" w:rsidRDefault="00AC2131" w:rsidP="00AC2131">
                  <w:pPr>
                    <w:pStyle w:val="TableBodyText"/>
                    <w:spacing w:after="0"/>
                    <w:ind w:left="0" w:right="57"/>
                  </w:pPr>
                  <w:r>
                    <w:t>334.4</w:t>
                  </w:r>
                </w:p>
              </w:tc>
              <w:tc>
                <w:tcPr>
                  <w:tcW w:w="464" w:type="pct"/>
                  <w:shd w:val="clear" w:color="auto" w:fill="auto"/>
                  <w:vAlign w:val="bottom"/>
                </w:tcPr>
                <w:p w:rsidR="00AC2131" w:rsidRDefault="00AC2131" w:rsidP="00AC2131">
                  <w:pPr>
                    <w:pStyle w:val="TableBodyText"/>
                    <w:spacing w:after="0"/>
                    <w:ind w:left="0" w:right="57"/>
                  </w:pPr>
                  <w:r>
                    <w:t>332.8</w:t>
                  </w:r>
                </w:p>
              </w:tc>
            </w:tr>
            <w:tr w:rsidR="00AC2131" w:rsidTr="00AC2131">
              <w:tc>
                <w:tcPr>
                  <w:tcW w:w="2201" w:type="pct"/>
                  <w:vAlign w:val="bottom"/>
                </w:tcPr>
                <w:p w:rsidR="00AC2131" w:rsidRPr="005237FE" w:rsidRDefault="00AC2131" w:rsidP="00AC2131">
                  <w:pPr>
                    <w:ind w:left="227"/>
                    <w:rPr>
                      <w:rFonts w:ascii="Arial" w:hAnsi="Arial" w:cs="Arial"/>
                      <w:color w:val="000000"/>
                      <w:sz w:val="18"/>
                      <w:szCs w:val="18"/>
                    </w:rPr>
                  </w:pPr>
                  <w:r w:rsidRPr="005237FE">
                    <w:rPr>
                      <w:rFonts w:ascii="Arial" w:hAnsi="Arial" w:cs="Arial"/>
                      <w:color w:val="000000"/>
                      <w:sz w:val="18"/>
                      <w:szCs w:val="18"/>
                    </w:rPr>
                    <w:t>Ford Australia Assistance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34.0</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5237FE" w:rsidRDefault="00AC2131" w:rsidP="00AC2131">
                  <w:pPr>
                    <w:ind w:left="227"/>
                    <w:rPr>
                      <w:rFonts w:ascii="Arial" w:hAnsi="Arial" w:cs="Arial"/>
                      <w:color w:val="000000"/>
                      <w:sz w:val="18"/>
                      <w:szCs w:val="18"/>
                    </w:rPr>
                  </w:pPr>
                  <w:r w:rsidRPr="005237FE">
                    <w:rPr>
                      <w:rFonts w:ascii="Arial" w:hAnsi="Arial" w:cs="Arial"/>
                      <w:color w:val="000000"/>
                      <w:sz w:val="18"/>
                      <w:szCs w:val="18"/>
                    </w:rPr>
                    <w:t>Green Car Innovation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108.1</w:t>
                  </w:r>
                </w:p>
              </w:tc>
              <w:tc>
                <w:tcPr>
                  <w:tcW w:w="467" w:type="pct"/>
                  <w:vAlign w:val="bottom"/>
                </w:tcPr>
                <w:p w:rsidR="00AC2131" w:rsidRDefault="00AC2131" w:rsidP="00AC2131">
                  <w:pPr>
                    <w:pStyle w:val="TableBodyText"/>
                    <w:spacing w:after="0"/>
                    <w:ind w:left="0" w:right="57"/>
                  </w:pPr>
                  <w:r>
                    <w:t>63.0</w:t>
                  </w:r>
                </w:p>
              </w:tc>
              <w:tc>
                <w:tcPr>
                  <w:tcW w:w="467" w:type="pct"/>
                  <w:shd w:val="clear" w:color="auto" w:fill="auto"/>
                  <w:vAlign w:val="bottom"/>
                </w:tcPr>
                <w:p w:rsidR="00AC2131" w:rsidRDefault="00AC2131" w:rsidP="00AC2131">
                  <w:pPr>
                    <w:pStyle w:val="TableBodyText"/>
                    <w:spacing w:after="0"/>
                    <w:ind w:left="0" w:right="57"/>
                  </w:pPr>
                  <w:r>
                    <w:t>125.5</w:t>
                  </w:r>
                </w:p>
              </w:tc>
              <w:tc>
                <w:tcPr>
                  <w:tcW w:w="467" w:type="pct"/>
                  <w:shd w:val="clear" w:color="auto" w:fill="auto"/>
                  <w:vAlign w:val="bottom"/>
                </w:tcPr>
                <w:p w:rsidR="00AC2131" w:rsidRDefault="00AC2131" w:rsidP="00AC2131">
                  <w:pPr>
                    <w:pStyle w:val="TableBodyText"/>
                    <w:spacing w:after="0"/>
                    <w:ind w:left="0" w:right="57"/>
                  </w:pPr>
                  <w:r>
                    <w:t>47.4</w:t>
                  </w:r>
                </w:p>
              </w:tc>
              <w:tc>
                <w:tcPr>
                  <w:tcW w:w="464" w:type="pct"/>
                  <w:shd w:val="clear" w:color="auto" w:fill="auto"/>
                  <w:vAlign w:val="bottom"/>
                </w:tcPr>
                <w:p w:rsidR="00AC2131" w:rsidRDefault="00AC2131" w:rsidP="00AC2131">
                  <w:pPr>
                    <w:pStyle w:val="TableBodyText"/>
                    <w:spacing w:after="0"/>
                    <w:ind w:left="0" w:right="57"/>
                  </w:pPr>
                  <w:r>
                    <w:t>6.0</w:t>
                  </w:r>
                </w:p>
              </w:tc>
            </w:tr>
            <w:tr w:rsidR="00AC2131" w:rsidTr="00AC2131">
              <w:tc>
                <w:tcPr>
                  <w:tcW w:w="2201" w:type="pct"/>
                  <w:vAlign w:val="bottom"/>
                </w:tcPr>
                <w:p w:rsidR="00AC2131" w:rsidRPr="005237FE" w:rsidRDefault="00AC2131" w:rsidP="00AC2131">
                  <w:pPr>
                    <w:ind w:left="227"/>
                    <w:rPr>
                      <w:rFonts w:ascii="Arial" w:hAnsi="Arial" w:cs="Arial"/>
                      <w:color w:val="000000"/>
                      <w:sz w:val="18"/>
                      <w:szCs w:val="18"/>
                    </w:rPr>
                  </w:pPr>
                  <w:r w:rsidRPr="005237FE">
                    <w:rPr>
                      <w:rFonts w:ascii="Arial" w:hAnsi="Arial" w:cs="Arial"/>
                      <w:color w:val="000000"/>
                      <w:sz w:val="18"/>
                      <w:szCs w:val="18"/>
                    </w:rPr>
                    <w:t xml:space="preserve">Investment incentive for </w:t>
                  </w:r>
                  <w:r>
                    <w:rPr>
                      <w:rFonts w:ascii="Arial" w:hAnsi="Arial" w:cs="Arial"/>
                      <w:color w:val="000000"/>
                      <w:sz w:val="18"/>
                      <w:szCs w:val="18"/>
                    </w:rPr>
                    <w:t>H</w:t>
                  </w:r>
                  <w:r w:rsidRPr="005237FE">
                    <w:rPr>
                      <w:rFonts w:ascii="Arial" w:hAnsi="Arial" w:cs="Arial"/>
                      <w:color w:val="000000"/>
                      <w:sz w:val="18"/>
                      <w:szCs w:val="18"/>
                    </w:rPr>
                    <w:t>olden</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2.7</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tcPr>
                <w:p w:rsidR="00AC2131" w:rsidRPr="005237FE" w:rsidRDefault="00AC2131" w:rsidP="00AC2131">
                  <w:pPr>
                    <w:pStyle w:val="TableBodyText"/>
                    <w:spacing w:before="40" w:after="0"/>
                    <w:ind w:left="113"/>
                    <w:jc w:val="left"/>
                    <w:rPr>
                      <w:i/>
                    </w:rPr>
                  </w:pPr>
                  <w:r w:rsidRPr="005237FE">
                    <w:rPr>
                      <w:i/>
                    </w:rPr>
                    <w:t>Sector-specific measures</w:t>
                  </w:r>
                </w:p>
              </w:tc>
              <w:tc>
                <w:tcPr>
                  <w:tcW w:w="467" w:type="pct"/>
                </w:tcPr>
                <w:p w:rsidR="00AC2131" w:rsidRPr="00777A4D" w:rsidRDefault="00AC2131" w:rsidP="00AC2131">
                  <w:pPr>
                    <w:pStyle w:val="TableBodyText"/>
                  </w:pPr>
                </w:p>
              </w:tc>
              <w:tc>
                <w:tcPr>
                  <w:tcW w:w="467" w:type="pct"/>
                </w:tcPr>
                <w:p w:rsidR="00AC2131" w:rsidRPr="00777A4D" w:rsidRDefault="00AC2131" w:rsidP="00AC2131">
                  <w:pPr>
                    <w:pStyle w:val="TableBodyText"/>
                  </w:pPr>
                </w:p>
              </w:tc>
              <w:tc>
                <w:tcPr>
                  <w:tcW w:w="467" w:type="pct"/>
                </w:tcPr>
                <w:p w:rsidR="00AC2131" w:rsidRPr="00777A4D" w:rsidRDefault="00AC2131" w:rsidP="00AC2131">
                  <w:pPr>
                    <w:pStyle w:val="TableBodyText"/>
                  </w:pPr>
                </w:p>
              </w:tc>
              <w:tc>
                <w:tcPr>
                  <w:tcW w:w="467" w:type="pct"/>
                  <w:shd w:val="clear" w:color="auto" w:fill="auto"/>
                </w:tcPr>
                <w:p w:rsidR="00AC2131" w:rsidRPr="00777A4D" w:rsidRDefault="00AC2131" w:rsidP="00AC2131">
                  <w:pPr>
                    <w:pStyle w:val="TableBodyText"/>
                  </w:pPr>
                </w:p>
              </w:tc>
              <w:tc>
                <w:tcPr>
                  <w:tcW w:w="467" w:type="pct"/>
                  <w:shd w:val="clear" w:color="auto" w:fill="auto"/>
                </w:tcPr>
                <w:p w:rsidR="00AC2131" w:rsidRPr="00777A4D" w:rsidRDefault="00AC2131" w:rsidP="00AC2131">
                  <w:pPr>
                    <w:pStyle w:val="TableBodyText"/>
                  </w:pPr>
                </w:p>
              </w:tc>
              <w:tc>
                <w:tcPr>
                  <w:tcW w:w="464" w:type="pct"/>
                  <w:shd w:val="clear" w:color="auto" w:fill="auto"/>
                </w:tcPr>
                <w:p w:rsidR="00AC2131" w:rsidRPr="00777A4D" w:rsidRDefault="00AC2131" w:rsidP="00AC2131">
                  <w:pPr>
                    <w:pStyle w:val="TableBodyText"/>
                  </w:pPr>
                </w:p>
              </w:tc>
            </w:tr>
            <w:tr w:rsidR="00AC2131" w:rsidTr="00AC2131">
              <w:tc>
                <w:tcPr>
                  <w:tcW w:w="2201" w:type="pct"/>
                </w:tcPr>
                <w:p w:rsidR="00AC2131" w:rsidRDefault="00AC2131" w:rsidP="00AC2131">
                  <w:pPr>
                    <w:pStyle w:val="TableBodyText"/>
                    <w:spacing w:after="0"/>
                    <w:ind w:left="227" w:right="0"/>
                    <w:jc w:val="left"/>
                  </w:pPr>
                  <w:r w:rsidRPr="005237FE">
                    <w:t xml:space="preserve">Clean Technology Investment </w:t>
                  </w:r>
                  <w:r>
                    <w:t>–</w:t>
                  </w:r>
                  <w:r w:rsidRPr="005237FE">
                    <w:t xml:space="preserve"> General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0.8</w:t>
                  </w:r>
                </w:p>
              </w:tc>
              <w:tc>
                <w:tcPr>
                  <w:tcW w:w="464" w:type="pct"/>
                  <w:shd w:val="clear" w:color="auto" w:fill="auto"/>
                  <w:vAlign w:val="bottom"/>
                </w:tcPr>
                <w:p w:rsidR="00AC2131" w:rsidRDefault="00AC2131" w:rsidP="00AC2131">
                  <w:pPr>
                    <w:pStyle w:val="TableBodyText"/>
                    <w:spacing w:after="0"/>
                    <w:ind w:left="0" w:right="57"/>
                  </w:pPr>
                  <w:r>
                    <w:t>1.8</w:t>
                  </w:r>
                </w:p>
              </w:tc>
            </w:tr>
            <w:tr w:rsidR="00AC2131" w:rsidTr="00AC2131">
              <w:tc>
                <w:tcPr>
                  <w:tcW w:w="2201" w:type="pct"/>
                </w:tcPr>
                <w:p w:rsidR="00AC2131" w:rsidRPr="006A6199" w:rsidRDefault="00AC2131" w:rsidP="00AC2131">
                  <w:pPr>
                    <w:pStyle w:val="TableBodyText"/>
                    <w:spacing w:before="40" w:after="0"/>
                    <w:ind w:left="113"/>
                    <w:jc w:val="left"/>
                    <w:rPr>
                      <w:i/>
                    </w:rPr>
                  </w:pPr>
                  <w:r w:rsidRPr="006A6199">
                    <w:rPr>
                      <w:i/>
                    </w:rPr>
                    <w:t>General export measures</w:t>
                  </w:r>
                </w:p>
              </w:tc>
              <w:tc>
                <w:tcPr>
                  <w:tcW w:w="467" w:type="pct"/>
                </w:tcPr>
                <w:p w:rsidR="00AC2131" w:rsidRPr="00777A4D" w:rsidRDefault="00AC2131" w:rsidP="00AC2131">
                  <w:pPr>
                    <w:pStyle w:val="TableBodyText"/>
                  </w:pPr>
                </w:p>
              </w:tc>
              <w:tc>
                <w:tcPr>
                  <w:tcW w:w="467" w:type="pct"/>
                </w:tcPr>
                <w:p w:rsidR="00AC2131" w:rsidRPr="00777A4D" w:rsidRDefault="00AC2131" w:rsidP="00AC2131">
                  <w:pPr>
                    <w:pStyle w:val="TableBodyText"/>
                  </w:pPr>
                </w:p>
              </w:tc>
              <w:tc>
                <w:tcPr>
                  <w:tcW w:w="467" w:type="pct"/>
                </w:tcPr>
                <w:p w:rsidR="00AC2131" w:rsidRPr="00777A4D" w:rsidRDefault="00AC2131" w:rsidP="00AC2131">
                  <w:pPr>
                    <w:pStyle w:val="TableBodyText"/>
                  </w:pPr>
                </w:p>
              </w:tc>
              <w:tc>
                <w:tcPr>
                  <w:tcW w:w="467" w:type="pct"/>
                  <w:shd w:val="clear" w:color="auto" w:fill="auto"/>
                </w:tcPr>
                <w:p w:rsidR="00AC2131" w:rsidRPr="00777A4D" w:rsidRDefault="00AC2131" w:rsidP="00AC2131">
                  <w:pPr>
                    <w:pStyle w:val="TableBodyText"/>
                  </w:pPr>
                </w:p>
              </w:tc>
              <w:tc>
                <w:tcPr>
                  <w:tcW w:w="467" w:type="pct"/>
                  <w:shd w:val="clear" w:color="auto" w:fill="auto"/>
                </w:tcPr>
                <w:p w:rsidR="00AC2131" w:rsidRPr="00777A4D" w:rsidRDefault="00AC2131" w:rsidP="00AC2131">
                  <w:pPr>
                    <w:pStyle w:val="TableBodyText"/>
                  </w:pPr>
                </w:p>
              </w:tc>
              <w:tc>
                <w:tcPr>
                  <w:tcW w:w="464" w:type="pct"/>
                  <w:shd w:val="clear" w:color="auto" w:fill="auto"/>
                </w:tcPr>
                <w:p w:rsidR="00AC2131" w:rsidRPr="00777A4D" w:rsidRDefault="00AC2131" w:rsidP="00AC2131">
                  <w:pPr>
                    <w:pStyle w:val="TableBodyText"/>
                  </w:pP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1.3</w:t>
                  </w:r>
                </w:p>
              </w:tc>
              <w:tc>
                <w:tcPr>
                  <w:tcW w:w="467" w:type="pct"/>
                  <w:shd w:val="clear" w:color="auto" w:fill="auto"/>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1.0</w:t>
                  </w:r>
                </w:p>
              </w:tc>
              <w:tc>
                <w:tcPr>
                  <w:tcW w:w="464" w:type="pct"/>
                  <w:shd w:val="clear" w:color="auto" w:fill="auto"/>
                  <w:vAlign w:val="bottom"/>
                </w:tcPr>
                <w:p w:rsidR="00AC2131" w:rsidRDefault="00AC2131" w:rsidP="00AC2131">
                  <w:pPr>
                    <w:pStyle w:val="TableBodyText"/>
                    <w:spacing w:after="0"/>
                    <w:ind w:left="0" w:right="57"/>
                  </w:pPr>
                  <w:r>
                    <w:t>0.9</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TRADEX</w:t>
                  </w:r>
                </w:p>
              </w:tc>
              <w:tc>
                <w:tcPr>
                  <w:tcW w:w="467" w:type="pct"/>
                  <w:vAlign w:val="bottom"/>
                </w:tcPr>
                <w:p w:rsidR="00AC2131" w:rsidRDefault="00AC2131" w:rsidP="00AC2131">
                  <w:pPr>
                    <w:pStyle w:val="TableBodyText"/>
                    <w:spacing w:after="0"/>
                    <w:ind w:left="0" w:right="57"/>
                  </w:pPr>
                  <w:r>
                    <w:t>39.7</w:t>
                  </w:r>
                </w:p>
              </w:tc>
              <w:tc>
                <w:tcPr>
                  <w:tcW w:w="467" w:type="pct"/>
                  <w:vAlign w:val="bottom"/>
                </w:tcPr>
                <w:p w:rsidR="00AC2131" w:rsidRDefault="00AC2131" w:rsidP="00AC2131">
                  <w:pPr>
                    <w:pStyle w:val="TableBodyText"/>
                    <w:spacing w:after="0"/>
                    <w:ind w:left="0" w:right="57"/>
                  </w:pPr>
                  <w:r>
                    <w:t>35.7</w:t>
                  </w:r>
                </w:p>
              </w:tc>
              <w:tc>
                <w:tcPr>
                  <w:tcW w:w="467" w:type="pct"/>
                  <w:vAlign w:val="bottom"/>
                </w:tcPr>
                <w:p w:rsidR="00AC2131" w:rsidRDefault="00AC2131" w:rsidP="00AC2131">
                  <w:pPr>
                    <w:pStyle w:val="TableBodyText"/>
                    <w:spacing w:after="0"/>
                    <w:ind w:left="0" w:right="57"/>
                  </w:pPr>
                  <w:r>
                    <w:t>22.9</w:t>
                  </w:r>
                </w:p>
              </w:tc>
              <w:tc>
                <w:tcPr>
                  <w:tcW w:w="467" w:type="pct"/>
                  <w:shd w:val="clear" w:color="auto" w:fill="auto"/>
                  <w:vAlign w:val="bottom"/>
                </w:tcPr>
                <w:p w:rsidR="00AC2131" w:rsidRDefault="00AC2131" w:rsidP="00AC2131">
                  <w:pPr>
                    <w:pStyle w:val="TableBodyText"/>
                    <w:spacing w:after="0"/>
                    <w:ind w:left="0" w:right="57"/>
                  </w:pPr>
                  <w:r>
                    <w:t>24.4</w:t>
                  </w:r>
                </w:p>
              </w:tc>
              <w:tc>
                <w:tcPr>
                  <w:tcW w:w="467" w:type="pct"/>
                  <w:shd w:val="clear" w:color="auto" w:fill="auto"/>
                  <w:vAlign w:val="bottom"/>
                </w:tcPr>
                <w:p w:rsidR="00AC2131" w:rsidRDefault="00AC2131" w:rsidP="00AC2131">
                  <w:pPr>
                    <w:pStyle w:val="TableBodyText"/>
                    <w:spacing w:after="0"/>
                    <w:ind w:left="0" w:right="57"/>
                  </w:pPr>
                  <w:r>
                    <w:t>25.6</w:t>
                  </w:r>
                </w:p>
              </w:tc>
              <w:tc>
                <w:tcPr>
                  <w:tcW w:w="464" w:type="pct"/>
                  <w:shd w:val="clear" w:color="auto" w:fill="auto"/>
                  <w:vAlign w:val="bottom"/>
                </w:tcPr>
                <w:p w:rsidR="00AC2131" w:rsidRDefault="00AC2131" w:rsidP="00AC2131">
                  <w:pPr>
                    <w:pStyle w:val="TableBodyText"/>
                    <w:spacing w:after="0"/>
                    <w:ind w:left="0" w:right="57"/>
                  </w:pPr>
                  <w:r>
                    <w:t>25.4</w:t>
                  </w:r>
                </w:p>
              </w:tc>
            </w:tr>
            <w:tr w:rsidR="00AC2131" w:rsidTr="00AC2131">
              <w:tc>
                <w:tcPr>
                  <w:tcW w:w="2201" w:type="pct"/>
                </w:tcPr>
                <w:p w:rsidR="00AC2131" w:rsidRPr="006A6199" w:rsidRDefault="00AC2131" w:rsidP="00AC2131">
                  <w:pPr>
                    <w:pStyle w:val="TableBodyText"/>
                    <w:spacing w:before="40" w:after="0"/>
                    <w:ind w:left="113"/>
                    <w:jc w:val="left"/>
                    <w:rPr>
                      <w:i/>
                    </w:rPr>
                  </w:pPr>
                  <w:r w:rsidRPr="006A6199">
                    <w:rPr>
                      <w:i/>
                    </w:rPr>
                    <w:t>General R&amp;D measures</w:t>
                  </w:r>
                </w:p>
              </w:tc>
              <w:tc>
                <w:tcPr>
                  <w:tcW w:w="467" w:type="pct"/>
                </w:tcPr>
                <w:p w:rsidR="00AC2131" w:rsidRPr="00777A4D" w:rsidRDefault="00AC2131" w:rsidP="00AC2131">
                  <w:pPr>
                    <w:pStyle w:val="TableBodyText"/>
                  </w:pPr>
                </w:p>
              </w:tc>
              <w:tc>
                <w:tcPr>
                  <w:tcW w:w="467" w:type="pct"/>
                </w:tcPr>
                <w:p w:rsidR="00AC2131" w:rsidRPr="00777A4D" w:rsidRDefault="00AC2131" w:rsidP="00AC2131">
                  <w:pPr>
                    <w:pStyle w:val="TableBodyText"/>
                  </w:pPr>
                </w:p>
              </w:tc>
              <w:tc>
                <w:tcPr>
                  <w:tcW w:w="467" w:type="pct"/>
                </w:tcPr>
                <w:p w:rsidR="00AC2131" w:rsidRPr="00777A4D" w:rsidRDefault="00AC2131" w:rsidP="00AC2131">
                  <w:pPr>
                    <w:pStyle w:val="TableBodyText"/>
                  </w:pPr>
                </w:p>
              </w:tc>
              <w:tc>
                <w:tcPr>
                  <w:tcW w:w="467" w:type="pct"/>
                  <w:shd w:val="clear" w:color="auto" w:fill="auto"/>
                </w:tcPr>
                <w:p w:rsidR="00AC2131" w:rsidRPr="00777A4D" w:rsidRDefault="00AC2131" w:rsidP="00AC2131">
                  <w:pPr>
                    <w:pStyle w:val="TableBodyText"/>
                  </w:pPr>
                </w:p>
              </w:tc>
              <w:tc>
                <w:tcPr>
                  <w:tcW w:w="467" w:type="pct"/>
                  <w:shd w:val="clear" w:color="auto" w:fill="auto"/>
                </w:tcPr>
                <w:p w:rsidR="00AC2131" w:rsidRPr="00777A4D" w:rsidRDefault="00AC2131" w:rsidP="00AC2131">
                  <w:pPr>
                    <w:pStyle w:val="TableBodyText"/>
                  </w:pPr>
                </w:p>
              </w:tc>
              <w:tc>
                <w:tcPr>
                  <w:tcW w:w="464" w:type="pct"/>
                  <w:shd w:val="clear" w:color="auto" w:fill="auto"/>
                </w:tcPr>
                <w:p w:rsidR="00AC2131" w:rsidRPr="00777A4D" w:rsidRDefault="00AC2131" w:rsidP="00AC2131">
                  <w:pPr>
                    <w:pStyle w:val="TableBodyText"/>
                  </w:pP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 xml:space="preserve">Clean Business Australia </w:t>
                  </w:r>
                  <w:r>
                    <w:rPr>
                      <w:rFonts w:ascii="Arial" w:hAnsi="Arial" w:cs="Arial"/>
                      <w:color w:val="000000"/>
                      <w:sz w:val="18"/>
                      <w:szCs w:val="18"/>
                    </w:rPr>
                    <w:t>–</w:t>
                  </w:r>
                  <w:r w:rsidRPr="006A6199">
                    <w:rPr>
                      <w:rFonts w:ascii="Arial" w:hAnsi="Arial" w:cs="Arial"/>
                      <w:color w:val="000000"/>
                      <w:sz w:val="18"/>
                      <w:szCs w:val="18"/>
                    </w:rPr>
                    <w:t xml:space="preserve"> Climate Ready Program</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Commercial Ready Program</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1.2</w:t>
                  </w:r>
                </w:p>
              </w:tc>
              <w:tc>
                <w:tcPr>
                  <w:tcW w:w="467" w:type="pct"/>
                  <w:shd w:val="clear" w:color="auto" w:fill="auto"/>
                  <w:vAlign w:val="bottom"/>
                </w:tcPr>
                <w:p w:rsidR="00AC2131" w:rsidRDefault="00AC2131" w:rsidP="00AC2131">
                  <w:pPr>
                    <w:pStyle w:val="TableBodyText"/>
                    <w:spacing w:after="0"/>
                    <w:ind w:left="0" w:right="57"/>
                  </w:pPr>
                  <w:r>
                    <w:t>0.8</w:t>
                  </w:r>
                </w:p>
              </w:tc>
              <w:tc>
                <w:tcPr>
                  <w:tcW w:w="464" w:type="pct"/>
                  <w:shd w:val="clear" w:color="auto" w:fill="auto"/>
                  <w:vAlign w:val="bottom"/>
                </w:tcPr>
                <w:p w:rsidR="00AC2131" w:rsidRDefault="00AC2131" w:rsidP="00AC2131">
                  <w:pPr>
                    <w:pStyle w:val="TableBodyText"/>
                    <w:spacing w:after="0"/>
                    <w:ind w:left="0" w:right="57"/>
                  </w:pPr>
                  <w:r>
                    <w:t>0.1</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Cooperative Research Centres</w:t>
                  </w:r>
                </w:p>
              </w:tc>
              <w:tc>
                <w:tcPr>
                  <w:tcW w:w="467" w:type="pct"/>
                  <w:vAlign w:val="bottom"/>
                </w:tcPr>
                <w:p w:rsidR="00AC2131" w:rsidRDefault="00AC2131" w:rsidP="00AC2131">
                  <w:pPr>
                    <w:pStyle w:val="TableBodyText"/>
                    <w:spacing w:after="0"/>
                    <w:ind w:left="0" w:right="57"/>
                  </w:pPr>
                  <w:r>
                    <w:t>6.1</w:t>
                  </w:r>
                </w:p>
              </w:tc>
              <w:tc>
                <w:tcPr>
                  <w:tcW w:w="467" w:type="pct"/>
                  <w:vAlign w:val="bottom"/>
                </w:tcPr>
                <w:p w:rsidR="00AC2131" w:rsidRDefault="00AC2131" w:rsidP="00AC2131">
                  <w:pPr>
                    <w:pStyle w:val="TableBodyText"/>
                    <w:spacing w:after="0"/>
                    <w:ind w:left="0" w:right="57"/>
                  </w:pPr>
                  <w:r>
                    <w:t>6.1</w:t>
                  </w:r>
                </w:p>
              </w:tc>
              <w:tc>
                <w:tcPr>
                  <w:tcW w:w="467" w:type="pct"/>
                  <w:vAlign w:val="bottom"/>
                </w:tcPr>
                <w:p w:rsidR="00AC2131" w:rsidRDefault="00AC2131" w:rsidP="00AC2131">
                  <w:pPr>
                    <w:pStyle w:val="TableBodyText"/>
                    <w:spacing w:after="0"/>
                    <w:ind w:left="0" w:right="57"/>
                  </w:pPr>
                  <w:r>
                    <w:t>5.5</w:t>
                  </w:r>
                </w:p>
              </w:tc>
              <w:tc>
                <w:tcPr>
                  <w:tcW w:w="467" w:type="pct"/>
                  <w:shd w:val="clear" w:color="auto" w:fill="auto"/>
                  <w:vAlign w:val="bottom"/>
                </w:tcPr>
                <w:p w:rsidR="00AC2131" w:rsidRDefault="00AC2131" w:rsidP="00AC2131">
                  <w:pPr>
                    <w:pStyle w:val="TableBodyText"/>
                    <w:spacing w:after="0"/>
                    <w:ind w:left="0" w:right="57"/>
                  </w:pPr>
                  <w:r>
                    <w:t>5.0</w:t>
                  </w:r>
                </w:p>
              </w:tc>
              <w:tc>
                <w:tcPr>
                  <w:tcW w:w="467" w:type="pct"/>
                  <w:shd w:val="clear" w:color="auto" w:fill="auto"/>
                  <w:vAlign w:val="bottom"/>
                </w:tcPr>
                <w:p w:rsidR="00AC2131" w:rsidRDefault="00AC2131" w:rsidP="00AC2131">
                  <w:pPr>
                    <w:pStyle w:val="TableBodyText"/>
                    <w:spacing w:after="0"/>
                    <w:ind w:left="0" w:right="57"/>
                  </w:pPr>
                  <w:r>
                    <w:t>10.7</w:t>
                  </w:r>
                </w:p>
              </w:tc>
              <w:tc>
                <w:tcPr>
                  <w:tcW w:w="464" w:type="pct"/>
                  <w:shd w:val="clear" w:color="auto" w:fill="auto"/>
                  <w:vAlign w:val="bottom"/>
                </w:tcPr>
                <w:p w:rsidR="00AC2131" w:rsidRDefault="00AC2131" w:rsidP="00AC2131">
                  <w:pPr>
                    <w:pStyle w:val="TableBodyText"/>
                    <w:spacing w:after="0"/>
                    <w:ind w:left="0" w:right="57"/>
                  </w:pPr>
                  <w:r>
                    <w:t>1.1</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0.6</w:t>
                  </w:r>
                </w:p>
              </w:tc>
              <w:tc>
                <w:tcPr>
                  <w:tcW w:w="467" w:type="pct"/>
                  <w:shd w:val="clear" w:color="auto" w:fill="auto"/>
                  <w:vAlign w:val="bottom"/>
                </w:tcPr>
                <w:p w:rsidR="00AC2131" w:rsidRDefault="00AC2131" w:rsidP="00AC2131">
                  <w:pPr>
                    <w:pStyle w:val="TableBodyText"/>
                    <w:spacing w:after="0"/>
                    <w:ind w:left="0" w:right="57"/>
                  </w:pPr>
                  <w:r>
                    <w:t>4.4</w:t>
                  </w:r>
                </w:p>
              </w:tc>
              <w:tc>
                <w:tcPr>
                  <w:tcW w:w="467" w:type="pct"/>
                  <w:shd w:val="clear" w:color="auto" w:fill="auto"/>
                  <w:vAlign w:val="bottom"/>
                </w:tcPr>
                <w:p w:rsidR="00AC2131" w:rsidRDefault="00AC2131" w:rsidP="00AC2131">
                  <w:pPr>
                    <w:pStyle w:val="TableBodyText"/>
                    <w:spacing w:after="0"/>
                    <w:ind w:left="0" w:right="57"/>
                  </w:pPr>
                  <w:r>
                    <w:t>2.2</w:t>
                  </w:r>
                </w:p>
              </w:tc>
              <w:tc>
                <w:tcPr>
                  <w:tcW w:w="464" w:type="pct"/>
                  <w:shd w:val="clear" w:color="auto" w:fill="auto"/>
                  <w:vAlign w:val="bottom"/>
                </w:tcPr>
                <w:p w:rsidR="00AC2131" w:rsidRDefault="00AC2131" w:rsidP="00AC2131">
                  <w:pPr>
                    <w:pStyle w:val="TableBodyText"/>
                    <w:spacing w:after="0"/>
                    <w:ind w:left="0" w:right="57"/>
                  </w:pPr>
                  <w:r>
                    <w:t>1.8</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4.7</w:t>
                  </w:r>
                </w:p>
              </w:tc>
              <w:tc>
                <w:tcPr>
                  <w:tcW w:w="467" w:type="pct"/>
                  <w:vAlign w:val="bottom"/>
                </w:tcPr>
                <w:p w:rsidR="00AC2131" w:rsidRDefault="00AC2131" w:rsidP="00AC2131">
                  <w:pPr>
                    <w:pStyle w:val="TableBodyText"/>
                    <w:spacing w:after="0"/>
                    <w:ind w:left="0" w:right="57"/>
                  </w:pPr>
                  <w:r>
                    <w:t>4.0</w:t>
                  </w:r>
                </w:p>
              </w:tc>
              <w:tc>
                <w:tcPr>
                  <w:tcW w:w="467" w:type="pct"/>
                  <w:shd w:val="clear" w:color="auto" w:fill="auto"/>
                  <w:vAlign w:val="bottom"/>
                </w:tcPr>
                <w:p w:rsidR="00AC2131" w:rsidRDefault="00AC2131" w:rsidP="00AC2131">
                  <w:pPr>
                    <w:pStyle w:val="TableBodyText"/>
                    <w:spacing w:after="0"/>
                    <w:ind w:left="0" w:right="57"/>
                  </w:pPr>
                  <w:r>
                    <w:t>3.7</w:t>
                  </w:r>
                </w:p>
              </w:tc>
              <w:tc>
                <w:tcPr>
                  <w:tcW w:w="467" w:type="pct"/>
                  <w:shd w:val="clear" w:color="auto" w:fill="auto"/>
                  <w:vAlign w:val="bottom"/>
                </w:tcPr>
                <w:p w:rsidR="00AC2131" w:rsidRDefault="00AC2131" w:rsidP="00AC2131">
                  <w:pPr>
                    <w:pStyle w:val="TableBodyText"/>
                    <w:spacing w:after="0"/>
                    <w:ind w:left="0" w:right="57"/>
                  </w:pPr>
                  <w:r>
                    <w:t>1.0</w:t>
                  </w:r>
                </w:p>
              </w:tc>
              <w:tc>
                <w:tcPr>
                  <w:tcW w:w="464" w:type="pct"/>
                  <w:shd w:val="clear" w:color="auto" w:fill="auto"/>
                  <w:vAlign w:val="bottom"/>
                </w:tcPr>
                <w:p w:rsidR="00AC2131" w:rsidRDefault="00AC2131" w:rsidP="00AC2131">
                  <w:pPr>
                    <w:pStyle w:val="TableBodyText"/>
                    <w:spacing w:after="0"/>
                    <w:ind w:left="0" w:right="57"/>
                  </w:pPr>
                  <w:r>
                    <w:t>0.4</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Pr>
                      <w:rFonts w:ascii="Arial" w:hAnsi="Arial" w:cs="Arial"/>
                      <w:color w:val="000000"/>
                      <w:sz w:val="18"/>
                      <w:szCs w:val="18"/>
                    </w:rPr>
                    <w:t>Pre-seed fund</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R&amp;D Start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tcBorders>
                    <w:bottom w:val="single" w:sz="6" w:space="0" w:color="BFBFBF"/>
                  </w:tcBorders>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R&amp;D tax concession</w:t>
                  </w:r>
                </w:p>
              </w:tc>
              <w:tc>
                <w:tcPr>
                  <w:tcW w:w="467" w:type="pct"/>
                  <w:tcBorders>
                    <w:bottom w:val="single" w:sz="6" w:space="0" w:color="BFBFBF"/>
                  </w:tcBorders>
                  <w:vAlign w:val="bottom"/>
                </w:tcPr>
                <w:p w:rsidR="00AC2131" w:rsidRDefault="00AC2131" w:rsidP="00AC2131">
                  <w:pPr>
                    <w:pStyle w:val="TableBodyText"/>
                    <w:spacing w:after="0"/>
                    <w:ind w:left="0" w:right="57"/>
                  </w:pPr>
                  <w:r>
                    <w:t>11.1</w:t>
                  </w:r>
                </w:p>
              </w:tc>
              <w:tc>
                <w:tcPr>
                  <w:tcW w:w="467" w:type="pct"/>
                  <w:tcBorders>
                    <w:bottom w:val="single" w:sz="6" w:space="0" w:color="BFBFBF"/>
                  </w:tcBorders>
                  <w:vAlign w:val="bottom"/>
                </w:tcPr>
                <w:p w:rsidR="00AC2131" w:rsidRDefault="00AC2131" w:rsidP="00AC2131">
                  <w:pPr>
                    <w:pStyle w:val="TableBodyText"/>
                    <w:spacing w:after="0"/>
                    <w:ind w:left="0" w:right="57"/>
                  </w:pPr>
                  <w:r>
                    <w:t>13.6</w:t>
                  </w:r>
                </w:p>
              </w:tc>
              <w:tc>
                <w:tcPr>
                  <w:tcW w:w="467" w:type="pct"/>
                  <w:tcBorders>
                    <w:bottom w:val="single" w:sz="6" w:space="0" w:color="BFBFBF"/>
                  </w:tcBorders>
                  <w:vAlign w:val="bottom"/>
                </w:tcPr>
                <w:p w:rsidR="00AC2131" w:rsidRDefault="00AC2131" w:rsidP="00AC2131">
                  <w:pPr>
                    <w:pStyle w:val="TableBodyText"/>
                    <w:spacing w:after="0"/>
                    <w:ind w:left="0" w:right="57"/>
                  </w:pPr>
                  <w:r>
                    <w:t>13.6</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15.5</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6.9</w:t>
                  </w:r>
                </w:p>
              </w:tc>
              <w:tc>
                <w:tcPr>
                  <w:tcW w:w="464" w:type="pct"/>
                  <w:tcBorders>
                    <w:bottom w:val="single" w:sz="6" w:space="0" w:color="BFBFBF"/>
                  </w:tcBorders>
                  <w:shd w:val="clear" w:color="auto" w:fill="auto"/>
                  <w:vAlign w:val="bottom"/>
                </w:tcPr>
                <w:p w:rsidR="00AC2131" w:rsidRDefault="00AC2131" w:rsidP="00AC2131">
                  <w:pPr>
                    <w:pStyle w:val="TableBodyText"/>
                    <w:spacing w:after="0"/>
                    <w:ind w:left="0" w:right="57"/>
                  </w:pPr>
                  <w:r>
                    <w:t>2.3</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left="6499"/>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rPr>
              <w:t>(continued)</w:t>
            </w:r>
          </w:p>
        </w:tc>
      </w:tr>
      <w:tr w:rsidR="00AC2131" w:rsidTr="00AC2131">
        <w:trPr>
          <w:cantSplit/>
        </w:trPr>
        <w:tc>
          <w:tcPr>
            <w:tcW w:w="8767" w:type="dxa"/>
            <w:tcBorders>
              <w:top w:val="nil"/>
              <w:left w:val="nil"/>
              <w:bottom w:val="nil"/>
              <w:right w:val="nil"/>
            </w:tcBorders>
            <w:shd w:val="clear" w:color="auto" w:fill="auto"/>
          </w:tcPr>
          <w:tbl>
            <w:tblPr>
              <w:tblW w:w="8504" w:type="dxa"/>
              <w:tblLayout w:type="fixed"/>
              <w:tblCellMar>
                <w:top w:w="28" w:type="dxa"/>
                <w:left w:w="0" w:type="dxa"/>
                <w:right w:w="0" w:type="dxa"/>
              </w:tblCellMar>
              <w:tblLook w:val="0000" w:firstRow="0" w:lastRow="0" w:firstColumn="0" w:lastColumn="0" w:noHBand="0" w:noVBand="0"/>
            </w:tblPr>
            <w:tblGrid>
              <w:gridCol w:w="3744"/>
              <w:gridCol w:w="795"/>
              <w:gridCol w:w="794"/>
              <w:gridCol w:w="794"/>
              <w:gridCol w:w="794"/>
              <w:gridCol w:w="794"/>
              <w:gridCol w:w="789"/>
            </w:tblGrid>
            <w:tr w:rsidR="00AC2131" w:rsidTr="00AC2131">
              <w:tc>
                <w:tcPr>
                  <w:tcW w:w="2201" w:type="pct"/>
                  <w:tcBorders>
                    <w:top w:val="single" w:sz="6" w:space="0" w:color="BFBFBF"/>
                    <w:bottom w:val="single" w:sz="6" w:space="0" w:color="BFBFBF"/>
                  </w:tcBorders>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4"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1" w:type="pct"/>
                </w:tcPr>
                <w:p w:rsidR="00AC2131" w:rsidRPr="006A6199" w:rsidRDefault="00AC2131" w:rsidP="00AC2131">
                  <w:pPr>
                    <w:pStyle w:val="TableBodyText"/>
                    <w:spacing w:before="40" w:after="0"/>
                    <w:ind w:left="113"/>
                    <w:jc w:val="left"/>
                    <w:rPr>
                      <w:i/>
                    </w:rPr>
                  </w:pPr>
                  <w:r w:rsidRPr="006A6199">
                    <w:rPr>
                      <w:i/>
                    </w:rPr>
                    <w:t>General R&amp;D measures</w:t>
                  </w:r>
                  <w:r>
                    <w:rPr>
                      <w:i/>
                    </w:rPr>
                    <w:t xml:space="preserve"> (continued)</w:t>
                  </w:r>
                </w:p>
              </w:tc>
              <w:tc>
                <w:tcPr>
                  <w:tcW w:w="467" w:type="pct"/>
                </w:tcPr>
                <w:p w:rsidR="00AC2131" w:rsidRPr="00777A4D" w:rsidRDefault="00AC2131" w:rsidP="00AC2131">
                  <w:pPr>
                    <w:pStyle w:val="TableBodyText"/>
                  </w:pPr>
                </w:p>
              </w:tc>
              <w:tc>
                <w:tcPr>
                  <w:tcW w:w="467" w:type="pct"/>
                </w:tcPr>
                <w:p w:rsidR="00AC2131" w:rsidRPr="00777A4D" w:rsidRDefault="00AC2131" w:rsidP="00AC2131">
                  <w:pPr>
                    <w:pStyle w:val="TableBodyText"/>
                  </w:pPr>
                </w:p>
              </w:tc>
              <w:tc>
                <w:tcPr>
                  <w:tcW w:w="467" w:type="pct"/>
                </w:tcPr>
                <w:p w:rsidR="00AC2131" w:rsidRPr="00777A4D" w:rsidRDefault="00AC2131" w:rsidP="00AC2131">
                  <w:pPr>
                    <w:pStyle w:val="TableBodyText"/>
                  </w:pPr>
                </w:p>
              </w:tc>
              <w:tc>
                <w:tcPr>
                  <w:tcW w:w="467" w:type="pct"/>
                  <w:shd w:val="clear" w:color="auto" w:fill="auto"/>
                </w:tcPr>
                <w:p w:rsidR="00AC2131" w:rsidRPr="00777A4D" w:rsidRDefault="00AC2131" w:rsidP="00AC2131">
                  <w:pPr>
                    <w:pStyle w:val="TableBodyText"/>
                  </w:pPr>
                </w:p>
              </w:tc>
              <w:tc>
                <w:tcPr>
                  <w:tcW w:w="467" w:type="pct"/>
                  <w:shd w:val="clear" w:color="auto" w:fill="auto"/>
                </w:tcPr>
                <w:p w:rsidR="00AC2131" w:rsidRPr="00777A4D" w:rsidRDefault="00AC2131" w:rsidP="00AC2131">
                  <w:pPr>
                    <w:pStyle w:val="TableBodyText"/>
                  </w:pPr>
                </w:p>
              </w:tc>
              <w:tc>
                <w:tcPr>
                  <w:tcW w:w="464" w:type="pct"/>
                  <w:shd w:val="clear" w:color="auto" w:fill="auto"/>
                </w:tcPr>
                <w:p w:rsidR="00AC2131" w:rsidRPr="00777A4D" w:rsidRDefault="00AC2131" w:rsidP="00AC2131">
                  <w:pPr>
                    <w:pStyle w:val="TableBodyText"/>
                  </w:pP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-2.2</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2.9</w:t>
                  </w:r>
                </w:p>
              </w:tc>
              <w:tc>
                <w:tcPr>
                  <w:tcW w:w="464" w:type="pct"/>
                  <w:shd w:val="clear" w:color="auto" w:fill="auto"/>
                  <w:vAlign w:val="bottom"/>
                </w:tcPr>
                <w:p w:rsidR="00AC2131" w:rsidRDefault="00AC2131" w:rsidP="00AC2131">
                  <w:pPr>
                    <w:pStyle w:val="TableBodyText"/>
                    <w:spacing w:after="0"/>
                    <w:ind w:left="0" w:right="57"/>
                  </w:pPr>
                  <w:r>
                    <w:t>5.0</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4.1</w:t>
                  </w:r>
                </w:p>
              </w:tc>
              <w:tc>
                <w:tcPr>
                  <w:tcW w:w="464" w:type="pct"/>
                  <w:shd w:val="clear" w:color="auto" w:fill="auto"/>
                  <w:vAlign w:val="bottom"/>
                </w:tcPr>
                <w:p w:rsidR="00AC2131" w:rsidRDefault="00AC2131" w:rsidP="00AC2131">
                  <w:pPr>
                    <w:pStyle w:val="TableBodyText"/>
                    <w:spacing w:after="0"/>
                    <w:ind w:left="0" w:right="57"/>
                  </w:pPr>
                  <w:r>
                    <w:t>7.3</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9.6</w:t>
                  </w:r>
                </w:p>
              </w:tc>
              <w:tc>
                <w:tcPr>
                  <w:tcW w:w="467" w:type="pct"/>
                  <w:vAlign w:val="bottom"/>
                </w:tcPr>
                <w:p w:rsidR="00AC2131" w:rsidRDefault="00AC2131" w:rsidP="00AC2131">
                  <w:pPr>
                    <w:pStyle w:val="TableBodyText"/>
                    <w:spacing w:after="0"/>
                    <w:ind w:left="0" w:right="57"/>
                  </w:pPr>
                  <w:r>
                    <w:t>7.1</w:t>
                  </w:r>
                </w:p>
              </w:tc>
              <w:tc>
                <w:tcPr>
                  <w:tcW w:w="467" w:type="pct"/>
                  <w:vAlign w:val="bottom"/>
                </w:tcPr>
                <w:p w:rsidR="00AC2131" w:rsidRDefault="00AC2131" w:rsidP="00AC2131">
                  <w:pPr>
                    <w:pStyle w:val="TableBodyText"/>
                    <w:spacing w:after="0"/>
                    <w:ind w:left="0" w:right="57"/>
                  </w:pPr>
                  <w:r>
                    <w:t>4.7</w:t>
                  </w:r>
                </w:p>
              </w:tc>
              <w:tc>
                <w:tcPr>
                  <w:tcW w:w="467" w:type="pct"/>
                  <w:shd w:val="clear" w:color="auto" w:fill="auto"/>
                  <w:vAlign w:val="bottom"/>
                </w:tcPr>
                <w:p w:rsidR="00AC2131" w:rsidRDefault="00AC2131" w:rsidP="00AC2131">
                  <w:pPr>
                    <w:pStyle w:val="TableBodyText"/>
                    <w:spacing w:after="0"/>
                    <w:ind w:left="0" w:right="57"/>
                  </w:pPr>
                  <w:r>
                    <w:t>5.3</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tcPr>
                <w:p w:rsidR="00AC2131" w:rsidRPr="006A6199" w:rsidRDefault="00AC2131" w:rsidP="00AC2131">
                  <w:pPr>
                    <w:pStyle w:val="TableBodyText"/>
                    <w:spacing w:before="40" w:after="0"/>
                    <w:ind w:left="113"/>
                    <w:jc w:val="left"/>
                    <w:rPr>
                      <w:i/>
                    </w:rPr>
                  </w:pPr>
                  <w:r w:rsidRPr="006A6199">
                    <w:rPr>
                      <w:i/>
                    </w:rPr>
                    <w:t>Other measures</w:t>
                  </w:r>
                </w:p>
              </w:tc>
              <w:tc>
                <w:tcPr>
                  <w:tcW w:w="467" w:type="pct"/>
                </w:tcPr>
                <w:p w:rsidR="00AC2131" w:rsidRPr="00777A4D" w:rsidRDefault="00AC2131" w:rsidP="00AC2131">
                  <w:pPr>
                    <w:pStyle w:val="TableBodyText"/>
                  </w:pPr>
                </w:p>
              </w:tc>
              <w:tc>
                <w:tcPr>
                  <w:tcW w:w="467" w:type="pct"/>
                </w:tcPr>
                <w:p w:rsidR="00AC2131" w:rsidRPr="00777A4D" w:rsidRDefault="00AC2131" w:rsidP="00AC2131">
                  <w:pPr>
                    <w:pStyle w:val="TableBodyText"/>
                  </w:pPr>
                </w:p>
              </w:tc>
              <w:tc>
                <w:tcPr>
                  <w:tcW w:w="467" w:type="pct"/>
                </w:tcPr>
                <w:p w:rsidR="00AC2131" w:rsidRPr="00777A4D" w:rsidRDefault="00AC2131" w:rsidP="00AC2131">
                  <w:pPr>
                    <w:pStyle w:val="TableBodyText"/>
                  </w:pPr>
                </w:p>
              </w:tc>
              <w:tc>
                <w:tcPr>
                  <w:tcW w:w="467" w:type="pct"/>
                  <w:shd w:val="clear" w:color="auto" w:fill="auto"/>
                </w:tcPr>
                <w:p w:rsidR="00AC2131" w:rsidRPr="00777A4D" w:rsidRDefault="00AC2131" w:rsidP="00AC2131">
                  <w:pPr>
                    <w:pStyle w:val="TableBodyText"/>
                  </w:pPr>
                </w:p>
              </w:tc>
              <w:tc>
                <w:tcPr>
                  <w:tcW w:w="467" w:type="pct"/>
                  <w:shd w:val="clear" w:color="auto" w:fill="auto"/>
                </w:tcPr>
                <w:p w:rsidR="00AC2131" w:rsidRPr="00777A4D" w:rsidRDefault="00AC2131" w:rsidP="00AC2131">
                  <w:pPr>
                    <w:pStyle w:val="TableBodyText"/>
                  </w:pPr>
                </w:p>
              </w:tc>
              <w:tc>
                <w:tcPr>
                  <w:tcW w:w="464" w:type="pct"/>
                  <w:shd w:val="clear" w:color="auto" w:fill="auto"/>
                </w:tcPr>
                <w:p w:rsidR="00AC2131" w:rsidRPr="00777A4D" w:rsidRDefault="00AC2131" w:rsidP="00AC2131">
                  <w:pPr>
                    <w:pStyle w:val="TableBodyText"/>
                  </w:pP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0.1</w:t>
                  </w:r>
                </w:p>
              </w:tc>
              <w:tc>
                <w:tcPr>
                  <w:tcW w:w="464" w:type="pct"/>
                  <w:shd w:val="clear" w:color="auto" w:fill="auto"/>
                  <w:vAlign w:val="bottom"/>
                </w:tcPr>
                <w:p w:rsidR="00AC2131" w:rsidRDefault="00AC2131" w:rsidP="00AC2131">
                  <w:pPr>
                    <w:pStyle w:val="TableBodyText"/>
                    <w:spacing w:after="0"/>
                    <w:ind w:left="0" w:right="57"/>
                  </w:pPr>
                  <w:r>
                    <w:t>0.1</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-0.1</w:t>
                  </w:r>
                </w:p>
              </w:tc>
              <w:tc>
                <w:tcPr>
                  <w:tcW w:w="464" w:type="pct"/>
                  <w:shd w:val="clear" w:color="auto" w:fill="auto"/>
                  <w:vAlign w:val="bottom"/>
                </w:tcPr>
                <w:p w:rsidR="00AC2131" w:rsidRDefault="00AC2131" w:rsidP="00AC2131">
                  <w:pPr>
                    <w:pStyle w:val="TableBodyText"/>
                    <w:spacing w:after="0"/>
                    <w:ind w:left="0" w:right="57"/>
                  </w:pPr>
                  <w:r>
                    <w:t>1.8</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 xml:space="preserve">Small business </w:t>
                  </w:r>
                  <w:r>
                    <w:rPr>
                      <w:rFonts w:ascii="Arial" w:hAnsi="Arial" w:cs="Arial"/>
                      <w:color w:val="000000"/>
                      <w:sz w:val="18"/>
                      <w:szCs w:val="18"/>
                    </w:rPr>
                    <w:t>capital gains tax</w:t>
                  </w:r>
                  <w:r w:rsidRPr="006A6199">
                    <w:rPr>
                      <w:rFonts w:ascii="Arial" w:hAnsi="Arial" w:cs="Arial"/>
                      <w:color w:val="000000"/>
                      <w:sz w:val="18"/>
                      <w:szCs w:val="18"/>
                    </w:rPr>
                    <w:t xml:space="preserve"> 50 per cent reduction</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1.2</w:t>
                  </w:r>
                </w:p>
              </w:tc>
              <w:tc>
                <w:tcPr>
                  <w:tcW w:w="467" w:type="pct"/>
                  <w:shd w:val="clear" w:color="auto" w:fill="auto"/>
                  <w:vAlign w:val="bottom"/>
                </w:tcPr>
                <w:p w:rsidR="00AC2131" w:rsidRDefault="00AC2131" w:rsidP="00AC2131">
                  <w:pPr>
                    <w:pStyle w:val="TableBodyText"/>
                    <w:spacing w:after="0"/>
                    <w:ind w:left="0" w:right="57"/>
                  </w:pPr>
                  <w:r>
                    <w:t>1.4</w:t>
                  </w:r>
                </w:p>
              </w:tc>
              <w:tc>
                <w:tcPr>
                  <w:tcW w:w="467" w:type="pct"/>
                  <w:shd w:val="clear" w:color="auto" w:fill="auto"/>
                  <w:vAlign w:val="bottom"/>
                </w:tcPr>
                <w:p w:rsidR="00AC2131" w:rsidRDefault="00AC2131" w:rsidP="00AC2131">
                  <w:pPr>
                    <w:pStyle w:val="TableBodyText"/>
                    <w:spacing w:after="0"/>
                    <w:ind w:left="0" w:right="57"/>
                  </w:pPr>
                  <w:r>
                    <w:t>1.4</w:t>
                  </w:r>
                </w:p>
              </w:tc>
              <w:tc>
                <w:tcPr>
                  <w:tcW w:w="464" w:type="pct"/>
                  <w:shd w:val="clear" w:color="auto" w:fill="auto"/>
                  <w:vAlign w:val="bottom"/>
                </w:tcPr>
                <w:p w:rsidR="00AC2131" w:rsidRDefault="00AC2131" w:rsidP="00AC2131">
                  <w:pPr>
                    <w:pStyle w:val="TableBodyText"/>
                    <w:spacing w:after="0"/>
                    <w:ind w:left="0" w:right="57"/>
                  </w:pPr>
                  <w:r>
                    <w:t>1.5</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South Australia Innovation and Investment Fund and Labour Assistance Package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6A6199" w:rsidRDefault="00AC2131" w:rsidP="00AC2131">
                  <w:pPr>
                    <w:ind w:left="227"/>
                    <w:rPr>
                      <w:rFonts w:ascii="Arial" w:hAnsi="Arial" w:cs="Arial"/>
                      <w:color w:val="000000"/>
                      <w:sz w:val="18"/>
                      <w:szCs w:val="18"/>
                    </w:rPr>
                  </w:pPr>
                  <w:r w:rsidRPr="006A6199">
                    <w:rPr>
                      <w:rFonts w:ascii="Arial" w:hAnsi="Arial" w:cs="Arial"/>
                      <w:color w:val="000000"/>
                      <w:sz w:val="18"/>
                      <w:szCs w:val="18"/>
                    </w:rPr>
                    <w:t>The Small Business and General Business Tax Break</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21.0</w:t>
                  </w:r>
                </w:p>
              </w:tc>
              <w:tc>
                <w:tcPr>
                  <w:tcW w:w="467" w:type="pct"/>
                  <w:vAlign w:val="bottom"/>
                </w:tcPr>
                <w:p w:rsidR="00AC2131" w:rsidRDefault="00AC2131" w:rsidP="00AC2131">
                  <w:pPr>
                    <w:pStyle w:val="TableBodyText"/>
                    <w:spacing w:after="0"/>
                    <w:ind w:left="0" w:right="57"/>
                  </w:pPr>
                  <w:r>
                    <w:t>55.5</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tcPr>
                <w:p w:rsidR="00AC2131" w:rsidRPr="006A6199" w:rsidRDefault="00AC2131" w:rsidP="00AC2131">
                  <w:pPr>
                    <w:pStyle w:val="TableBodyText"/>
                    <w:spacing w:before="20" w:after="20"/>
                    <w:jc w:val="left"/>
                    <w:rPr>
                      <w:i/>
                    </w:rPr>
                  </w:pPr>
                  <w:r w:rsidRPr="006A6199">
                    <w:rPr>
                      <w:i/>
                    </w:rPr>
                    <w:t>Total</w:t>
                  </w:r>
                </w:p>
              </w:tc>
              <w:tc>
                <w:tcPr>
                  <w:tcW w:w="467" w:type="pct"/>
                  <w:vAlign w:val="bottom"/>
                </w:tcPr>
                <w:p w:rsidR="00AC2131" w:rsidRPr="004702DC" w:rsidRDefault="00AC2131" w:rsidP="00AC2131">
                  <w:pPr>
                    <w:pStyle w:val="TableBodyText"/>
                    <w:spacing w:before="20" w:after="20"/>
                    <w:ind w:left="0" w:right="57"/>
                    <w:rPr>
                      <w:i/>
                    </w:rPr>
                  </w:pPr>
                  <w:r w:rsidRPr="004702DC">
                    <w:rPr>
                      <w:i/>
                    </w:rPr>
                    <w:t>558.0</w:t>
                  </w:r>
                </w:p>
              </w:tc>
              <w:tc>
                <w:tcPr>
                  <w:tcW w:w="467" w:type="pct"/>
                  <w:vAlign w:val="bottom"/>
                </w:tcPr>
                <w:p w:rsidR="00AC2131" w:rsidRPr="004702DC" w:rsidRDefault="00AC2131" w:rsidP="00AC2131">
                  <w:pPr>
                    <w:pStyle w:val="TableBodyText"/>
                    <w:spacing w:before="20" w:after="20"/>
                    <w:ind w:left="0" w:right="57"/>
                    <w:rPr>
                      <w:i/>
                    </w:rPr>
                  </w:pPr>
                  <w:r w:rsidRPr="004702DC">
                    <w:rPr>
                      <w:i/>
                    </w:rPr>
                    <w:t>747.6</w:t>
                  </w:r>
                </w:p>
              </w:tc>
              <w:tc>
                <w:tcPr>
                  <w:tcW w:w="467" w:type="pct"/>
                  <w:vAlign w:val="bottom"/>
                </w:tcPr>
                <w:p w:rsidR="00AC2131" w:rsidRPr="004702DC" w:rsidRDefault="00AC2131" w:rsidP="00AC2131">
                  <w:pPr>
                    <w:pStyle w:val="TableBodyText"/>
                    <w:spacing w:before="20" w:after="20"/>
                    <w:ind w:left="0" w:right="57"/>
                    <w:rPr>
                      <w:i/>
                    </w:rPr>
                  </w:pPr>
                  <w:r w:rsidRPr="004702DC">
                    <w:rPr>
                      <w:i/>
                    </w:rPr>
                    <w:t>573.2</w:t>
                  </w:r>
                </w:p>
              </w:tc>
              <w:tc>
                <w:tcPr>
                  <w:tcW w:w="467" w:type="pct"/>
                  <w:shd w:val="clear" w:color="auto" w:fill="auto"/>
                  <w:vAlign w:val="bottom"/>
                </w:tcPr>
                <w:p w:rsidR="00AC2131" w:rsidRPr="004702DC" w:rsidRDefault="00AC2131" w:rsidP="00AC2131">
                  <w:pPr>
                    <w:pStyle w:val="TableBodyText"/>
                    <w:spacing w:before="20" w:after="20"/>
                    <w:ind w:left="0" w:right="57"/>
                    <w:rPr>
                      <w:i/>
                    </w:rPr>
                  </w:pPr>
                  <w:r w:rsidRPr="004702DC">
                    <w:rPr>
                      <w:i/>
                    </w:rPr>
                    <w:t>625.4</w:t>
                  </w:r>
                </w:p>
              </w:tc>
              <w:tc>
                <w:tcPr>
                  <w:tcW w:w="467" w:type="pct"/>
                  <w:shd w:val="clear" w:color="auto" w:fill="auto"/>
                  <w:vAlign w:val="bottom"/>
                </w:tcPr>
                <w:p w:rsidR="00AC2131" w:rsidRPr="004702DC" w:rsidRDefault="00AC2131" w:rsidP="00AC2131">
                  <w:pPr>
                    <w:pStyle w:val="TableBodyText"/>
                    <w:spacing w:before="20" w:after="20"/>
                    <w:ind w:left="0" w:right="57"/>
                    <w:rPr>
                      <w:i/>
                    </w:rPr>
                  </w:pPr>
                  <w:r w:rsidRPr="004702DC">
                    <w:rPr>
                      <w:i/>
                    </w:rPr>
                    <w:t>446.6</w:t>
                  </w:r>
                </w:p>
              </w:tc>
              <w:tc>
                <w:tcPr>
                  <w:tcW w:w="464" w:type="pct"/>
                  <w:shd w:val="clear" w:color="auto" w:fill="auto"/>
                  <w:vAlign w:val="bottom"/>
                </w:tcPr>
                <w:p w:rsidR="00AC2131" w:rsidRPr="004702DC" w:rsidRDefault="00AC2131" w:rsidP="00AC2131">
                  <w:pPr>
                    <w:pStyle w:val="TableBodyText"/>
                    <w:spacing w:before="20" w:after="20"/>
                    <w:ind w:left="0" w:right="57"/>
                    <w:rPr>
                      <w:i/>
                    </w:rPr>
                  </w:pPr>
                  <w:r w:rsidRPr="004702DC">
                    <w:rPr>
                      <w:i/>
                    </w:rPr>
                    <w:t>392.5</w:t>
                  </w:r>
                </w:p>
              </w:tc>
            </w:tr>
            <w:tr w:rsidR="00AC2131" w:rsidTr="00AC2131">
              <w:tc>
                <w:tcPr>
                  <w:tcW w:w="2201" w:type="pct"/>
                </w:tcPr>
                <w:p w:rsidR="00AC2131" w:rsidRPr="00F5446C" w:rsidRDefault="00AC2131" w:rsidP="00AC2131">
                  <w:pPr>
                    <w:pStyle w:val="TableUnitsRow"/>
                    <w:jc w:val="left"/>
                    <w:rPr>
                      <w:b/>
                    </w:rPr>
                  </w:pPr>
                  <w:r w:rsidRPr="00F5446C">
                    <w:rPr>
                      <w:b/>
                    </w:rPr>
                    <w:t>Other transport equipment</w:t>
                  </w: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4" w:type="pct"/>
                </w:tcPr>
                <w:p w:rsidR="00AC2131" w:rsidRDefault="00AC2131" w:rsidP="00AC2131">
                  <w:pPr>
                    <w:pStyle w:val="TableBodyText"/>
                    <w:spacing w:before="40"/>
                  </w:pPr>
                </w:p>
              </w:tc>
            </w:tr>
            <w:tr w:rsidR="00AC2131" w:rsidTr="00AC2131">
              <w:tc>
                <w:tcPr>
                  <w:tcW w:w="2201" w:type="pct"/>
                </w:tcPr>
                <w:p w:rsidR="00AC2131" w:rsidRPr="00F5446C" w:rsidRDefault="00AC2131" w:rsidP="00AC2131">
                  <w:pPr>
                    <w:pStyle w:val="TableBodyText"/>
                    <w:spacing w:before="40" w:after="0"/>
                    <w:ind w:left="113"/>
                    <w:jc w:val="left"/>
                    <w:rPr>
                      <w:i/>
                    </w:rPr>
                  </w:pPr>
                  <w:r w:rsidRPr="00F5446C">
                    <w:rPr>
                      <w:i/>
                    </w:rPr>
                    <w:t>General export measures</w:t>
                  </w: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4" w:type="pct"/>
                </w:tcPr>
                <w:p w:rsidR="00AC2131" w:rsidRDefault="00AC2131" w:rsidP="00AC2131">
                  <w:pPr>
                    <w:pStyle w:val="TableBodyText"/>
                  </w:pP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sidRPr="00F5446C">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1.5</w:t>
                  </w:r>
                </w:p>
              </w:tc>
              <w:tc>
                <w:tcPr>
                  <w:tcW w:w="467" w:type="pct"/>
                  <w:shd w:val="clear" w:color="auto" w:fill="auto"/>
                  <w:vAlign w:val="bottom"/>
                </w:tcPr>
                <w:p w:rsidR="00AC2131" w:rsidRDefault="00AC2131" w:rsidP="00AC2131">
                  <w:pPr>
                    <w:pStyle w:val="TableBodyText"/>
                    <w:spacing w:after="0"/>
                    <w:ind w:left="0" w:right="57"/>
                  </w:pPr>
                  <w:r>
                    <w:t>1.1</w:t>
                  </w:r>
                </w:p>
              </w:tc>
              <w:tc>
                <w:tcPr>
                  <w:tcW w:w="467" w:type="pct"/>
                  <w:shd w:val="clear" w:color="auto" w:fill="auto"/>
                  <w:vAlign w:val="bottom"/>
                </w:tcPr>
                <w:p w:rsidR="00AC2131" w:rsidRDefault="00AC2131" w:rsidP="00AC2131">
                  <w:pPr>
                    <w:pStyle w:val="TableBodyText"/>
                    <w:spacing w:after="0"/>
                    <w:ind w:left="0" w:right="57"/>
                  </w:pPr>
                  <w:r>
                    <w:t>1.0</w:t>
                  </w:r>
                </w:p>
              </w:tc>
              <w:tc>
                <w:tcPr>
                  <w:tcW w:w="464" w:type="pct"/>
                  <w:shd w:val="clear" w:color="auto" w:fill="auto"/>
                  <w:vAlign w:val="bottom"/>
                </w:tcPr>
                <w:p w:rsidR="00AC2131" w:rsidRDefault="00AC2131" w:rsidP="00AC2131">
                  <w:pPr>
                    <w:pStyle w:val="TableBodyText"/>
                    <w:spacing w:after="0"/>
                    <w:ind w:left="0" w:right="57"/>
                  </w:pPr>
                  <w:r>
                    <w:t>0.5</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sidRPr="00F5446C">
                    <w:rPr>
                      <w:rFonts w:ascii="Arial" w:hAnsi="Arial" w:cs="Arial"/>
                      <w:color w:val="000000"/>
                      <w:sz w:val="18"/>
                      <w:szCs w:val="18"/>
                    </w:rPr>
                    <w:t>TRADEX</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4" w:type="pct"/>
                  <w:shd w:val="clear" w:color="auto" w:fill="auto"/>
                  <w:vAlign w:val="bottom"/>
                </w:tcPr>
                <w:p w:rsidR="00AC2131" w:rsidRDefault="00AC2131" w:rsidP="00AC2131">
                  <w:pPr>
                    <w:pStyle w:val="TableBodyText"/>
                    <w:spacing w:after="0"/>
                    <w:ind w:left="0" w:right="57"/>
                  </w:pPr>
                  <w:r>
                    <w:t>0.1</w:t>
                  </w:r>
                </w:p>
              </w:tc>
            </w:tr>
            <w:tr w:rsidR="00AC2131" w:rsidTr="00AC2131">
              <w:tc>
                <w:tcPr>
                  <w:tcW w:w="2201" w:type="pct"/>
                </w:tcPr>
                <w:p w:rsidR="00AC2131" w:rsidRPr="00F5446C" w:rsidRDefault="00AC2131" w:rsidP="00AC2131">
                  <w:pPr>
                    <w:pStyle w:val="TableBodyText"/>
                    <w:spacing w:before="40" w:after="0"/>
                    <w:ind w:left="113"/>
                    <w:jc w:val="left"/>
                    <w:rPr>
                      <w:i/>
                    </w:rPr>
                  </w:pPr>
                  <w:r w:rsidRPr="00F5446C">
                    <w:rPr>
                      <w:i/>
                    </w:rPr>
                    <w:t>General R&amp;D measures</w:t>
                  </w: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4" w:type="pct"/>
                  <w:shd w:val="clear" w:color="auto" w:fill="auto"/>
                </w:tcPr>
                <w:p w:rsidR="00AC2131" w:rsidRDefault="00AC2131" w:rsidP="00AC2131">
                  <w:pPr>
                    <w:pStyle w:val="TableBodyText"/>
                  </w:pP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sidRPr="00F5446C">
                    <w:rPr>
                      <w:rFonts w:ascii="Arial" w:hAnsi="Arial" w:cs="Arial"/>
                      <w:color w:val="000000"/>
                      <w:sz w:val="18"/>
                      <w:szCs w:val="18"/>
                    </w:rPr>
                    <w:t xml:space="preserve">Clean Business Australia </w:t>
                  </w:r>
                  <w:r>
                    <w:rPr>
                      <w:rFonts w:ascii="Arial" w:hAnsi="Arial" w:cs="Arial"/>
                      <w:color w:val="000000"/>
                      <w:sz w:val="18"/>
                      <w:szCs w:val="18"/>
                    </w:rPr>
                    <w:t>–</w:t>
                  </w:r>
                  <w:r w:rsidRPr="00F5446C">
                    <w:rPr>
                      <w:rFonts w:ascii="Arial" w:hAnsi="Arial" w:cs="Arial"/>
                      <w:color w:val="000000"/>
                      <w:sz w:val="18"/>
                      <w:szCs w:val="18"/>
                    </w:rPr>
                    <w:t xml:space="preserve"> Climate Ready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sidRPr="00F5446C">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sidRPr="00F5446C">
                    <w:rPr>
                      <w:rFonts w:ascii="Arial" w:hAnsi="Arial" w:cs="Arial"/>
                      <w:color w:val="000000"/>
                      <w:sz w:val="18"/>
                      <w:szCs w:val="18"/>
                    </w:rPr>
                    <w:t>Commercial Ready Program</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sidRPr="00F5446C">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0.6</w:t>
                  </w:r>
                </w:p>
              </w:tc>
              <w:tc>
                <w:tcPr>
                  <w:tcW w:w="467" w:type="pct"/>
                  <w:shd w:val="clear" w:color="auto" w:fill="auto"/>
                  <w:vAlign w:val="bottom"/>
                </w:tcPr>
                <w:p w:rsidR="00AC2131" w:rsidRDefault="00AC2131" w:rsidP="00AC2131">
                  <w:pPr>
                    <w:pStyle w:val="TableBodyText"/>
                    <w:spacing w:after="0"/>
                    <w:ind w:left="0" w:right="57"/>
                  </w:pPr>
                  <w:r>
                    <w:t>0.5</w:t>
                  </w:r>
                </w:p>
              </w:tc>
              <w:tc>
                <w:tcPr>
                  <w:tcW w:w="464" w:type="pct"/>
                  <w:shd w:val="clear" w:color="auto" w:fill="auto"/>
                  <w:vAlign w:val="bottom"/>
                </w:tcPr>
                <w:p w:rsidR="00AC2131" w:rsidRDefault="00AC2131" w:rsidP="00AC2131">
                  <w:pPr>
                    <w:pStyle w:val="TableBodyText"/>
                    <w:spacing w:after="0"/>
                    <w:ind w:left="0" w:right="57"/>
                  </w:pPr>
                  <w:r>
                    <w:t>0.3</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sidRPr="00F5446C">
                    <w:rPr>
                      <w:rFonts w:ascii="Arial" w:hAnsi="Arial" w:cs="Arial"/>
                      <w:color w:val="000000"/>
                      <w:sz w:val="18"/>
                      <w:szCs w:val="18"/>
                    </w:rPr>
                    <w:t>Cooperative Research Centres</w:t>
                  </w:r>
                </w:p>
              </w:tc>
              <w:tc>
                <w:tcPr>
                  <w:tcW w:w="467" w:type="pct"/>
                  <w:vAlign w:val="bottom"/>
                </w:tcPr>
                <w:p w:rsidR="00AC2131" w:rsidRDefault="00AC2131" w:rsidP="00AC2131">
                  <w:pPr>
                    <w:pStyle w:val="TableBodyText"/>
                    <w:spacing w:after="0"/>
                    <w:ind w:left="0" w:right="57"/>
                  </w:pPr>
                  <w:r>
                    <w:t>6.7</w:t>
                  </w:r>
                </w:p>
              </w:tc>
              <w:tc>
                <w:tcPr>
                  <w:tcW w:w="467" w:type="pct"/>
                  <w:vAlign w:val="bottom"/>
                </w:tcPr>
                <w:p w:rsidR="00AC2131" w:rsidRDefault="00AC2131" w:rsidP="00AC2131">
                  <w:pPr>
                    <w:pStyle w:val="TableBodyText"/>
                    <w:spacing w:after="0"/>
                    <w:ind w:left="0" w:right="57"/>
                  </w:pPr>
                  <w:r>
                    <w:t>7.4</w:t>
                  </w:r>
                </w:p>
              </w:tc>
              <w:tc>
                <w:tcPr>
                  <w:tcW w:w="467" w:type="pct"/>
                  <w:vAlign w:val="bottom"/>
                </w:tcPr>
                <w:p w:rsidR="00AC2131" w:rsidRDefault="00AC2131" w:rsidP="00AC2131">
                  <w:pPr>
                    <w:pStyle w:val="TableBodyText"/>
                    <w:spacing w:after="0"/>
                    <w:ind w:left="0" w:right="57"/>
                  </w:pPr>
                  <w:r>
                    <w:t>5.2</w:t>
                  </w:r>
                </w:p>
              </w:tc>
              <w:tc>
                <w:tcPr>
                  <w:tcW w:w="467" w:type="pct"/>
                  <w:shd w:val="clear" w:color="auto" w:fill="auto"/>
                  <w:vAlign w:val="bottom"/>
                </w:tcPr>
                <w:p w:rsidR="00AC2131" w:rsidRDefault="00AC2131" w:rsidP="00AC2131">
                  <w:pPr>
                    <w:pStyle w:val="TableBodyText"/>
                    <w:spacing w:after="0"/>
                    <w:ind w:left="0" w:right="57"/>
                  </w:pPr>
                  <w:r>
                    <w:t>5.1</w:t>
                  </w:r>
                </w:p>
              </w:tc>
              <w:tc>
                <w:tcPr>
                  <w:tcW w:w="467" w:type="pct"/>
                  <w:shd w:val="clear" w:color="auto" w:fill="auto"/>
                  <w:vAlign w:val="bottom"/>
                </w:tcPr>
                <w:p w:rsidR="00AC2131" w:rsidRDefault="00AC2131" w:rsidP="00AC2131">
                  <w:pPr>
                    <w:pStyle w:val="TableBodyText"/>
                    <w:spacing w:after="0"/>
                    <w:ind w:left="0" w:right="57"/>
                  </w:pPr>
                  <w:r>
                    <w:t>6.0</w:t>
                  </w:r>
                </w:p>
              </w:tc>
              <w:tc>
                <w:tcPr>
                  <w:tcW w:w="464" w:type="pct"/>
                  <w:shd w:val="clear" w:color="auto" w:fill="auto"/>
                  <w:vAlign w:val="bottom"/>
                </w:tcPr>
                <w:p w:rsidR="00AC2131" w:rsidRDefault="00AC2131" w:rsidP="00AC2131">
                  <w:pPr>
                    <w:pStyle w:val="TableBodyText"/>
                    <w:spacing w:after="0"/>
                    <w:ind w:left="0" w:right="57"/>
                  </w:pPr>
                  <w:r>
                    <w:t>5.3</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sidRPr="00F5446C">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5.2</w:t>
                  </w:r>
                </w:p>
              </w:tc>
              <w:tc>
                <w:tcPr>
                  <w:tcW w:w="467" w:type="pct"/>
                  <w:vAlign w:val="bottom"/>
                </w:tcPr>
                <w:p w:rsidR="00AC2131" w:rsidRDefault="00AC2131" w:rsidP="00AC2131">
                  <w:pPr>
                    <w:pStyle w:val="TableBodyText"/>
                    <w:spacing w:after="0"/>
                    <w:ind w:left="0" w:right="57"/>
                  </w:pPr>
                  <w:r>
                    <w:t>5.6</w:t>
                  </w:r>
                </w:p>
              </w:tc>
              <w:tc>
                <w:tcPr>
                  <w:tcW w:w="467" w:type="pct"/>
                  <w:vAlign w:val="bottom"/>
                </w:tcPr>
                <w:p w:rsidR="00AC2131" w:rsidRDefault="00AC2131" w:rsidP="00AC2131">
                  <w:pPr>
                    <w:pStyle w:val="TableBodyText"/>
                    <w:spacing w:after="0"/>
                    <w:ind w:left="0" w:right="57"/>
                  </w:pPr>
                  <w:r>
                    <w:t>5.8</w:t>
                  </w:r>
                </w:p>
              </w:tc>
              <w:tc>
                <w:tcPr>
                  <w:tcW w:w="467" w:type="pct"/>
                  <w:shd w:val="clear" w:color="auto" w:fill="auto"/>
                  <w:vAlign w:val="bottom"/>
                </w:tcPr>
                <w:p w:rsidR="00AC2131" w:rsidRDefault="00AC2131" w:rsidP="00AC2131">
                  <w:pPr>
                    <w:pStyle w:val="TableBodyText"/>
                    <w:spacing w:after="0"/>
                    <w:ind w:left="0" w:right="57"/>
                  </w:pPr>
                  <w:r>
                    <w:t>3.1</w:t>
                  </w:r>
                </w:p>
              </w:tc>
              <w:tc>
                <w:tcPr>
                  <w:tcW w:w="467" w:type="pct"/>
                  <w:shd w:val="clear" w:color="auto" w:fill="auto"/>
                  <w:vAlign w:val="bottom"/>
                </w:tcPr>
                <w:p w:rsidR="00AC2131" w:rsidRDefault="00AC2131" w:rsidP="00AC2131">
                  <w:pPr>
                    <w:pStyle w:val="TableBodyText"/>
                    <w:spacing w:after="0"/>
                    <w:ind w:left="0" w:right="57"/>
                  </w:pPr>
                  <w:r>
                    <w:t>3.5</w:t>
                  </w:r>
                </w:p>
              </w:tc>
              <w:tc>
                <w:tcPr>
                  <w:tcW w:w="464" w:type="pct"/>
                  <w:shd w:val="clear" w:color="auto" w:fill="auto"/>
                  <w:vAlign w:val="bottom"/>
                </w:tcPr>
                <w:p w:rsidR="00AC2131" w:rsidRDefault="00AC2131" w:rsidP="00AC2131">
                  <w:pPr>
                    <w:pStyle w:val="TableBodyText"/>
                    <w:spacing w:after="0"/>
                    <w:ind w:left="0" w:right="57"/>
                  </w:pPr>
                  <w:r>
                    <w:t>3.5</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sidRPr="00F5446C">
                    <w:rPr>
                      <w:rFonts w:ascii="Arial" w:hAnsi="Arial" w:cs="Arial"/>
                      <w:color w:val="000000"/>
                      <w:sz w:val="18"/>
                      <w:szCs w:val="18"/>
                    </w:rPr>
                    <w:t>Innovation Investment Fund</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sidRPr="00F5446C">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0.7</w:t>
                  </w:r>
                </w:p>
              </w:tc>
              <w:tc>
                <w:tcPr>
                  <w:tcW w:w="467" w:type="pct"/>
                  <w:shd w:val="clear" w:color="auto" w:fill="auto"/>
                  <w:vAlign w:val="bottom"/>
                </w:tcPr>
                <w:p w:rsidR="00AC2131" w:rsidRDefault="00AC2131" w:rsidP="00AC2131">
                  <w:pPr>
                    <w:pStyle w:val="TableBodyText"/>
                    <w:spacing w:after="0"/>
                    <w:ind w:left="0" w:right="57"/>
                  </w:pPr>
                  <w:r>
                    <w:t>1.2</w:t>
                  </w:r>
                </w:p>
              </w:tc>
              <w:tc>
                <w:tcPr>
                  <w:tcW w:w="467" w:type="pct"/>
                  <w:shd w:val="clear" w:color="auto" w:fill="auto"/>
                  <w:vAlign w:val="bottom"/>
                </w:tcPr>
                <w:p w:rsidR="00AC2131" w:rsidRDefault="00AC2131" w:rsidP="00AC2131">
                  <w:pPr>
                    <w:pStyle w:val="TableBodyText"/>
                    <w:spacing w:after="0"/>
                    <w:ind w:left="0" w:right="57"/>
                  </w:pPr>
                  <w:r>
                    <w:t>0.3</w:t>
                  </w:r>
                </w:p>
              </w:tc>
              <w:tc>
                <w:tcPr>
                  <w:tcW w:w="464" w:type="pct"/>
                  <w:shd w:val="clear" w:color="auto" w:fill="auto"/>
                  <w:vAlign w:val="bottom"/>
                </w:tcPr>
                <w:p w:rsidR="00AC2131" w:rsidRDefault="00AC2131" w:rsidP="00AC2131">
                  <w:pPr>
                    <w:pStyle w:val="TableBodyText"/>
                    <w:spacing w:after="0"/>
                    <w:ind w:left="0" w:right="57"/>
                  </w:pPr>
                  <w:r>
                    <w:t>0.1</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sidRPr="00F5446C">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5.9</w:t>
                  </w:r>
                </w:p>
              </w:tc>
              <w:tc>
                <w:tcPr>
                  <w:tcW w:w="467" w:type="pct"/>
                  <w:vAlign w:val="bottom"/>
                </w:tcPr>
                <w:p w:rsidR="00AC2131" w:rsidRDefault="00AC2131" w:rsidP="00AC2131">
                  <w:pPr>
                    <w:pStyle w:val="TableBodyText"/>
                    <w:spacing w:after="0"/>
                    <w:ind w:left="0" w:right="57"/>
                  </w:pPr>
                  <w:r>
                    <w:t>7.2</w:t>
                  </w:r>
                </w:p>
              </w:tc>
              <w:tc>
                <w:tcPr>
                  <w:tcW w:w="467" w:type="pct"/>
                  <w:vAlign w:val="bottom"/>
                </w:tcPr>
                <w:p w:rsidR="00AC2131" w:rsidRDefault="00AC2131" w:rsidP="00AC2131">
                  <w:pPr>
                    <w:pStyle w:val="TableBodyText"/>
                    <w:spacing w:after="0"/>
                    <w:ind w:left="0" w:right="57"/>
                  </w:pPr>
                  <w:r>
                    <w:t>7.2</w:t>
                  </w:r>
                </w:p>
              </w:tc>
              <w:tc>
                <w:tcPr>
                  <w:tcW w:w="467" w:type="pct"/>
                  <w:shd w:val="clear" w:color="auto" w:fill="auto"/>
                  <w:vAlign w:val="bottom"/>
                </w:tcPr>
                <w:p w:rsidR="00AC2131" w:rsidRDefault="00AC2131" w:rsidP="00AC2131">
                  <w:pPr>
                    <w:pStyle w:val="TableBodyText"/>
                    <w:spacing w:after="0"/>
                    <w:ind w:left="0" w:right="57"/>
                  </w:pPr>
                  <w:r>
                    <w:t>5.2</w:t>
                  </w:r>
                </w:p>
              </w:tc>
              <w:tc>
                <w:tcPr>
                  <w:tcW w:w="467" w:type="pct"/>
                  <w:shd w:val="clear" w:color="auto" w:fill="auto"/>
                  <w:vAlign w:val="bottom"/>
                </w:tcPr>
                <w:p w:rsidR="00AC2131" w:rsidRDefault="00AC2131" w:rsidP="00AC2131">
                  <w:pPr>
                    <w:pStyle w:val="TableBodyText"/>
                    <w:spacing w:after="0"/>
                    <w:ind w:left="0" w:right="57"/>
                  </w:pPr>
                  <w:r>
                    <w:t>2.3</w:t>
                  </w:r>
                </w:p>
              </w:tc>
              <w:tc>
                <w:tcPr>
                  <w:tcW w:w="464" w:type="pct"/>
                  <w:shd w:val="clear" w:color="auto" w:fill="auto"/>
                  <w:vAlign w:val="bottom"/>
                </w:tcPr>
                <w:p w:rsidR="00AC2131" w:rsidRDefault="00AC2131" w:rsidP="00AC2131">
                  <w:pPr>
                    <w:pStyle w:val="TableBodyText"/>
                    <w:spacing w:after="0"/>
                    <w:ind w:left="0" w:right="57"/>
                  </w:pPr>
                  <w:r>
                    <w:t>0.8</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-1.5</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3.0</w:t>
                  </w:r>
                </w:p>
              </w:tc>
              <w:tc>
                <w:tcPr>
                  <w:tcW w:w="464" w:type="pct"/>
                  <w:shd w:val="clear" w:color="auto" w:fill="auto"/>
                  <w:vAlign w:val="bottom"/>
                </w:tcPr>
                <w:p w:rsidR="00AC2131" w:rsidRDefault="00AC2131" w:rsidP="00AC2131">
                  <w:pPr>
                    <w:pStyle w:val="TableBodyText"/>
                    <w:spacing w:after="0"/>
                    <w:ind w:left="0" w:right="57"/>
                  </w:pPr>
                  <w:r>
                    <w:t>1.7</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2.8</w:t>
                  </w:r>
                </w:p>
              </w:tc>
              <w:tc>
                <w:tcPr>
                  <w:tcW w:w="464" w:type="pct"/>
                  <w:shd w:val="clear" w:color="auto" w:fill="auto"/>
                  <w:vAlign w:val="bottom"/>
                </w:tcPr>
                <w:p w:rsidR="00AC2131" w:rsidRDefault="00AC2131" w:rsidP="00AC2131">
                  <w:pPr>
                    <w:pStyle w:val="TableBodyText"/>
                    <w:spacing w:after="0"/>
                    <w:ind w:left="0" w:right="57"/>
                  </w:pPr>
                  <w:r>
                    <w:t>5.0</w:t>
                  </w:r>
                </w:p>
              </w:tc>
            </w:tr>
            <w:tr w:rsidR="00AC2131" w:rsidTr="00AC2131">
              <w:tc>
                <w:tcPr>
                  <w:tcW w:w="2201" w:type="pct"/>
                  <w:vAlign w:val="bottom"/>
                </w:tcPr>
                <w:p w:rsidR="00AC2131" w:rsidRPr="00F5446C"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7.7</w:t>
                  </w:r>
                </w:p>
              </w:tc>
              <w:tc>
                <w:tcPr>
                  <w:tcW w:w="467" w:type="pct"/>
                  <w:vAlign w:val="bottom"/>
                </w:tcPr>
                <w:p w:rsidR="00AC2131" w:rsidRDefault="00AC2131" w:rsidP="00AC2131">
                  <w:pPr>
                    <w:pStyle w:val="TableBodyText"/>
                    <w:spacing w:after="0"/>
                    <w:ind w:left="0" w:right="57"/>
                  </w:pPr>
                  <w:r>
                    <w:t>7.4</w:t>
                  </w:r>
                </w:p>
              </w:tc>
              <w:tc>
                <w:tcPr>
                  <w:tcW w:w="467" w:type="pct"/>
                  <w:vAlign w:val="bottom"/>
                </w:tcPr>
                <w:p w:rsidR="00AC2131" w:rsidRDefault="00AC2131" w:rsidP="00AC2131">
                  <w:pPr>
                    <w:pStyle w:val="TableBodyText"/>
                    <w:spacing w:after="0"/>
                    <w:ind w:left="0" w:right="57"/>
                  </w:pPr>
                  <w:r>
                    <w:t>3.2</w:t>
                  </w:r>
                </w:p>
              </w:tc>
              <w:tc>
                <w:tcPr>
                  <w:tcW w:w="467" w:type="pct"/>
                  <w:shd w:val="clear" w:color="auto" w:fill="auto"/>
                  <w:vAlign w:val="bottom"/>
                </w:tcPr>
                <w:p w:rsidR="00AC2131" w:rsidRDefault="00AC2131" w:rsidP="00AC2131">
                  <w:pPr>
                    <w:pStyle w:val="TableBodyText"/>
                    <w:spacing w:after="0"/>
                    <w:ind w:left="0" w:right="57"/>
                  </w:pPr>
                  <w:r>
                    <w:t>3.6</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tcPr>
                <w:p w:rsidR="00AC2131" w:rsidRPr="00F5446C" w:rsidRDefault="00AC2131" w:rsidP="00AC2131">
                  <w:pPr>
                    <w:pStyle w:val="TableBodyText"/>
                    <w:spacing w:before="40" w:after="0"/>
                    <w:ind w:left="113"/>
                    <w:jc w:val="left"/>
                    <w:rPr>
                      <w:i/>
                    </w:rPr>
                  </w:pPr>
                  <w:r w:rsidRPr="00F5446C">
                    <w:rPr>
                      <w:i/>
                    </w:rPr>
                    <w:t>Other measures</w:t>
                  </w: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4" w:type="pct"/>
                  <w:shd w:val="clear" w:color="auto" w:fill="auto"/>
                </w:tcPr>
                <w:p w:rsidR="00AC2131" w:rsidRDefault="00AC2131" w:rsidP="00AC2131">
                  <w:pPr>
                    <w:pStyle w:val="TableBodyText"/>
                  </w:pPr>
                </w:p>
              </w:tc>
            </w:tr>
            <w:tr w:rsidR="00AC2131" w:rsidTr="00AC2131">
              <w:tc>
                <w:tcPr>
                  <w:tcW w:w="2201"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0.4</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0.1</w:t>
                  </w:r>
                </w:p>
              </w:tc>
              <w:tc>
                <w:tcPr>
                  <w:tcW w:w="464" w:type="pct"/>
                  <w:shd w:val="clear" w:color="auto" w:fill="auto"/>
                  <w:vAlign w:val="bottom"/>
                </w:tcPr>
                <w:p w:rsidR="00AC2131" w:rsidRDefault="00AC2131" w:rsidP="00AC2131">
                  <w:pPr>
                    <w:pStyle w:val="TableBodyText"/>
                    <w:spacing w:after="0"/>
                    <w:ind w:left="0" w:right="57"/>
                  </w:pPr>
                  <w:r>
                    <w:t>0.1</w:t>
                  </w:r>
                </w:p>
              </w:tc>
            </w:tr>
            <w:tr w:rsidR="00AC2131" w:rsidTr="00AC2131">
              <w:tc>
                <w:tcPr>
                  <w:tcW w:w="2201"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Geelong Innovation and Investment Fund</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Industry Cooperative Innovation Program</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North East Tasmania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tcBorders>
                    <w:bottom w:val="single" w:sz="6" w:space="0" w:color="BFBFBF"/>
                  </w:tcBorders>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North West and Northern Tasmania Innovation and Investment Fund</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0.1</w:t>
                  </w:r>
                </w:p>
              </w:tc>
              <w:tc>
                <w:tcPr>
                  <w:tcW w:w="467" w:type="pct"/>
                  <w:tcBorders>
                    <w:bottom w:val="single" w:sz="6" w:space="0" w:color="BFBFBF"/>
                  </w:tcBorders>
                  <w:vAlign w:val="bottom"/>
                </w:tcPr>
                <w:p w:rsidR="00AC2131" w:rsidRDefault="00AC2131" w:rsidP="00AC2131">
                  <w:pPr>
                    <w:pStyle w:val="TableBodyText"/>
                    <w:spacing w:after="0"/>
                    <w:ind w:left="0" w:right="57"/>
                  </w:pPr>
                  <w:r>
                    <w:t>&lt;0.1</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4"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ind w:left="6499"/>
            </w:pPr>
            <w:r>
              <w:t xml:space="preserve"> (continued next page)</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8"/>
              <w:gridCol w:w="795"/>
              <w:gridCol w:w="794"/>
              <w:gridCol w:w="794"/>
              <w:gridCol w:w="794"/>
              <w:gridCol w:w="794"/>
              <w:gridCol w:w="786"/>
            </w:tblGrid>
            <w:tr w:rsidR="00AC2131" w:rsidTr="00AC2131">
              <w:tc>
                <w:tcPr>
                  <w:tcW w:w="2203" w:type="pct"/>
                  <w:tcBorders>
                    <w:top w:val="single" w:sz="6" w:space="0" w:color="BFBFBF"/>
                    <w:bottom w:val="single" w:sz="6" w:space="0" w:color="BFBFBF"/>
                  </w:tcBorders>
                </w:tcPr>
                <w:p w:rsidR="00AC2131" w:rsidRDefault="00AC2131" w:rsidP="00AC2131">
                  <w:pPr>
                    <w:pStyle w:val="TableColumnHeading"/>
                    <w:jc w:val="left"/>
                  </w:pPr>
                </w:p>
              </w:tc>
              <w:tc>
                <w:tcPr>
                  <w:tcW w:w="467" w:type="pct"/>
                  <w:tcBorders>
                    <w:top w:val="single" w:sz="6" w:space="0" w:color="BFBFBF"/>
                    <w:bottom w:val="single" w:sz="6" w:space="0" w:color="BFBFBF"/>
                  </w:tcBorders>
                  <w:vAlign w:val="bottom"/>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vAlign w:val="bottom"/>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vAlign w:val="bottom"/>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left="0" w:right="57"/>
                  </w:pPr>
                  <w:r>
                    <w:t>2012-13</w:t>
                  </w:r>
                </w:p>
              </w:tc>
              <w:tc>
                <w:tcPr>
                  <w:tcW w:w="462"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left="0" w:right="57"/>
                  </w:pPr>
                  <w:r>
                    <w:t>2013-14</w:t>
                  </w:r>
                </w:p>
              </w:tc>
            </w:tr>
            <w:tr w:rsidR="00AC2131" w:rsidTr="00AC2131">
              <w:tc>
                <w:tcPr>
                  <w:tcW w:w="2203" w:type="pct"/>
                </w:tcPr>
                <w:p w:rsidR="00AC2131" w:rsidRPr="00F5446C" w:rsidRDefault="00AC2131" w:rsidP="00AC2131">
                  <w:pPr>
                    <w:pStyle w:val="TableBodyText"/>
                    <w:spacing w:before="40" w:after="0"/>
                    <w:ind w:left="113"/>
                    <w:jc w:val="left"/>
                    <w:rPr>
                      <w:i/>
                    </w:rPr>
                  </w:pPr>
                  <w:r w:rsidRPr="00F5446C">
                    <w:rPr>
                      <w:i/>
                    </w:rPr>
                    <w:t>Other measures</w:t>
                  </w:r>
                  <w:r>
                    <w:rPr>
                      <w:i/>
                    </w:rPr>
                    <w:t xml:space="preserve"> (continued)</w:t>
                  </w: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2" w:type="pct"/>
                  <w:shd w:val="clear" w:color="auto" w:fill="auto"/>
                </w:tcPr>
                <w:p w:rsidR="00AC2131" w:rsidRDefault="00AC2131" w:rsidP="00AC2131">
                  <w:pPr>
                    <w:pStyle w:val="TableBodyText"/>
                  </w:pP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Scottsdale Industry and Community Development Fund</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-0.1</w:t>
                  </w:r>
                </w:p>
              </w:tc>
              <w:tc>
                <w:tcPr>
                  <w:tcW w:w="462" w:type="pct"/>
                  <w:shd w:val="clear" w:color="auto" w:fill="auto"/>
                  <w:vAlign w:val="bottom"/>
                </w:tcPr>
                <w:p w:rsidR="00AC2131" w:rsidRDefault="00AC2131" w:rsidP="00AC2131">
                  <w:pPr>
                    <w:pStyle w:val="TableBodyText"/>
                    <w:spacing w:after="0"/>
                    <w:ind w:left="0" w:right="57"/>
                  </w:pPr>
                  <w:r>
                    <w:t>2.4</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 xml:space="preserve">Small business </w:t>
                  </w:r>
                  <w:r>
                    <w:rPr>
                      <w:rFonts w:ascii="Arial" w:hAnsi="Arial" w:cs="Arial"/>
                      <w:color w:val="000000"/>
                      <w:sz w:val="18"/>
                      <w:szCs w:val="18"/>
                    </w:rPr>
                    <w:t>capital gains tax</w:t>
                  </w:r>
                  <w:r w:rsidRPr="004B42E7">
                    <w:rPr>
                      <w:rFonts w:ascii="Arial" w:hAnsi="Arial" w:cs="Arial"/>
                      <w:color w:val="000000"/>
                      <w:sz w:val="18"/>
                      <w:szCs w:val="18"/>
                    </w:rPr>
                    <w:t xml:space="preserve"> 50 per cent reduction</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0.6</w:t>
                  </w:r>
                </w:p>
              </w:tc>
              <w:tc>
                <w:tcPr>
                  <w:tcW w:w="467" w:type="pct"/>
                  <w:shd w:val="clear" w:color="auto" w:fill="auto"/>
                  <w:vAlign w:val="bottom"/>
                </w:tcPr>
                <w:p w:rsidR="00AC2131" w:rsidRDefault="00AC2131" w:rsidP="00AC2131">
                  <w:pPr>
                    <w:pStyle w:val="TableBodyText"/>
                    <w:spacing w:after="0"/>
                    <w:ind w:left="0" w:right="57"/>
                  </w:pPr>
                  <w:r>
                    <w:t>0.7</w:t>
                  </w:r>
                </w:p>
              </w:tc>
              <w:tc>
                <w:tcPr>
                  <w:tcW w:w="467" w:type="pct"/>
                  <w:shd w:val="clear" w:color="auto" w:fill="auto"/>
                  <w:vAlign w:val="bottom"/>
                </w:tcPr>
                <w:p w:rsidR="00AC2131" w:rsidRDefault="00AC2131" w:rsidP="00AC2131">
                  <w:pPr>
                    <w:pStyle w:val="TableBodyText"/>
                    <w:spacing w:after="0"/>
                    <w:ind w:left="0" w:right="57"/>
                  </w:pPr>
                  <w:r>
                    <w:t>0.7</w:t>
                  </w:r>
                </w:p>
              </w:tc>
              <w:tc>
                <w:tcPr>
                  <w:tcW w:w="462" w:type="pct"/>
                  <w:shd w:val="clear" w:color="auto" w:fill="auto"/>
                  <w:vAlign w:val="bottom"/>
                </w:tcPr>
                <w:p w:rsidR="00AC2131" w:rsidRDefault="00AC2131" w:rsidP="00AC2131">
                  <w:pPr>
                    <w:pStyle w:val="TableBodyText"/>
                    <w:spacing w:after="0"/>
                    <w:ind w:left="0" w:right="57"/>
                  </w:pPr>
                  <w:r>
                    <w:t>0.7</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 xml:space="preserve">Small business </w:t>
                  </w:r>
                  <w:r>
                    <w:rPr>
                      <w:rFonts w:ascii="Arial" w:hAnsi="Arial" w:cs="Arial"/>
                      <w:color w:val="000000"/>
                      <w:sz w:val="18"/>
                      <w:szCs w:val="18"/>
                    </w:rPr>
                    <w:t>capital gains tax</w:t>
                  </w:r>
                  <w:r w:rsidRPr="004B42E7">
                    <w:rPr>
                      <w:rFonts w:ascii="Arial" w:hAnsi="Arial" w:cs="Arial"/>
                      <w:color w:val="000000"/>
                      <w:sz w:val="18"/>
                      <w:szCs w:val="18"/>
                    </w:rPr>
                    <w:t xml:space="preserve"> retirement exemption</w:t>
                  </w:r>
                </w:p>
              </w:tc>
              <w:tc>
                <w:tcPr>
                  <w:tcW w:w="467"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South Australia Innovation and Investment Fund and Labour Assistance Package</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1.5</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The Small Business and General Business Tax Break</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2.5</w:t>
                  </w:r>
                </w:p>
              </w:tc>
              <w:tc>
                <w:tcPr>
                  <w:tcW w:w="467" w:type="pct"/>
                  <w:vAlign w:val="bottom"/>
                </w:tcPr>
                <w:p w:rsidR="00AC2131" w:rsidRDefault="00AC2131" w:rsidP="00AC2131">
                  <w:pPr>
                    <w:pStyle w:val="TableBodyText"/>
                    <w:spacing w:after="0"/>
                    <w:ind w:left="0" w:right="57"/>
                  </w:pPr>
                  <w:r>
                    <w:t>3.7</w:t>
                  </w:r>
                </w:p>
              </w:tc>
              <w:tc>
                <w:tcPr>
                  <w:tcW w:w="467" w:type="pct"/>
                  <w:shd w:val="clear" w:color="auto" w:fill="auto"/>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0.3</w:t>
                  </w:r>
                </w:p>
              </w:tc>
              <w:tc>
                <w:tcPr>
                  <w:tcW w:w="462"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3" w:type="pct"/>
                </w:tcPr>
                <w:p w:rsidR="00AC2131" w:rsidRPr="004B42E7" w:rsidRDefault="00AC2131" w:rsidP="00AC2131">
                  <w:pPr>
                    <w:pStyle w:val="TableBodyText"/>
                    <w:spacing w:before="20" w:after="20"/>
                    <w:jc w:val="left"/>
                    <w:rPr>
                      <w:i/>
                    </w:rPr>
                  </w:pPr>
                  <w:r w:rsidRPr="004B42E7">
                    <w:rPr>
                      <w:i/>
                    </w:rPr>
                    <w:t>Total</w:t>
                  </w:r>
                </w:p>
              </w:tc>
              <w:tc>
                <w:tcPr>
                  <w:tcW w:w="467" w:type="pct"/>
                  <w:vAlign w:val="bottom"/>
                </w:tcPr>
                <w:p w:rsidR="00AC2131" w:rsidRPr="001B161D" w:rsidRDefault="00AC2131" w:rsidP="00AC2131">
                  <w:pPr>
                    <w:pStyle w:val="TableBodyText"/>
                    <w:spacing w:before="20" w:after="20"/>
                    <w:ind w:left="0" w:right="57"/>
                    <w:rPr>
                      <w:i/>
                    </w:rPr>
                  </w:pPr>
                  <w:r w:rsidRPr="001B161D">
                    <w:rPr>
                      <w:i/>
                    </w:rPr>
                    <w:t>32.1</w:t>
                  </w:r>
                </w:p>
              </w:tc>
              <w:tc>
                <w:tcPr>
                  <w:tcW w:w="467" w:type="pct"/>
                  <w:vAlign w:val="bottom"/>
                </w:tcPr>
                <w:p w:rsidR="00AC2131" w:rsidRPr="001B161D" w:rsidRDefault="00AC2131" w:rsidP="00AC2131">
                  <w:pPr>
                    <w:pStyle w:val="TableBodyText"/>
                    <w:spacing w:before="20" w:after="20"/>
                    <w:ind w:left="0" w:right="57"/>
                    <w:rPr>
                      <w:i/>
                    </w:rPr>
                  </w:pPr>
                  <w:r w:rsidRPr="001B161D">
                    <w:rPr>
                      <w:i/>
                    </w:rPr>
                    <w:t>36.1</w:t>
                  </w:r>
                </w:p>
              </w:tc>
              <w:tc>
                <w:tcPr>
                  <w:tcW w:w="467" w:type="pct"/>
                  <w:vAlign w:val="bottom"/>
                </w:tcPr>
                <w:p w:rsidR="00AC2131" w:rsidRPr="001B161D" w:rsidRDefault="00AC2131" w:rsidP="00AC2131">
                  <w:pPr>
                    <w:pStyle w:val="TableBodyText"/>
                    <w:spacing w:before="20" w:after="20"/>
                    <w:ind w:left="0" w:right="57"/>
                    <w:rPr>
                      <w:i/>
                    </w:rPr>
                  </w:pPr>
                  <w:r w:rsidRPr="001B161D">
                    <w:rPr>
                      <w:i/>
                    </w:rPr>
                    <w:t>29.3</w:t>
                  </w:r>
                </w:p>
              </w:tc>
              <w:tc>
                <w:tcPr>
                  <w:tcW w:w="467" w:type="pct"/>
                  <w:shd w:val="clear" w:color="auto" w:fill="auto"/>
                  <w:vAlign w:val="bottom"/>
                </w:tcPr>
                <w:p w:rsidR="00AC2131" w:rsidRPr="001B161D" w:rsidRDefault="00AC2131" w:rsidP="00AC2131">
                  <w:pPr>
                    <w:pStyle w:val="TableBodyText"/>
                    <w:spacing w:before="20" w:after="20"/>
                    <w:ind w:left="0" w:right="57"/>
                    <w:rPr>
                      <w:i/>
                    </w:rPr>
                  </w:pPr>
                  <w:r w:rsidRPr="001B161D">
                    <w:rPr>
                      <w:i/>
                    </w:rPr>
                    <w:t>22.0</w:t>
                  </w:r>
                </w:p>
              </w:tc>
              <w:tc>
                <w:tcPr>
                  <w:tcW w:w="467" w:type="pct"/>
                  <w:shd w:val="clear" w:color="auto" w:fill="auto"/>
                  <w:vAlign w:val="bottom"/>
                </w:tcPr>
                <w:p w:rsidR="00AC2131" w:rsidRPr="001B161D" w:rsidRDefault="00AC2131" w:rsidP="00AC2131">
                  <w:pPr>
                    <w:pStyle w:val="TableBodyText"/>
                    <w:spacing w:before="20" w:after="20"/>
                    <w:ind w:left="0" w:right="57"/>
                    <w:rPr>
                      <w:i/>
                    </w:rPr>
                  </w:pPr>
                  <w:r w:rsidRPr="001B161D">
                    <w:rPr>
                      <w:i/>
                    </w:rPr>
                    <w:t>21.1</w:t>
                  </w:r>
                </w:p>
              </w:tc>
              <w:tc>
                <w:tcPr>
                  <w:tcW w:w="462" w:type="pct"/>
                  <w:shd w:val="clear" w:color="auto" w:fill="auto"/>
                  <w:vAlign w:val="bottom"/>
                </w:tcPr>
                <w:p w:rsidR="00AC2131" w:rsidRPr="001B161D" w:rsidRDefault="00AC2131" w:rsidP="00AC2131">
                  <w:pPr>
                    <w:pStyle w:val="TableBodyText"/>
                    <w:spacing w:before="20" w:after="20"/>
                    <w:ind w:left="0" w:right="57"/>
                    <w:rPr>
                      <w:i/>
                    </w:rPr>
                  </w:pPr>
                  <w:r w:rsidRPr="001B161D">
                    <w:rPr>
                      <w:i/>
                    </w:rPr>
                    <w:t>19.2</w:t>
                  </w:r>
                </w:p>
              </w:tc>
            </w:tr>
            <w:tr w:rsidR="00AC2131" w:rsidTr="00AC2131">
              <w:tc>
                <w:tcPr>
                  <w:tcW w:w="2203" w:type="pct"/>
                </w:tcPr>
                <w:p w:rsidR="00AC2131" w:rsidRPr="004B42E7" w:rsidRDefault="00AC2131" w:rsidP="00AC2131">
                  <w:pPr>
                    <w:pStyle w:val="TableBodyText"/>
                    <w:spacing w:before="40"/>
                    <w:jc w:val="left"/>
                    <w:rPr>
                      <w:b/>
                    </w:rPr>
                  </w:pPr>
                  <w:r w:rsidRPr="004B42E7">
                    <w:rPr>
                      <w:b/>
                    </w:rPr>
                    <w:t>Machinery and equipment manufacturing</w:t>
                  </w: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2" w:type="pct"/>
                  <w:shd w:val="clear" w:color="auto" w:fill="auto"/>
                </w:tcPr>
                <w:p w:rsidR="00AC2131" w:rsidRDefault="00AC2131" w:rsidP="00AC2131">
                  <w:pPr>
                    <w:pStyle w:val="TableBodyText"/>
                    <w:spacing w:before="40"/>
                  </w:pPr>
                </w:p>
              </w:tc>
            </w:tr>
            <w:tr w:rsidR="00AC2131" w:rsidTr="00AC2131">
              <w:tc>
                <w:tcPr>
                  <w:tcW w:w="2203" w:type="pct"/>
                </w:tcPr>
                <w:p w:rsidR="00AC2131" w:rsidRPr="004B42E7" w:rsidRDefault="00AC2131" w:rsidP="00AC2131">
                  <w:pPr>
                    <w:pStyle w:val="TableBodyText"/>
                    <w:spacing w:before="40" w:after="0"/>
                    <w:ind w:left="113"/>
                    <w:jc w:val="left"/>
                    <w:rPr>
                      <w:i/>
                    </w:rPr>
                  </w:pPr>
                  <w:r w:rsidRPr="004B42E7">
                    <w:rPr>
                      <w:i/>
                    </w:rPr>
                    <w:t>Sector-specific measures</w:t>
                  </w: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2" w:type="pct"/>
                  <w:shd w:val="clear" w:color="auto" w:fill="auto"/>
                </w:tcPr>
                <w:p w:rsidR="00AC2131" w:rsidRDefault="00AC2131" w:rsidP="00AC2131">
                  <w:pPr>
                    <w:pStyle w:val="TableBodyText"/>
                  </w:pP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 xml:space="preserve">Clean Technology Investment </w:t>
                  </w:r>
                  <w:r>
                    <w:rPr>
                      <w:rFonts w:ascii="Arial" w:hAnsi="Arial" w:cs="Arial"/>
                      <w:color w:val="000000"/>
                      <w:sz w:val="18"/>
                      <w:szCs w:val="18"/>
                    </w:rPr>
                    <w:t>–</w:t>
                  </w:r>
                  <w:r w:rsidRPr="004B42E7">
                    <w:rPr>
                      <w:rFonts w:ascii="Arial" w:hAnsi="Arial" w:cs="Arial"/>
                      <w:color w:val="000000"/>
                      <w:sz w:val="18"/>
                      <w:szCs w:val="18"/>
                    </w:rPr>
                    <w:t xml:space="preserve"> General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1.3</w:t>
                  </w:r>
                </w:p>
              </w:tc>
              <w:tc>
                <w:tcPr>
                  <w:tcW w:w="462" w:type="pct"/>
                  <w:shd w:val="clear" w:color="auto" w:fill="auto"/>
                  <w:vAlign w:val="bottom"/>
                </w:tcPr>
                <w:p w:rsidR="00AC2131" w:rsidRDefault="00AC2131" w:rsidP="00AC2131">
                  <w:pPr>
                    <w:pStyle w:val="TableBodyText"/>
                    <w:spacing w:after="0"/>
                    <w:ind w:left="0" w:right="57"/>
                  </w:pPr>
                  <w:r>
                    <w:t>1.9</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interest rate subsidies</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tcPr>
                <w:p w:rsidR="00AC2131" w:rsidRPr="004B42E7" w:rsidRDefault="00AC2131" w:rsidP="00AC2131">
                  <w:pPr>
                    <w:pStyle w:val="TableBodyText"/>
                    <w:spacing w:before="40" w:after="0"/>
                    <w:ind w:left="113"/>
                    <w:jc w:val="left"/>
                    <w:rPr>
                      <w:i/>
                    </w:rPr>
                  </w:pPr>
                  <w:r w:rsidRPr="004B42E7">
                    <w:rPr>
                      <w:i/>
                    </w:rPr>
                    <w:t>General export measures</w:t>
                  </w: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2" w:type="pct"/>
                  <w:shd w:val="clear" w:color="auto" w:fill="auto"/>
                </w:tcPr>
                <w:p w:rsidR="00AC2131" w:rsidRDefault="00AC2131" w:rsidP="00AC2131">
                  <w:pPr>
                    <w:pStyle w:val="TableBodyText"/>
                  </w:pP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 xml:space="preserve">Export Market Development Grants </w:t>
                  </w:r>
                  <w:r>
                    <w:rPr>
                      <w:rFonts w:ascii="Arial" w:hAnsi="Arial" w:cs="Arial"/>
                      <w:color w:val="000000"/>
                      <w:sz w:val="18"/>
                      <w:szCs w:val="18"/>
                    </w:rPr>
                    <w:t>S</w:t>
                  </w:r>
                  <w:r w:rsidRPr="004B42E7">
                    <w:rPr>
                      <w:rFonts w:ascii="Arial" w:hAnsi="Arial" w:cs="Arial"/>
                      <w:color w:val="000000"/>
                      <w:sz w:val="18"/>
                      <w:szCs w:val="18"/>
                    </w:rPr>
                    <w:t>cheme</w:t>
                  </w:r>
                </w:p>
              </w:tc>
              <w:tc>
                <w:tcPr>
                  <w:tcW w:w="467" w:type="pct"/>
                  <w:vAlign w:val="bottom"/>
                </w:tcPr>
                <w:p w:rsidR="00AC2131" w:rsidRDefault="00AC2131" w:rsidP="00AC2131">
                  <w:pPr>
                    <w:pStyle w:val="TableBodyText"/>
                    <w:spacing w:after="0"/>
                    <w:ind w:left="0" w:right="57"/>
                  </w:pPr>
                  <w:r>
                    <w:t>16.3</w:t>
                  </w:r>
                </w:p>
              </w:tc>
              <w:tc>
                <w:tcPr>
                  <w:tcW w:w="467" w:type="pct"/>
                  <w:vAlign w:val="bottom"/>
                </w:tcPr>
                <w:p w:rsidR="00AC2131" w:rsidRDefault="00AC2131" w:rsidP="00AC2131">
                  <w:pPr>
                    <w:pStyle w:val="TableBodyText"/>
                    <w:spacing w:after="0"/>
                    <w:ind w:left="0" w:right="57"/>
                  </w:pPr>
                  <w:r>
                    <w:t>19.5</w:t>
                  </w:r>
                </w:p>
              </w:tc>
              <w:tc>
                <w:tcPr>
                  <w:tcW w:w="467" w:type="pct"/>
                  <w:vAlign w:val="bottom"/>
                </w:tcPr>
                <w:p w:rsidR="00AC2131" w:rsidRDefault="00AC2131" w:rsidP="00AC2131">
                  <w:pPr>
                    <w:pStyle w:val="TableBodyText"/>
                    <w:spacing w:after="0"/>
                    <w:ind w:left="0" w:right="57"/>
                  </w:pPr>
                  <w:r>
                    <w:t>11.6</w:t>
                  </w:r>
                </w:p>
              </w:tc>
              <w:tc>
                <w:tcPr>
                  <w:tcW w:w="467" w:type="pct"/>
                  <w:shd w:val="clear" w:color="auto" w:fill="auto"/>
                  <w:vAlign w:val="bottom"/>
                </w:tcPr>
                <w:p w:rsidR="00AC2131" w:rsidRDefault="00AC2131" w:rsidP="00AC2131">
                  <w:pPr>
                    <w:pStyle w:val="TableBodyText"/>
                    <w:spacing w:after="0"/>
                    <w:ind w:left="0" w:right="57"/>
                  </w:pPr>
                  <w:r>
                    <w:t>9.7</w:t>
                  </w:r>
                </w:p>
              </w:tc>
              <w:tc>
                <w:tcPr>
                  <w:tcW w:w="467" w:type="pct"/>
                  <w:shd w:val="clear" w:color="auto" w:fill="auto"/>
                  <w:vAlign w:val="bottom"/>
                </w:tcPr>
                <w:p w:rsidR="00AC2131" w:rsidRDefault="00AC2131" w:rsidP="00AC2131">
                  <w:pPr>
                    <w:pStyle w:val="TableBodyText"/>
                    <w:spacing w:after="0"/>
                    <w:ind w:left="0" w:right="57"/>
                  </w:pPr>
                  <w:r>
                    <w:t>8.1</w:t>
                  </w:r>
                </w:p>
              </w:tc>
              <w:tc>
                <w:tcPr>
                  <w:tcW w:w="462" w:type="pct"/>
                  <w:shd w:val="clear" w:color="auto" w:fill="auto"/>
                  <w:vAlign w:val="bottom"/>
                </w:tcPr>
                <w:p w:rsidR="00AC2131" w:rsidRDefault="00AC2131" w:rsidP="00AC2131">
                  <w:pPr>
                    <w:pStyle w:val="TableBodyText"/>
                    <w:spacing w:after="0"/>
                    <w:ind w:left="0" w:right="57"/>
                  </w:pPr>
                  <w:r>
                    <w:t>8.9</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TRADEX</w:t>
                  </w:r>
                </w:p>
              </w:tc>
              <w:tc>
                <w:tcPr>
                  <w:tcW w:w="467" w:type="pct"/>
                  <w:vAlign w:val="bottom"/>
                </w:tcPr>
                <w:p w:rsidR="00AC2131" w:rsidRDefault="00AC2131" w:rsidP="00AC2131">
                  <w:pPr>
                    <w:pStyle w:val="TableBodyText"/>
                    <w:spacing w:after="0"/>
                    <w:ind w:left="0" w:right="57"/>
                  </w:pPr>
                  <w:r>
                    <w:t>4.9</w:t>
                  </w:r>
                </w:p>
              </w:tc>
              <w:tc>
                <w:tcPr>
                  <w:tcW w:w="467" w:type="pct"/>
                  <w:vAlign w:val="bottom"/>
                </w:tcPr>
                <w:p w:rsidR="00AC2131" w:rsidRDefault="00AC2131" w:rsidP="00AC2131">
                  <w:pPr>
                    <w:pStyle w:val="TableBodyText"/>
                    <w:spacing w:after="0"/>
                    <w:ind w:left="0" w:right="57"/>
                  </w:pPr>
                  <w:r>
                    <w:t>4.4</w:t>
                  </w:r>
                </w:p>
              </w:tc>
              <w:tc>
                <w:tcPr>
                  <w:tcW w:w="467" w:type="pct"/>
                  <w:vAlign w:val="bottom"/>
                </w:tcPr>
                <w:p w:rsidR="00AC2131" w:rsidRDefault="00AC2131" w:rsidP="00AC2131">
                  <w:pPr>
                    <w:pStyle w:val="TableBodyText"/>
                    <w:spacing w:after="0"/>
                    <w:ind w:left="0" w:right="57"/>
                  </w:pPr>
                  <w:r>
                    <w:t>2.8</w:t>
                  </w:r>
                </w:p>
              </w:tc>
              <w:tc>
                <w:tcPr>
                  <w:tcW w:w="467" w:type="pct"/>
                  <w:shd w:val="clear" w:color="auto" w:fill="auto"/>
                  <w:vAlign w:val="bottom"/>
                </w:tcPr>
                <w:p w:rsidR="00AC2131" w:rsidRDefault="00AC2131" w:rsidP="00AC2131">
                  <w:pPr>
                    <w:pStyle w:val="TableBodyText"/>
                    <w:spacing w:after="0"/>
                    <w:ind w:left="0" w:right="57"/>
                  </w:pPr>
                  <w:r>
                    <w:t>3.0</w:t>
                  </w:r>
                </w:p>
              </w:tc>
              <w:tc>
                <w:tcPr>
                  <w:tcW w:w="467" w:type="pct"/>
                  <w:shd w:val="clear" w:color="auto" w:fill="auto"/>
                  <w:vAlign w:val="bottom"/>
                </w:tcPr>
                <w:p w:rsidR="00AC2131" w:rsidRDefault="00AC2131" w:rsidP="00AC2131">
                  <w:pPr>
                    <w:pStyle w:val="TableBodyText"/>
                    <w:spacing w:after="0"/>
                    <w:ind w:left="0" w:right="57"/>
                  </w:pPr>
                  <w:r>
                    <w:t>3.1</w:t>
                  </w:r>
                </w:p>
              </w:tc>
              <w:tc>
                <w:tcPr>
                  <w:tcW w:w="462" w:type="pct"/>
                  <w:shd w:val="clear" w:color="auto" w:fill="auto"/>
                  <w:vAlign w:val="bottom"/>
                </w:tcPr>
                <w:p w:rsidR="00AC2131" w:rsidRDefault="00AC2131" w:rsidP="00AC2131">
                  <w:pPr>
                    <w:pStyle w:val="TableBodyText"/>
                    <w:spacing w:after="0"/>
                    <w:ind w:left="0" w:right="57"/>
                  </w:pPr>
                  <w:r>
                    <w:t>3.1</w:t>
                  </w:r>
                </w:p>
              </w:tc>
            </w:tr>
            <w:tr w:rsidR="00AC2131" w:rsidTr="00AC2131">
              <w:tc>
                <w:tcPr>
                  <w:tcW w:w="2203" w:type="pct"/>
                </w:tcPr>
                <w:p w:rsidR="00AC2131" w:rsidRPr="004B42E7" w:rsidRDefault="00AC2131" w:rsidP="00AC2131">
                  <w:pPr>
                    <w:pStyle w:val="TableUnitsRow"/>
                    <w:spacing w:after="0"/>
                    <w:ind w:left="113"/>
                    <w:jc w:val="left"/>
                    <w:rPr>
                      <w:i/>
                    </w:rPr>
                  </w:pPr>
                  <w:r w:rsidRPr="004B42E7">
                    <w:rPr>
                      <w:i/>
                    </w:rPr>
                    <w:t>General R&amp;D measures</w:t>
                  </w:r>
                </w:p>
              </w:tc>
              <w:tc>
                <w:tcPr>
                  <w:tcW w:w="467" w:type="pct"/>
                </w:tcPr>
                <w:p w:rsidR="00AC2131" w:rsidRDefault="00AC2131" w:rsidP="00AC2131">
                  <w:pPr>
                    <w:pStyle w:val="TableBodyText"/>
                    <w:spacing w:before="40" w:after="0"/>
                  </w:pPr>
                </w:p>
              </w:tc>
              <w:tc>
                <w:tcPr>
                  <w:tcW w:w="467" w:type="pct"/>
                </w:tcPr>
                <w:p w:rsidR="00AC2131" w:rsidRDefault="00AC2131" w:rsidP="00AC2131">
                  <w:pPr>
                    <w:pStyle w:val="TableBodyText"/>
                    <w:spacing w:before="40" w:after="0"/>
                  </w:pPr>
                </w:p>
              </w:tc>
              <w:tc>
                <w:tcPr>
                  <w:tcW w:w="467" w:type="pct"/>
                </w:tcPr>
                <w:p w:rsidR="00AC2131" w:rsidRDefault="00AC2131" w:rsidP="00AC2131">
                  <w:pPr>
                    <w:pStyle w:val="TableBodyText"/>
                    <w:spacing w:before="40" w:after="0"/>
                  </w:pPr>
                </w:p>
              </w:tc>
              <w:tc>
                <w:tcPr>
                  <w:tcW w:w="467" w:type="pct"/>
                </w:tcPr>
                <w:p w:rsidR="00AC2131" w:rsidRDefault="00AC2131" w:rsidP="00AC2131">
                  <w:pPr>
                    <w:pStyle w:val="TableBodyText"/>
                    <w:spacing w:before="40" w:after="0"/>
                  </w:pPr>
                </w:p>
              </w:tc>
              <w:tc>
                <w:tcPr>
                  <w:tcW w:w="467" w:type="pct"/>
                </w:tcPr>
                <w:p w:rsidR="00AC2131" w:rsidRDefault="00AC2131" w:rsidP="00AC2131">
                  <w:pPr>
                    <w:pStyle w:val="TableBodyText"/>
                    <w:spacing w:before="40" w:after="0"/>
                  </w:pPr>
                </w:p>
              </w:tc>
              <w:tc>
                <w:tcPr>
                  <w:tcW w:w="462" w:type="pct"/>
                </w:tcPr>
                <w:p w:rsidR="00AC2131" w:rsidRDefault="00AC2131" w:rsidP="00AC2131">
                  <w:pPr>
                    <w:pStyle w:val="TableBodyText"/>
                    <w:spacing w:before="40" w:after="0"/>
                  </w:pP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 xml:space="preserve">Clean Business Australia </w:t>
                  </w:r>
                  <w:r>
                    <w:rPr>
                      <w:rFonts w:ascii="Arial" w:hAnsi="Arial" w:cs="Arial"/>
                      <w:color w:val="000000"/>
                      <w:sz w:val="18"/>
                      <w:szCs w:val="18"/>
                    </w:rPr>
                    <w:t>–</w:t>
                  </w:r>
                  <w:r w:rsidRPr="004B42E7">
                    <w:rPr>
                      <w:rFonts w:ascii="Arial" w:hAnsi="Arial" w:cs="Arial"/>
                      <w:color w:val="000000"/>
                      <w:sz w:val="18"/>
                      <w:szCs w:val="18"/>
                    </w:rPr>
                    <w:t xml:space="preserve"> Climate Ready Program</w:t>
                  </w:r>
                </w:p>
              </w:tc>
              <w:tc>
                <w:tcPr>
                  <w:tcW w:w="467" w:type="pct"/>
                  <w:vAlign w:val="bottom"/>
                </w:tcPr>
                <w:p w:rsidR="00AC2131" w:rsidRDefault="00AC2131" w:rsidP="00AC2131">
                  <w:pPr>
                    <w:pStyle w:val="TableBodyText"/>
                    <w:spacing w:after="0"/>
                    <w:ind w:left="0" w:right="57"/>
                  </w:pPr>
                  <w:r>
                    <w:t>7.2</w:t>
                  </w:r>
                </w:p>
              </w:tc>
              <w:tc>
                <w:tcPr>
                  <w:tcW w:w="467" w:type="pct"/>
                  <w:vAlign w:val="bottom"/>
                </w:tcPr>
                <w:p w:rsidR="00AC2131" w:rsidRDefault="00AC2131" w:rsidP="00AC2131">
                  <w:pPr>
                    <w:pStyle w:val="TableBodyText"/>
                    <w:spacing w:after="0"/>
                    <w:ind w:left="0" w:right="57"/>
                  </w:pPr>
                  <w:r>
                    <w:t>11.8</w:t>
                  </w:r>
                </w:p>
              </w:tc>
              <w:tc>
                <w:tcPr>
                  <w:tcW w:w="467" w:type="pct"/>
                  <w:vAlign w:val="bottom"/>
                </w:tcPr>
                <w:p w:rsidR="00AC2131" w:rsidRDefault="00AC2131" w:rsidP="00AC2131">
                  <w:pPr>
                    <w:pStyle w:val="TableBodyText"/>
                    <w:spacing w:after="0"/>
                    <w:ind w:left="0" w:right="57"/>
                  </w:pPr>
                  <w:r>
                    <w:t>7.3</w:t>
                  </w:r>
                </w:p>
              </w:tc>
              <w:tc>
                <w:tcPr>
                  <w:tcW w:w="467" w:type="pct"/>
                  <w:vAlign w:val="bottom"/>
                </w:tcPr>
                <w:p w:rsidR="00AC2131" w:rsidRDefault="00AC2131" w:rsidP="00AC2131">
                  <w:pPr>
                    <w:pStyle w:val="TableBodyText"/>
                    <w:spacing w:after="0"/>
                    <w:ind w:left="0" w:right="57"/>
                  </w:pPr>
                  <w:r>
                    <w:t>2.9</w:t>
                  </w:r>
                </w:p>
              </w:tc>
              <w:tc>
                <w:tcPr>
                  <w:tcW w:w="467" w:type="pct"/>
                  <w:vAlign w:val="bottom"/>
                </w:tcPr>
                <w:p w:rsidR="00AC2131" w:rsidRDefault="00AC2131" w:rsidP="00AC2131">
                  <w:pPr>
                    <w:pStyle w:val="TableBodyText"/>
                    <w:spacing w:after="0"/>
                    <w:ind w:left="0" w:right="57"/>
                  </w:pPr>
                  <w:r>
                    <w:t>–</w:t>
                  </w:r>
                </w:p>
              </w:tc>
              <w:tc>
                <w:tcPr>
                  <w:tcW w:w="462" w:type="pct"/>
                  <w:vAlign w:val="bottom"/>
                </w:tcPr>
                <w:p w:rsidR="00AC2131" w:rsidRDefault="00AC2131" w:rsidP="00AC2131">
                  <w:pPr>
                    <w:pStyle w:val="TableBodyText"/>
                    <w:spacing w:after="0"/>
                    <w:ind w:left="0" w:right="57"/>
                  </w:pPr>
                  <w:r>
                    <w:t>–</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Clean Technology Innovation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0.8</w:t>
                  </w:r>
                </w:p>
              </w:tc>
              <w:tc>
                <w:tcPr>
                  <w:tcW w:w="462" w:type="pct"/>
                  <w:shd w:val="clear" w:color="auto" w:fill="auto"/>
                  <w:vAlign w:val="bottom"/>
                </w:tcPr>
                <w:p w:rsidR="00AC2131" w:rsidRDefault="00AC2131" w:rsidP="00AC2131">
                  <w:pPr>
                    <w:pStyle w:val="TableBodyText"/>
                    <w:spacing w:after="0"/>
                    <w:ind w:left="0" w:right="57"/>
                  </w:pPr>
                  <w:r>
                    <w:t>10.3</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Commercial Ready Program</w:t>
                  </w:r>
                </w:p>
              </w:tc>
              <w:tc>
                <w:tcPr>
                  <w:tcW w:w="467" w:type="pct"/>
                  <w:vAlign w:val="bottom"/>
                </w:tcPr>
                <w:p w:rsidR="00AC2131" w:rsidRDefault="00AC2131" w:rsidP="00AC2131">
                  <w:pPr>
                    <w:pStyle w:val="TableBodyText"/>
                    <w:spacing w:after="0"/>
                    <w:ind w:left="0" w:right="57"/>
                  </w:pPr>
                  <w:r>
                    <w:t>17.0</w:t>
                  </w:r>
                </w:p>
              </w:tc>
              <w:tc>
                <w:tcPr>
                  <w:tcW w:w="467" w:type="pct"/>
                  <w:vAlign w:val="bottom"/>
                </w:tcPr>
                <w:p w:rsidR="00AC2131" w:rsidRDefault="00AC2131" w:rsidP="00AC2131">
                  <w:pPr>
                    <w:pStyle w:val="TableBodyText"/>
                    <w:spacing w:after="0"/>
                    <w:ind w:left="0" w:right="57"/>
                  </w:pPr>
                  <w:r>
                    <w:t>4.5</w:t>
                  </w:r>
                </w:p>
              </w:tc>
              <w:tc>
                <w:tcPr>
                  <w:tcW w:w="467" w:type="pct"/>
                  <w:vAlign w:val="bottom"/>
                </w:tcPr>
                <w:p w:rsidR="00AC2131" w:rsidRDefault="00AC2131" w:rsidP="00AC2131">
                  <w:pPr>
                    <w:pStyle w:val="TableBodyText"/>
                    <w:spacing w:after="0"/>
                    <w:ind w:left="0" w:right="57"/>
                  </w:pPr>
                  <w:r>
                    <w:t>0.7</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4.1</w:t>
                  </w:r>
                </w:p>
              </w:tc>
              <w:tc>
                <w:tcPr>
                  <w:tcW w:w="467" w:type="pct"/>
                  <w:shd w:val="clear" w:color="auto" w:fill="auto"/>
                  <w:vAlign w:val="bottom"/>
                </w:tcPr>
                <w:p w:rsidR="00AC2131" w:rsidRDefault="00AC2131" w:rsidP="00AC2131">
                  <w:pPr>
                    <w:pStyle w:val="TableBodyText"/>
                    <w:spacing w:after="0"/>
                    <w:ind w:left="0" w:right="57"/>
                  </w:pPr>
                  <w:r>
                    <w:t>11.4</w:t>
                  </w:r>
                </w:p>
              </w:tc>
              <w:tc>
                <w:tcPr>
                  <w:tcW w:w="467" w:type="pct"/>
                  <w:shd w:val="clear" w:color="auto" w:fill="auto"/>
                  <w:vAlign w:val="bottom"/>
                </w:tcPr>
                <w:p w:rsidR="00AC2131" w:rsidRDefault="00AC2131" w:rsidP="00AC2131">
                  <w:pPr>
                    <w:pStyle w:val="TableBodyText"/>
                    <w:spacing w:after="0"/>
                    <w:ind w:left="0" w:right="57"/>
                  </w:pPr>
                  <w:r>
                    <w:t>12.6</w:t>
                  </w:r>
                </w:p>
              </w:tc>
              <w:tc>
                <w:tcPr>
                  <w:tcW w:w="462" w:type="pct"/>
                  <w:shd w:val="clear" w:color="auto" w:fill="auto"/>
                  <w:vAlign w:val="bottom"/>
                </w:tcPr>
                <w:p w:rsidR="00AC2131" w:rsidRDefault="00AC2131" w:rsidP="00AC2131">
                  <w:pPr>
                    <w:pStyle w:val="TableBodyText"/>
                    <w:spacing w:after="0"/>
                    <w:ind w:left="0" w:right="57"/>
                  </w:pPr>
                  <w:r>
                    <w:t>12.4</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Cooperative Research Centres</w:t>
                  </w:r>
                </w:p>
              </w:tc>
              <w:tc>
                <w:tcPr>
                  <w:tcW w:w="467" w:type="pct"/>
                  <w:vAlign w:val="bottom"/>
                </w:tcPr>
                <w:p w:rsidR="00AC2131" w:rsidRDefault="00AC2131" w:rsidP="00AC2131">
                  <w:pPr>
                    <w:pStyle w:val="TableBodyText"/>
                    <w:spacing w:after="0"/>
                    <w:ind w:left="0" w:right="57"/>
                  </w:pPr>
                  <w:r>
                    <w:t>3.8</w:t>
                  </w:r>
                </w:p>
              </w:tc>
              <w:tc>
                <w:tcPr>
                  <w:tcW w:w="467" w:type="pct"/>
                  <w:vAlign w:val="bottom"/>
                </w:tcPr>
                <w:p w:rsidR="00AC2131" w:rsidRDefault="00AC2131" w:rsidP="00AC2131">
                  <w:pPr>
                    <w:pStyle w:val="TableBodyText"/>
                    <w:spacing w:after="0"/>
                    <w:ind w:left="0" w:right="57"/>
                  </w:pPr>
                  <w:r>
                    <w:t>2.8</w:t>
                  </w:r>
                </w:p>
              </w:tc>
              <w:tc>
                <w:tcPr>
                  <w:tcW w:w="467" w:type="pct"/>
                  <w:vAlign w:val="bottom"/>
                </w:tcPr>
                <w:p w:rsidR="00AC2131" w:rsidRDefault="00AC2131" w:rsidP="00AC2131">
                  <w:pPr>
                    <w:pStyle w:val="TableBodyText"/>
                    <w:spacing w:after="0"/>
                    <w:ind w:left="0" w:right="57"/>
                  </w:pPr>
                  <w:r>
                    <w:t>2.5</w:t>
                  </w:r>
                </w:p>
              </w:tc>
              <w:tc>
                <w:tcPr>
                  <w:tcW w:w="467" w:type="pct"/>
                  <w:shd w:val="clear" w:color="auto" w:fill="auto"/>
                  <w:vAlign w:val="bottom"/>
                </w:tcPr>
                <w:p w:rsidR="00AC2131" w:rsidRDefault="00AC2131" w:rsidP="00AC2131">
                  <w:pPr>
                    <w:pStyle w:val="TableBodyText"/>
                    <w:spacing w:after="0"/>
                    <w:ind w:left="0" w:right="57"/>
                  </w:pPr>
                  <w:r>
                    <w:t>2.0</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19.1</w:t>
                  </w:r>
                </w:p>
              </w:tc>
              <w:tc>
                <w:tcPr>
                  <w:tcW w:w="467" w:type="pct"/>
                  <w:vAlign w:val="bottom"/>
                </w:tcPr>
                <w:p w:rsidR="00AC2131" w:rsidRDefault="00AC2131" w:rsidP="00AC2131">
                  <w:pPr>
                    <w:pStyle w:val="TableBodyText"/>
                    <w:spacing w:after="0"/>
                    <w:ind w:left="0" w:right="57"/>
                  </w:pPr>
                  <w:r>
                    <w:t>20.6</w:t>
                  </w:r>
                </w:p>
              </w:tc>
              <w:tc>
                <w:tcPr>
                  <w:tcW w:w="467" w:type="pct"/>
                  <w:vAlign w:val="bottom"/>
                </w:tcPr>
                <w:p w:rsidR="00AC2131" w:rsidRDefault="00AC2131" w:rsidP="00AC2131">
                  <w:pPr>
                    <w:pStyle w:val="TableBodyText"/>
                    <w:spacing w:after="0"/>
                    <w:ind w:left="0" w:right="57"/>
                  </w:pPr>
                  <w:r>
                    <w:t>21.1</w:t>
                  </w:r>
                </w:p>
              </w:tc>
              <w:tc>
                <w:tcPr>
                  <w:tcW w:w="467" w:type="pct"/>
                  <w:shd w:val="clear" w:color="auto" w:fill="auto"/>
                  <w:vAlign w:val="bottom"/>
                </w:tcPr>
                <w:p w:rsidR="00AC2131" w:rsidRDefault="00AC2131" w:rsidP="00AC2131">
                  <w:pPr>
                    <w:pStyle w:val="TableBodyText"/>
                    <w:spacing w:after="0"/>
                    <w:ind w:left="0" w:right="57"/>
                  </w:pPr>
                  <w:r>
                    <w:t>3.7</w:t>
                  </w:r>
                </w:p>
              </w:tc>
              <w:tc>
                <w:tcPr>
                  <w:tcW w:w="467" w:type="pct"/>
                  <w:shd w:val="clear" w:color="auto" w:fill="auto"/>
                  <w:vAlign w:val="bottom"/>
                </w:tcPr>
                <w:p w:rsidR="00AC2131" w:rsidRDefault="00AC2131" w:rsidP="00AC2131">
                  <w:pPr>
                    <w:pStyle w:val="TableBodyText"/>
                    <w:spacing w:after="0"/>
                    <w:ind w:left="0" w:right="57"/>
                  </w:pPr>
                  <w:r>
                    <w:t>5.0</w:t>
                  </w:r>
                </w:p>
              </w:tc>
              <w:tc>
                <w:tcPr>
                  <w:tcW w:w="462" w:type="pct"/>
                  <w:shd w:val="clear" w:color="auto" w:fill="auto"/>
                  <w:vAlign w:val="bottom"/>
                </w:tcPr>
                <w:p w:rsidR="00AC2131" w:rsidRDefault="00AC2131" w:rsidP="00AC2131">
                  <w:pPr>
                    <w:pStyle w:val="TableBodyText"/>
                    <w:spacing w:after="0"/>
                    <w:ind w:left="0" w:right="57"/>
                  </w:pPr>
                  <w:r>
                    <w:t>6.9</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Innovation Investment Fund</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New Industries Development Program</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13.8</w:t>
                  </w:r>
                </w:p>
              </w:tc>
              <w:tc>
                <w:tcPr>
                  <w:tcW w:w="467" w:type="pct"/>
                  <w:vAlign w:val="bottom"/>
                </w:tcPr>
                <w:p w:rsidR="00AC2131" w:rsidRDefault="00AC2131" w:rsidP="00AC2131">
                  <w:pPr>
                    <w:pStyle w:val="TableBodyText"/>
                    <w:spacing w:after="0"/>
                    <w:ind w:left="0" w:right="57"/>
                  </w:pPr>
                  <w:r>
                    <w:t>22.3</w:t>
                  </w:r>
                </w:p>
              </w:tc>
              <w:tc>
                <w:tcPr>
                  <w:tcW w:w="467" w:type="pct"/>
                  <w:vAlign w:val="bottom"/>
                </w:tcPr>
                <w:p w:rsidR="00AC2131" w:rsidRDefault="00AC2131" w:rsidP="00AC2131">
                  <w:pPr>
                    <w:pStyle w:val="TableBodyText"/>
                    <w:spacing w:after="0"/>
                    <w:ind w:left="0" w:right="57"/>
                  </w:pPr>
                  <w:r>
                    <w:t>19.2</w:t>
                  </w:r>
                </w:p>
              </w:tc>
              <w:tc>
                <w:tcPr>
                  <w:tcW w:w="467" w:type="pct"/>
                  <w:shd w:val="clear" w:color="auto" w:fill="auto"/>
                  <w:vAlign w:val="bottom"/>
                </w:tcPr>
                <w:p w:rsidR="00AC2131" w:rsidRDefault="00AC2131" w:rsidP="00AC2131">
                  <w:pPr>
                    <w:pStyle w:val="TableBodyText"/>
                    <w:spacing w:after="0"/>
                    <w:ind w:left="0" w:right="57"/>
                  </w:pPr>
                  <w:r>
                    <w:t>19.1</w:t>
                  </w:r>
                </w:p>
              </w:tc>
              <w:tc>
                <w:tcPr>
                  <w:tcW w:w="467" w:type="pct"/>
                  <w:shd w:val="clear" w:color="auto" w:fill="auto"/>
                  <w:vAlign w:val="bottom"/>
                </w:tcPr>
                <w:p w:rsidR="00AC2131" w:rsidRDefault="00AC2131" w:rsidP="00AC2131">
                  <w:pPr>
                    <w:pStyle w:val="TableBodyText"/>
                    <w:spacing w:after="0"/>
                    <w:ind w:left="0" w:right="57"/>
                  </w:pPr>
                  <w:r>
                    <w:t>5.2</w:t>
                  </w:r>
                </w:p>
              </w:tc>
              <w:tc>
                <w:tcPr>
                  <w:tcW w:w="462" w:type="pct"/>
                  <w:shd w:val="clear" w:color="auto" w:fill="auto"/>
                  <w:vAlign w:val="bottom"/>
                </w:tcPr>
                <w:p w:rsidR="00AC2131" w:rsidRDefault="00AC2131" w:rsidP="00AC2131">
                  <w:pPr>
                    <w:pStyle w:val="TableBodyText"/>
                    <w:spacing w:after="0"/>
                    <w:ind w:left="0" w:right="57"/>
                  </w:pPr>
                  <w:r>
                    <w:t>2.2</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Pr>
                      <w:rFonts w:ascii="Arial" w:hAnsi="Arial" w:cs="Arial"/>
                      <w:color w:val="000000"/>
                      <w:sz w:val="18"/>
                      <w:szCs w:val="18"/>
                    </w:rPr>
                    <w:t>Pre-seed fund</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R&amp;D Start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35.2</w:t>
                  </w:r>
                </w:p>
              </w:tc>
              <w:tc>
                <w:tcPr>
                  <w:tcW w:w="467" w:type="pct"/>
                  <w:vAlign w:val="bottom"/>
                </w:tcPr>
                <w:p w:rsidR="00AC2131" w:rsidRDefault="00AC2131" w:rsidP="00AC2131">
                  <w:pPr>
                    <w:pStyle w:val="TableBodyText"/>
                    <w:spacing w:after="0"/>
                    <w:ind w:left="0" w:right="57"/>
                  </w:pPr>
                  <w:r>
                    <w:t>47.1</w:t>
                  </w:r>
                </w:p>
              </w:tc>
              <w:tc>
                <w:tcPr>
                  <w:tcW w:w="467" w:type="pct"/>
                  <w:vAlign w:val="bottom"/>
                </w:tcPr>
                <w:p w:rsidR="00AC2131" w:rsidRDefault="00AC2131" w:rsidP="00AC2131">
                  <w:pPr>
                    <w:pStyle w:val="TableBodyText"/>
                    <w:spacing w:after="0"/>
                    <w:ind w:left="0" w:right="57"/>
                  </w:pPr>
                  <w:r>
                    <w:t>47.1</w:t>
                  </w:r>
                </w:p>
              </w:tc>
              <w:tc>
                <w:tcPr>
                  <w:tcW w:w="467" w:type="pct"/>
                  <w:shd w:val="clear" w:color="auto" w:fill="auto"/>
                  <w:vAlign w:val="bottom"/>
                </w:tcPr>
                <w:p w:rsidR="00AC2131" w:rsidRDefault="00AC2131" w:rsidP="00AC2131">
                  <w:pPr>
                    <w:pStyle w:val="TableBodyText"/>
                    <w:spacing w:after="0"/>
                    <w:ind w:left="0" w:right="57"/>
                  </w:pPr>
                  <w:r>
                    <w:t>54.5</w:t>
                  </w:r>
                </w:p>
              </w:tc>
              <w:tc>
                <w:tcPr>
                  <w:tcW w:w="467" w:type="pct"/>
                  <w:shd w:val="clear" w:color="auto" w:fill="auto"/>
                  <w:vAlign w:val="bottom"/>
                </w:tcPr>
                <w:p w:rsidR="00AC2131" w:rsidRDefault="00AC2131" w:rsidP="00AC2131">
                  <w:pPr>
                    <w:pStyle w:val="TableBodyText"/>
                    <w:spacing w:after="0"/>
                    <w:ind w:left="0" w:right="57"/>
                  </w:pPr>
                  <w:r>
                    <w:t>24.3</w:t>
                  </w:r>
                </w:p>
              </w:tc>
              <w:tc>
                <w:tcPr>
                  <w:tcW w:w="462" w:type="pct"/>
                  <w:shd w:val="clear" w:color="auto" w:fill="auto"/>
                  <w:vAlign w:val="bottom"/>
                </w:tcPr>
                <w:p w:rsidR="00AC2131" w:rsidRDefault="00AC2131" w:rsidP="00AC2131">
                  <w:pPr>
                    <w:pStyle w:val="TableBodyText"/>
                    <w:spacing w:after="0"/>
                    <w:ind w:left="0" w:right="57"/>
                  </w:pPr>
                  <w:r>
                    <w:t>8.3</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-16.5</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58.1</w:t>
                  </w:r>
                </w:p>
              </w:tc>
              <w:tc>
                <w:tcPr>
                  <w:tcW w:w="462" w:type="pct"/>
                  <w:shd w:val="clear" w:color="auto" w:fill="auto"/>
                  <w:vAlign w:val="bottom"/>
                </w:tcPr>
                <w:p w:rsidR="00AC2131" w:rsidRDefault="00AC2131" w:rsidP="00AC2131">
                  <w:pPr>
                    <w:pStyle w:val="TableBodyText"/>
                    <w:spacing w:after="0"/>
                    <w:ind w:left="0" w:right="57"/>
                  </w:pPr>
                  <w:r>
                    <w:t>20.3</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30.5</w:t>
                  </w:r>
                </w:p>
              </w:tc>
              <w:tc>
                <w:tcPr>
                  <w:tcW w:w="462" w:type="pct"/>
                  <w:shd w:val="clear" w:color="auto" w:fill="auto"/>
                  <w:vAlign w:val="bottom"/>
                </w:tcPr>
                <w:p w:rsidR="00AC2131" w:rsidRDefault="00AC2131" w:rsidP="00AC2131">
                  <w:pPr>
                    <w:pStyle w:val="TableBodyText"/>
                    <w:spacing w:after="0"/>
                    <w:ind w:left="0" w:right="57"/>
                  </w:pPr>
                  <w:r>
                    <w:t>54.6</w:t>
                  </w:r>
                </w:p>
              </w:tc>
            </w:tr>
            <w:tr w:rsidR="00AC2131" w:rsidTr="00AC2131">
              <w:tc>
                <w:tcPr>
                  <w:tcW w:w="2203" w:type="pct"/>
                  <w:vAlign w:val="bottom"/>
                </w:tcPr>
                <w:p w:rsidR="00AC2131" w:rsidRPr="004B42E7"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51.5</w:t>
                  </w:r>
                </w:p>
              </w:tc>
              <w:tc>
                <w:tcPr>
                  <w:tcW w:w="467" w:type="pct"/>
                  <w:vAlign w:val="bottom"/>
                </w:tcPr>
                <w:p w:rsidR="00AC2131" w:rsidRDefault="00AC2131" w:rsidP="00AC2131">
                  <w:pPr>
                    <w:pStyle w:val="TableBodyText"/>
                    <w:spacing w:after="0"/>
                    <w:ind w:left="0" w:right="57"/>
                  </w:pPr>
                  <w:r>
                    <w:t>58.8</w:t>
                  </w:r>
                </w:p>
              </w:tc>
              <w:tc>
                <w:tcPr>
                  <w:tcW w:w="467" w:type="pct"/>
                  <w:vAlign w:val="bottom"/>
                </w:tcPr>
                <w:p w:rsidR="00AC2131" w:rsidRDefault="00AC2131" w:rsidP="00AC2131">
                  <w:pPr>
                    <w:pStyle w:val="TableBodyText"/>
                    <w:spacing w:after="0"/>
                    <w:ind w:left="0" w:right="57"/>
                  </w:pPr>
                  <w:r>
                    <w:t>34.8</w:t>
                  </w:r>
                </w:p>
              </w:tc>
              <w:tc>
                <w:tcPr>
                  <w:tcW w:w="467" w:type="pct"/>
                  <w:shd w:val="clear" w:color="auto" w:fill="auto"/>
                  <w:vAlign w:val="bottom"/>
                </w:tcPr>
                <w:p w:rsidR="00AC2131" w:rsidRDefault="00AC2131" w:rsidP="00AC2131">
                  <w:pPr>
                    <w:pStyle w:val="TableBodyText"/>
                    <w:spacing w:after="0"/>
                    <w:ind w:left="0" w:right="57"/>
                  </w:pPr>
                  <w:r>
                    <w:t>39.3</w:t>
                  </w:r>
                </w:p>
              </w:tc>
              <w:tc>
                <w:tcPr>
                  <w:tcW w:w="467" w:type="pct"/>
                  <w:shd w:val="clear" w:color="auto" w:fill="auto"/>
                  <w:vAlign w:val="bottom"/>
                </w:tcPr>
                <w:p w:rsidR="00AC2131" w:rsidRDefault="00AC2131" w:rsidP="00AC2131">
                  <w:pPr>
                    <w:pStyle w:val="TableBodyText"/>
                    <w:spacing w:after="0"/>
                    <w:ind w:left="0" w:right="57"/>
                  </w:pPr>
                  <w:r>
                    <w:t>–</w:t>
                  </w:r>
                </w:p>
              </w:tc>
              <w:tc>
                <w:tcPr>
                  <w:tcW w:w="462" w:type="pct"/>
                  <w:shd w:val="clear" w:color="auto" w:fill="auto"/>
                  <w:vAlign w:val="bottom"/>
                </w:tcPr>
                <w:p w:rsidR="00AC2131" w:rsidRDefault="00AC2131" w:rsidP="00AC2131">
                  <w:pPr>
                    <w:pStyle w:val="TableBodyText"/>
                    <w:spacing w:after="0"/>
                    <w:ind w:left="0" w:right="57"/>
                  </w:pPr>
                  <w:r>
                    <w:t>–</w:t>
                  </w:r>
                </w:p>
              </w:tc>
            </w:tr>
            <w:tr w:rsidR="00AC2131" w:rsidTr="00AC2131">
              <w:tc>
                <w:tcPr>
                  <w:tcW w:w="2203" w:type="pct"/>
                  <w:tcBorders>
                    <w:bottom w:val="single" w:sz="6" w:space="0" w:color="BFBFBF"/>
                  </w:tcBorders>
                  <w:vAlign w:val="bottom"/>
                </w:tcPr>
                <w:p w:rsidR="00AC2131" w:rsidRPr="004B42E7" w:rsidRDefault="00AC2131" w:rsidP="00AC2131">
                  <w:pPr>
                    <w:ind w:left="227"/>
                    <w:rPr>
                      <w:rFonts w:ascii="Arial" w:hAnsi="Arial" w:cs="Arial"/>
                      <w:color w:val="000000"/>
                      <w:sz w:val="18"/>
                      <w:szCs w:val="18"/>
                    </w:rPr>
                  </w:pPr>
                  <w:r w:rsidRPr="004B42E7">
                    <w:rPr>
                      <w:rFonts w:ascii="Arial" w:hAnsi="Arial" w:cs="Arial"/>
                      <w:color w:val="000000"/>
                      <w:sz w:val="18"/>
                      <w:szCs w:val="18"/>
                    </w:rPr>
                    <w:t>Renewable Energy Development Initiative</w:t>
                  </w:r>
                </w:p>
              </w:tc>
              <w:tc>
                <w:tcPr>
                  <w:tcW w:w="467" w:type="pct"/>
                  <w:tcBorders>
                    <w:bottom w:val="single" w:sz="6" w:space="0" w:color="BFBFBF"/>
                  </w:tcBorders>
                  <w:vAlign w:val="bottom"/>
                </w:tcPr>
                <w:p w:rsidR="00AC2131" w:rsidRDefault="00AC2131" w:rsidP="00AC2131">
                  <w:pPr>
                    <w:pStyle w:val="TableBodyText"/>
                    <w:spacing w:after="0"/>
                    <w:ind w:left="0" w:right="57"/>
                  </w:pPr>
                  <w:r>
                    <w:t>0.2</w:t>
                  </w:r>
                </w:p>
              </w:tc>
              <w:tc>
                <w:tcPr>
                  <w:tcW w:w="467" w:type="pct"/>
                  <w:tcBorders>
                    <w:bottom w:val="single" w:sz="6" w:space="0" w:color="BFBFBF"/>
                  </w:tcBorders>
                  <w:vAlign w:val="bottom"/>
                </w:tcPr>
                <w:p w:rsidR="00AC2131" w:rsidRDefault="00AC2131" w:rsidP="00AC2131">
                  <w:pPr>
                    <w:pStyle w:val="TableBodyText"/>
                    <w:spacing w:after="0"/>
                    <w:ind w:left="0" w:right="57"/>
                  </w:pPr>
                  <w:r>
                    <w:t>0.1</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2"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left="6357"/>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39"/>
              <w:gridCol w:w="19"/>
              <w:gridCol w:w="781"/>
              <w:gridCol w:w="14"/>
              <w:gridCol w:w="781"/>
              <w:gridCol w:w="14"/>
              <w:gridCol w:w="781"/>
              <w:gridCol w:w="14"/>
              <w:gridCol w:w="781"/>
              <w:gridCol w:w="14"/>
              <w:gridCol w:w="781"/>
              <w:gridCol w:w="14"/>
              <w:gridCol w:w="772"/>
            </w:tblGrid>
            <w:tr w:rsidR="00AC2131" w:rsidTr="00AC2131">
              <w:tc>
                <w:tcPr>
                  <w:tcW w:w="2199" w:type="pct"/>
                  <w:tcBorders>
                    <w:top w:val="single" w:sz="6" w:space="0" w:color="BFBFBF"/>
                    <w:bottom w:val="single" w:sz="6" w:space="0" w:color="BFBFBF"/>
                  </w:tcBorders>
                </w:tcPr>
                <w:p w:rsidR="00AC2131" w:rsidRDefault="00AC2131" w:rsidP="00AC2131">
                  <w:pPr>
                    <w:pStyle w:val="TableColumnHeading"/>
                    <w:jc w:val="left"/>
                  </w:pPr>
                </w:p>
              </w:tc>
              <w:tc>
                <w:tcPr>
                  <w:tcW w:w="471" w:type="pct"/>
                  <w:gridSpan w:val="2"/>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gridSpan w:val="2"/>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gridSpan w:val="2"/>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gridSpan w:val="2"/>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2011-12</w:t>
                  </w:r>
                </w:p>
              </w:tc>
              <w:tc>
                <w:tcPr>
                  <w:tcW w:w="467" w:type="pct"/>
                  <w:gridSpan w:val="2"/>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2" w:type="pct"/>
                  <w:gridSpan w:val="2"/>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11" w:type="pct"/>
                  <w:gridSpan w:val="2"/>
                </w:tcPr>
                <w:p w:rsidR="00AC2131" w:rsidRPr="00DA5E6F" w:rsidRDefault="00AC2131" w:rsidP="00AC2131">
                  <w:pPr>
                    <w:pStyle w:val="TableBodyText"/>
                    <w:spacing w:before="40" w:after="0"/>
                    <w:ind w:left="113"/>
                    <w:jc w:val="left"/>
                    <w:rPr>
                      <w:i/>
                    </w:rPr>
                  </w:pPr>
                  <w:r w:rsidRPr="00DA5E6F">
                    <w:rPr>
                      <w:i/>
                    </w:rPr>
                    <w:t>Other measures</w:t>
                  </w:r>
                </w:p>
              </w:tc>
              <w:tc>
                <w:tcPr>
                  <w:tcW w:w="467" w:type="pct"/>
                  <w:gridSpan w:val="2"/>
                </w:tcPr>
                <w:p w:rsidR="00AC2131" w:rsidRDefault="00AC2131" w:rsidP="00AC2131">
                  <w:pPr>
                    <w:pStyle w:val="TableBodyText"/>
                  </w:pPr>
                </w:p>
              </w:tc>
              <w:tc>
                <w:tcPr>
                  <w:tcW w:w="467" w:type="pct"/>
                  <w:gridSpan w:val="2"/>
                </w:tcPr>
                <w:p w:rsidR="00AC2131" w:rsidRDefault="00AC2131" w:rsidP="00AC2131">
                  <w:pPr>
                    <w:pStyle w:val="TableBodyText"/>
                  </w:pPr>
                </w:p>
              </w:tc>
              <w:tc>
                <w:tcPr>
                  <w:tcW w:w="467" w:type="pct"/>
                  <w:gridSpan w:val="2"/>
                </w:tcPr>
                <w:p w:rsidR="00AC2131" w:rsidRDefault="00AC2131" w:rsidP="00AC2131">
                  <w:pPr>
                    <w:pStyle w:val="TableBodyText"/>
                  </w:pPr>
                </w:p>
              </w:tc>
              <w:tc>
                <w:tcPr>
                  <w:tcW w:w="467" w:type="pct"/>
                  <w:gridSpan w:val="2"/>
                  <w:shd w:val="clear" w:color="auto" w:fill="auto"/>
                </w:tcPr>
                <w:p w:rsidR="00AC2131" w:rsidRDefault="00AC2131" w:rsidP="00AC2131">
                  <w:pPr>
                    <w:pStyle w:val="TableBodyText"/>
                  </w:pPr>
                </w:p>
              </w:tc>
              <w:tc>
                <w:tcPr>
                  <w:tcW w:w="467" w:type="pct"/>
                  <w:gridSpan w:val="2"/>
                  <w:shd w:val="clear" w:color="auto" w:fill="auto"/>
                </w:tcPr>
                <w:p w:rsidR="00AC2131" w:rsidRDefault="00AC2131" w:rsidP="00AC2131">
                  <w:pPr>
                    <w:pStyle w:val="TableBodyText"/>
                  </w:pPr>
                </w:p>
              </w:tc>
              <w:tc>
                <w:tcPr>
                  <w:tcW w:w="455" w:type="pct"/>
                  <w:shd w:val="clear" w:color="auto" w:fill="auto"/>
                </w:tcPr>
                <w:p w:rsidR="00AC2131" w:rsidRDefault="00AC2131" w:rsidP="00AC2131">
                  <w:pPr>
                    <w:pStyle w:val="TableBodyText"/>
                  </w:pP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25 per cent entrepreneurs' tax offset</w:t>
                  </w:r>
                </w:p>
              </w:tc>
              <w:tc>
                <w:tcPr>
                  <w:tcW w:w="467" w:type="pct"/>
                  <w:gridSpan w:val="2"/>
                  <w:vAlign w:val="bottom"/>
                </w:tcPr>
                <w:p w:rsidR="00AC2131" w:rsidRDefault="00AC2131" w:rsidP="00AC2131">
                  <w:pPr>
                    <w:pStyle w:val="TableBodyText"/>
                    <w:spacing w:after="0"/>
                    <w:ind w:left="0" w:right="57"/>
                  </w:pPr>
                  <w:r>
                    <w:t>0.3</w:t>
                  </w:r>
                </w:p>
              </w:tc>
              <w:tc>
                <w:tcPr>
                  <w:tcW w:w="467" w:type="pct"/>
                  <w:gridSpan w:val="2"/>
                  <w:vAlign w:val="bottom"/>
                </w:tcPr>
                <w:p w:rsidR="00AC2131" w:rsidRDefault="00AC2131" w:rsidP="00AC2131">
                  <w:pPr>
                    <w:pStyle w:val="TableBodyText"/>
                    <w:spacing w:after="0"/>
                    <w:ind w:left="0" w:right="57"/>
                  </w:pPr>
                  <w:r>
                    <w:t>0.3</w:t>
                  </w:r>
                </w:p>
              </w:tc>
              <w:tc>
                <w:tcPr>
                  <w:tcW w:w="467" w:type="pct"/>
                  <w:gridSpan w:val="2"/>
                  <w:vAlign w:val="bottom"/>
                </w:tcPr>
                <w:p w:rsidR="00AC2131" w:rsidRDefault="00AC2131" w:rsidP="00AC2131">
                  <w:pPr>
                    <w:pStyle w:val="TableBodyText"/>
                    <w:spacing w:after="0"/>
                    <w:ind w:left="0" w:right="57"/>
                  </w:pPr>
                  <w:r>
                    <w:t>0.3</w:t>
                  </w:r>
                </w:p>
              </w:tc>
              <w:tc>
                <w:tcPr>
                  <w:tcW w:w="467" w:type="pct"/>
                  <w:gridSpan w:val="2"/>
                  <w:shd w:val="clear" w:color="auto" w:fill="auto"/>
                  <w:vAlign w:val="bottom"/>
                </w:tcPr>
                <w:p w:rsidR="00AC2131" w:rsidRDefault="00AC2131" w:rsidP="00AC2131">
                  <w:pPr>
                    <w:pStyle w:val="TableBodyText"/>
                    <w:spacing w:after="0"/>
                    <w:ind w:left="0" w:right="57"/>
                  </w:pPr>
                  <w:r>
                    <w:t>0.3</w:t>
                  </w:r>
                </w:p>
              </w:tc>
              <w:tc>
                <w:tcPr>
                  <w:tcW w:w="467" w:type="pct"/>
                  <w:gridSpan w:val="2"/>
                  <w:shd w:val="clear" w:color="auto" w:fill="auto"/>
                  <w:vAlign w:val="bottom"/>
                </w:tcPr>
                <w:p w:rsidR="00AC2131" w:rsidRDefault="00AC2131" w:rsidP="00AC2131">
                  <w:pPr>
                    <w:pStyle w:val="TableBodyText"/>
                    <w:spacing w:after="0"/>
                    <w:ind w:left="0" w:right="57"/>
                  </w:pPr>
                  <w:r>
                    <w:t>0.4</w:t>
                  </w:r>
                </w:p>
              </w:tc>
              <w:tc>
                <w:tcPr>
                  <w:tcW w:w="455" w:type="pct"/>
                  <w:shd w:val="clear" w:color="auto" w:fill="auto"/>
                  <w:vAlign w:val="bottom"/>
                </w:tcPr>
                <w:p w:rsidR="00AC2131" w:rsidRDefault="00AC2131" w:rsidP="00AC2131">
                  <w:pPr>
                    <w:pStyle w:val="TableBodyText"/>
                    <w:spacing w:after="0"/>
                    <w:ind w:left="0" w:right="57"/>
                  </w:pPr>
                  <w:r>
                    <w:t>–</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Enterprise Connect Innovation Centres</w:t>
                  </w:r>
                </w:p>
              </w:tc>
              <w:tc>
                <w:tcPr>
                  <w:tcW w:w="467" w:type="pct"/>
                  <w:gridSpan w:val="2"/>
                  <w:vAlign w:val="bottom"/>
                </w:tcPr>
                <w:p w:rsidR="00AC2131" w:rsidRDefault="00AC2131" w:rsidP="00AC2131">
                  <w:pPr>
                    <w:pStyle w:val="TableBodyText"/>
                    <w:spacing w:after="0"/>
                    <w:ind w:left="0" w:right="57"/>
                  </w:pPr>
                  <w:r>
                    <w:t>0.2</w:t>
                  </w:r>
                </w:p>
              </w:tc>
              <w:tc>
                <w:tcPr>
                  <w:tcW w:w="467" w:type="pct"/>
                  <w:gridSpan w:val="2"/>
                  <w:vAlign w:val="bottom"/>
                </w:tcPr>
                <w:p w:rsidR="00AC2131" w:rsidRDefault="00AC2131" w:rsidP="00AC2131">
                  <w:pPr>
                    <w:pStyle w:val="TableBodyText"/>
                    <w:spacing w:after="0"/>
                    <w:ind w:left="0" w:right="57"/>
                  </w:pPr>
                  <w:r>
                    <w:t>1.0</w:t>
                  </w:r>
                </w:p>
              </w:tc>
              <w:tc>
                <w:tcPr>
                  <w:tcW w:w="467" w:type="pct"/>
                  <w:gridSpan w:val="2"/>
                  <w:vAlign w:val="bottom"/>
                </w:tcPr>
                <w:p w:rsidR="00AC2131" w:rsidRDefault="00AC2131" w:rsidP="00AC2131">
                  <w:pPr>
                    <w:pStyle w:val="TableBodyText"/>
                    <w:spacing w:after="0"/>
                    <w:ind w:left="0" w:right="57"/>
                  </w:pPr>
                  <w:r>
                    <w:t>1.1</w:t>
                  </w:r>
                </w:p>
              </w:tc>
              <w:tc>
                <w:tcPr>
                  <w:tcW w:w="467" w:type="pct"/>
                  <w:gridSpan w:val="2"/>
                  <w:shd w:val="clear" w:color="auto" w:fill="auto"/>
                  <w:vAlign w:val="bottom"/>
                </w:tcPr>
                <w:p w:rsidR="00AC2131" w:rsidRDefault="00AC2131" w:rsidP="00AC2131">
                  <w:pPr>
                    <w:pStyle w:val="TableBodyText"/>
                    <w:spacing w:after="0"/>
                    <w:ind w:left="0" w:right="57"/>
                  </w:pPr>
                  <w:r>
                    <w:t>1.1</w:t>
                  </w:r>
                </w:p>
              </w:tc>
              <w:tc>
                <w:tcPr>
                  <w:tcW w:w="467" w:type="pct"/>
                  <w:gridSpan w:val="2"/>
                  <w:shd w:val="clear" w:color="auto" w:fill="auto"/>
                  <w:vAlign w:val="bottom"/>
                </w:tcPr>
                <w:p w:rsidR="00AC2131" w:rsidRDefault="00AC2131" w:rsidP="00AC2131">
                  <w:pPr>
                    <w:pStyle w:val="TableBodyText"/>
                    <w:spacing w:after="0"/>
                    <w:ind w:left="0" w:right="57"/>
                  </w:pPr>
                  <w:r>
                    <w:t>0.9</w:t>
                  </w:r>
                </w:p>
              </w:tc>
              <w:tc>
                <w:tcPr>
                  <w:tcW w:w="455" w:type="pct"/>
                  <w:shd w:val="clear" w:color="auto" w:fill="auto"/>
                  <w:vAlign w:val="bottom"/>
                </w:tcPr>
                <w:p w:rsidR="00AC2131" w:rsidRDefault="00AC2131" w:rsidP="00AC2131">
                  <w:pPr>
                    <w:pStyle w:val="TableBodyText"/>
                    <w:spacing w:after="0"/>
                    <w:ind w:left="0" w:right="57"/>
                  </w:pPr>
                  <w:r>
                    <w:t>0.9</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Geelong Innovation and Investment Fund</w:t>
                  </w:r>
                </w:p>
              </w:tc>
              <w:tc>
                <w:tcPr>
                  <w:tcW w:w="467" w:type="pct"/>
                  <w:gridSpan w:val="2"/>
                  <w:vAlign w:val="bottom"/>
                </w:tcPr>
                <w:p w:rsidR="00AC2131" w:rsidRDefault="00AC2131" w:rsidP="00AC2131">
                  <w:pPr>
                    <w:pStyle w:val="TableBodyText"/>
                    <w:spacing w:after="0"/>
                    <w:ind w:left="0" w:right="57"/>
                  </w:pPr>
                  <w:r>
                    <w:t>1.0</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0.1</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55" w:type="pct"/>
                  <w:shd w:val="clear" w:color="auto" w:fill="auto"/>
                  <w:vAlign w:val="bottom"/>
                </w:tcPr>
                <w:p w:rsidR="00AC2131" w:rsidRDefault="00AC2131" w:rsidP="00AC2131">
                  <w:pPr>
                    <w:pStyle w:val="TableBodyText"/>
                    <w:spacing w:after="0"/>
                    <w:ind w:left="0" w:right="57"/>
                  </w:pPr>
                  <w:r>
                    <w:t>–</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Illawarra Region Innovation and Investment Fund</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0.7</w:t>
                  </w:r>
                </w:p>
              </w:tc>
              <w:tc>
                <w:tcPr>
                  <w:tcW w:w="467" w:type="pct"/>
                  <w:gridSpan w:val="2"/>
                  <w:shd w:val="clear" w:color="auto" w:fill="auto"/>
                  <w:vAlign w:val="bottom"/>
                </w:tcPr>
                <w:p w:rsidR="00AC2131" w:rsidRDefault="00AC2131" w:rsidP="00AC2131">
                  <w:pPr>
                    <w:pStyle w:val="TableBodyText"/>
                    <w:spacing w:after="0"/>
                    <w:ind w:left="0" w:right="57"/>
                  </w:pPr>
                  <w:r>
                    <w:t>0.1</w:t>
                  </w:r>
                </w:p>
              </w:tc>
              <w:tc>
                <w:tcPr>
                  <w:tcW w:w="455" w:type="pct"/>
                  <w:shd w:val="clear" w:color="auto" w:fill="auto"/>
                  <w:vAlign w:val="bottom"/>
                </w:tcPr>
                <w:p w:rsidR="00AC2131" w:rsidRDefault="00AC2131" w:rsidP="00AC2131">
                  <w:pPr>
                    <w:pStyle w:val="TableBodyText"/>
                    <w:spacing w:after="0"/>
                    <w:ind w:left="0" w:right="57"/>
                  </w:pPr>
                  <w:r>
                    <w:t>–</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Innovation Investment Fund for South Australia</w:t>
                  </w:r>
                </w:p>
              </w:tc>
              <w:tc>
                <w:tcPr>
                  <w:tcW w:w="467" w:type="pct"/>
                  <w:gridSpan w:val="2"/>
                  <w:vAlign w:val="bottom"/>
                </w:tcPr>
                <w:p w:rsidR="00AC2131" w:rsidRDefault="00AC2131" w:rsidP="00AC2131">
                  <w:pPr>
                    <w:pStyle w:val="TableBodyText"/>
                    <w:spacing w:after="0"/>
                    <w:ind w:left="0" w:right="57"/>
                  </w:pPr>
                  <w:r>
                    <w:t>2.6</w:t>
                  </w:r>
                </w:p>
              </w:tc>
              <w:tc>
                <w:tcPr>
                  <w:tcW w:w="467" w:type="pct"/>
                  <w:gridSpan w:val="2"/>
                  <w:vAlign w:val="bottom"/>
                </w:tcPr>
                <w:p w:rsidR="00AC2131" w:rsidRDefault="00AC2131" w:rsidP="00AC2131">
                  <w:pPr>
                    <w:pStyle w:val="TableBodyText"/>
                    <w:spacing w:after="0"/>
                    <w:ind w:left="0" w:right="57"/>
                  </w:pPr>
                  <w:r>
                    <w:t>2.2</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55" w:type="pct"/>
                  <w:shd w:val="clear" w:color="auto" w:fill="auto"/>
                  <w:vAlign w:val="bottom"/>
                </w:tcPr>
                <w:p w:rsidR="00AC2131" w:rsidRDefault="00AC2131" w:rsidP="00AC2131">
                  <w:pPr>
                    <w:pStyle w:val="TableBodyText"/>
                    <w:spacing w:after="0"/>
                    <w:ind w:left="0" w:right="57"/>
                  </w:pPr>
                  <w:r>
                    <w:t>–</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North East Tasmania Innovation and Investment Fund</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&lt;0.1</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55" w:type="pct"/>
                  <w:shd w:val="clear" w:color="auto" w:fill="auto"/>
                  <w:vAlign w:val="bottom"/>
                </w:tcPr>
                <w:p w:rsidR="00AC2131" w:rsidRDefault="00AC2131" w:rsidP="00AC2131">
                  <w:pPr>
                    <w:pStyle w:val="TableBodyText"/>
                    <w:spacing w:after="0"/>
                    <w:ind w:left="0" w:right="57"/>
                  </w:pPr>
                  <w:r>
                    <w:t>–</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North West and Northern Tasmania Innovation and Investment Fund</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0.9</w:t>
                  </w:r>
                </w:p>
              </w:tc>
              <w:tc>
                <w:tcPr>
                  <w:tcW w:w="467" w:type="pct"/>
                  <w:gridSpan w:val="2"/>
                  <w:vAlign w:val="bottom"/>
                </w:tcPr>
                <w:p w:rsidR="00AC2131" w:rsidRDefault="00AC2131" w:rsidP="00AC2131">
                  <w:pPr>
                    <w:pStyle w:val="TableBodyText"/>
                    <w:spacing w:after="0"/>
                    <w:ind w:left="0" w:right="57"/>
                  </w:pPr>
                  <w:r>
                    <w:t>0.6</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55" w:type="pct"/>
                  <w:shd w:val="clear" w:color="auto" w:fill="auto"/>
                  <w:vAlign w:val="bottom"/>
                </w:tcPr>
                <w:p w:rsidR="00AC2131" w:rsidRDefault="00AC2131" w:rsidP="00AC2131">
                  <w:pPr>
                    <w:pStyle w:val="TableBodyText"/>
                    <w:spacing w:after="0"/>
                    <w:ind w:left="0" w:right="57"/>
                  </w:pPr>
                  <w:r>
                    <w:t>–</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gridSpan w:val="2"/>
                  <w:vAlign w:val="bottom"/>
                </w:tcPr>
                <w:p w:rsidR="00AC2131" w:rsidRDefault="00AC2131" w:rsidP="00AC2131">
                  <w:pPr>
                    <w:pStyle w:val="TableBodyText"/>
                    <w:spacing w:after="0"/>
                    <w:ind w:left="0" w:right="57"/>
                  </w:pPr>
                  <w:r>
                    <w:t>0.3</w:t>
                  </w:r>
                </w:p>
              </w:tc>
              <w:tc>
                <w:tcPr>
                  <w:tcW w:w="467" w:type="pct"/>
                  <w:gridSpan w:val="2"/>
                  <w:vAlign w:val="bottom"/>
                </w:tcPr>
                <w:p w:rsidR="00AC2131" w:rsidRDefault="00AC2131" w:rsidP="00AC2131">
                  <w:pPr>
                    <w:pStyle w:val="TableBodyText"/>
                    <w:spacing w:after="0"/>
                    <w:ind w:left="0" w:right="57"/>
                  </w:pPr>
                  <w:r>
                    <w:t>0.4</w:t>
                  </w:r>
                </w:p>
              </w:tc>
              <w:tc>
                <w:tcPr>
                  <w:tcW w:w="467" w:type="pct"/>
                  <w:gridSpan w:val="2"/>
                  <w:vAlign w:val="bottom"/>
                </w:tcPr>
                <w:p w:rsidR="00AC2131" w:rsidRDefault="00AC2131" w:rsidP="00AC2131">
                  <w:pPr>
                    <w:pStyle w:val="TableBodyText"/>
                    <w:spacing w:after="0"/>
                    <w:ind w:left="0" w:right="57"/>
                  </w:pPr>
                  <w:r>
                    <w:t>0.6</w:t>
                  </w:r>
                </w:p>
              </w:tc>
              <w:tc>
                <w:tcPr>
                  <w:tcW w:w="467" w:type="pct"/>
                  <w:gridSpan w:val="2"/>
                  <w:shd w:val="clear" w:color="auto" w:fill="auto"/>
                  <w:vAlign w:val="bottom"/>
                </w:tcPr>
                <w:p w:rsidR="00AC2131" w:rsidRDefault="00AC2131" w:rsidP="00AC2131">
                  <w:pPr>
                    <w:pStyle w:val="TableBodyText"/>
                    <w:spacing w:after="0"/>
                    <w:ind w:left="0" w:right="57"/>
                  </w:pPr>
                  <w:r>
                    <w:t>&lt;0.1</w:t>
                  </w:r>
                </w:p>
              </w:tc>
              <w:tc>
                <w:tcPr>
                  <w:tcW w:w="467" w:type="pct"/>
                  <w:gridSpan w:val="2"/>
                  <w:shd w:val="clear" w:color="auto" w:fill="auto"/>
                  <w:vAlign w:val="bottom"/>
                </w:tcPr>
                <w:p w:rsidR="00AC2131" w:rsidRDefault="00AC2131" w:rsidP="00AC2131">
                  <w:pPr>
                    <w:pStyle w:val="TableBodyText"/>
                    <w:spacing w:after="0"/>
                    <w:ind w:left="0" w:right="57"/>
                  </w:pPr>
                  <w:r>
                    <w:t>-0.2</w:t>
                  </w:r>
                </w:p>
              </w:tc>
              <w:tc>
                <w:tcPr>
                  <w:tcW w:w="455" w:type="pct"/>
                  <w:shd w:val="clear" w:color="auto" w:fill="auto"/>
                  <w:vAlign w:val="bottom"/>
                </w:tcPr>
                <w:p w:rsidR="00AC2131" w:rsidRDefault="00AC2131" w:rsidP="00AC2131">
                  <w:pPr>
                    <w:pStyle w:val="TableBodyText"/>
                    <w:spacing w:after="0"/>
                    <w:ind w:left="0" w:right="57"/>
                  </w:pPr>
                  <w:r>
                    <w:t>6.4</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 xml:space="preserve">Small business </w:t>
                  </w:r>
                  <w:r>
                    <w:rPr>
                      <w:rFonts w:ascii="Arial" w:hAnsi="Arial" w:cs="Arial"/>
                      <w:color w:val="000000"/>
                      <w:sz w:val="18"/>
                      <w:szCs w:val="18"/>
                    </w:rPr>
                    <w:t>capital gains tax</w:t>
                  </w:r>
                  <w:r w:rsidRPr="00DA5E6F">
                    <w:rPr>
                      <w:rFonts w:ascii="Arial" w:hAnsi="Arial" w:cs="Arial"/>
                      <w:color w:val="000000"/>
                      <w:sz w:val="18"/>
                      <w:szCs w:val="18"/>
                    </w:rPr>
                    <w:t xml:space="preserve"> 50 per cent reduction</w:t>
                  </w:r>
                </w:p>
              </w:tc>
              <w:tc>
                <w:tcPr>
                  <w:tcW w:w="467" w:type="pct"/>
                  <w:gridSpan w:val="2"/>
                  <w:vAlign w:val="bottom"/>
                </w:tcPr>
                <w:p w:rsidR="00AC2131" w:rsidRDefault="00AC2131" w:rsidP="00AC2131">
                  <w:pPr>
                    <w:pStyle w:val="TableBodyText"/>
                    <w:spacing w:after="0"/>
                    <w:ind w:left="0" w:right="57"/>
                  </w:pPr>
                  <w:r>
                    <w:t>3.3</w:t>
                  </w:r>
                </w:p>
              </w:tc>
              <w:tc>
                <w:tcPr>
                  <w:tcW w:w="467" w:type="pct"/>
                  <w:gridSpan w:val="2"/>
                  <w:vAlign w:val="bottom"/>
                </w:tcPr>
                <w:p w:rsidR="00AC2131" w:rsidRDefault="00AC2131" w:rsidP="00AC2131">
                  <w:pPr>
                    <w:pStyle w:val="TableBodyText"/>
                    <w:spacing w:after="0"/>
                    <w:ind w:left="0" w:right="57"/>
                  </w:pPr>
                  <w:r>
                    <w:t>0.8</w:t>
                  </w:r>
                </w:p>
              </w:tc>
              <w:tc>
                <w:tcPr>
                  <w:tcW w:w="467" w:type="pct"/>
                  <w:gridSpan w:val="2"/>
                  <w:vAlign w:val="bottom"/>
                </w:tcPr>
                <w:p w:rsidR="00AC2131" w:rsidRDefault="00AC2131" w:rsidP="00AC2131">
                  <w:pPr>
                    <w:pStyle w:val="TableBodyText"/>
                    <w:spacing w:after="0"/>
                    <w:ind w:left="0" w:right="57"/>
                  </w:pPr>
                  <w:r>
                    <w:t>1.0</w:t>
                  </w:r>
                </w:p>
              </w:tc>
              <w:tc>
                <w:tcPr>
                  <w:tcW w:w="467" w:type="pct"/>
                  <w:gridSpan w:val="2"/>
                  <w:shd w:val="clear" w:color="auto" w:fill="auto"/>
                  <w:vAlign w:val="bottom"/>
                </w:tcPr>
                <w:p w:rsidR="00AC2131" w:rsidRDefault="00AC2131" w:rsidP="00AC2131">
                  <w:pPr>
                    <w:pStyle w:val="TableBodyText"/>
                    <w:spacing w:after="0"/>
                    <w:ind w:left="0" w:right="57"/>
                  </w:pPr>
                  <w:r>
                    <w:t>1.2</w:t>
                  </w:r>
                </w:p>
              </w:tc>
              <w:tc>
                <w:tcPr>
                  <w:tcW w:w="467" w:type="pct"/>
                  <w:gridSpan w:val="2"/>
                  <w:shd w:val="clear" w:color="auto" w:fill="auto"/>
                  <w:vAlign w:val="bottom"/>
                </w:tcPr>
                <w:p w:rsidR="00AC2131" w:rsidRDefault="00AC2131" w:rsidP="00AC2131">
                  <w:pPr>
                    <w:pStyle w:val="TableBodyText"/>
                    <w:spacing w:after="0"/>
                    <w:ind w:left="0" w:right="57"/>
                  </w:pPr>
                  <w:r>
                    <w:t>1.2</w:t>
                  </w:r>
                </w:p>
              </w:tc>
              <w:tc>
                <w:tcPr>
                  <w:tcW w:w="455" w:type="pct"/>
                  <w:shd w:val="clear" w:color="auto" w:fill="auto"/>
                  <w:vAlign w:val="bottom"/>
                </w:tcPr>
                <w:p w:rsidR="00AC2131" w:rsidRDefault="00AC2131" w:rsidP="00AC2131">
                  <w:pPr>
                    <w:pStyle w:val="TableBodyText"/>
                    <w:spacing w:after="0"/>
                    <w:ind w:left="0" w:right="57"/>
                  </w:pPr>
                  <w:r>
                    <w:t>1.3</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 xml:space="preserve">Small business </w:t>
                  </w:r>
                  <w:r>
                    <w:rPr>
                      <w:rFonts w:ascii="Arial" w:hAnsi="Arial" w:cs="Arial"/>
                      <w:color w:val="000000"/>
                      <w:sz w:val="18"/>
                      <w:szCs w:val="18"/>
                    </w:rPr>
                    <w:t>capital gains tax</w:t>
                  </w:r>
                  <w:r w:rsidRPr="00DA5E6F">
                    <w:rPr>
                      <w:rFonts w:ascii="Arial" w:hAnsi="Arial" w:cs="Arial"/>
                      <w:color w:val="000000"/>
                      <w:sz w:val="18"/>
                      <w:szCs w:val="18"/>
                    </w:rPr>
                    <w:t xml:space="preserve"> retirement exemption</w:t>
                  </w:r>
                </w:p>
              </w:tc>
              <w:tc>
                <w:tcPr>
                  <w:tcW w:w="467" w:type="pct"/>
                  <w:gridSpan w:val="2"/>
                  <w:vAlign w:val="bottom"/>
                </w:tcPr>
                <w:p w:rsidR="00AC2131" w:rsidRDefault="00AC2131" w:rsidP="00AC2131">
                  <w:pPr>
                    <w:pStyle w:val="TableBodyText"/>
                    <w:spacing w:after="0"/>
                    <w:ind w:left="0" w:right="57"/>
                  </w:pPr>
                  <w:r>
                    <w:t>2.0</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55" w:type="pct"/>
                  <w:shd w:val="clear" w:color="auto" w:fill="auto"/>
                  <w:vAlign w:val="bottom"/>
                </w:tcPr>
                <w:p w:rsidR="00AC2131" w:rsidRDefault="00AC2131" w:rsidP="00AC2131">
                  <w:pPr>
                    <w:pStyle w:val="TableBodyText"/>
                    <w:spacing w:after="0"/>
                    <w:ind w:left="0" w:right="57"/>
                  </w:pPr>
                  <w:r>
                    <w:t>–</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South Australia Innovation and Investment Fund and Labour Assistance Package</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1.5</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55" w:type="pct"/>
                  <w:shd w:val="clear" w:color="auto" w:fill="auto"/>
                  <w:vAlign w:val="bottom"/>
                </w:tcPr>
                <w:p w:rsidR="00AC2131" w:rsidRDefault="00AC2131" w:rsidP="00AC2131">
                  <w:pPr>
                    <w:pStyle w:val="TableBodyText"/>
                    <w:spacing w:after="0"/>
                    <w:ind w:left="0" w:right="57"/>
                  </w:pPr>
                  <w:r>
                    <w:t>–</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Tasmanian Innovation and Investment Fund</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0.1</w:t>
                  </w:r>
                </w:p>
              </w:tc>
              <w:tc>
                <w:tcPr>
                  <w:tcW w:w="467" w:type="pct"/>
                  <w:gridSpan w:val="2"/>
                  <w:shd w:val="clear" w:color="auto" w:fill="auto"/>
                  <w:vAlign w:val="bottom"/>
                </w:tcPr>
                <w:p w:rsidR="00AC2131" w:rsidRDefault="00AC2131" w:rsidP="00AC2131">
                  <w:pPr>
                    <w:pStyle w:val="TableBodyText"/>
                    <w:spacing w:after="0"/>
                    <w:ind w:left="0" w:right="57"/>
                  </w:pPr>
                  <w:r>
                    <w:t>&lt;0.1</w:t>
                  </w:r>
                </w:p>
              </w:tc>
              <w:tc>
                <w:tcPr>
                  <w:tcW w:w="45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The Small Business and General Business Tax Break</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9.7</w:t>
                  </w:r>
                </w:p>
              </w:tc>
              <w:tc>
                <w:tcPr>
                  <w:tcW w:w="467" w:type="pct"/>
                  <w:gridSpan w:val="2"/>
                  <w:vAlign w:val="bottom"/>
                </w:tcPr>
                <w:p w:rsidR="00AC2131" w:rsidRDefault="00AC2131" w:rsidP="00AC2131">
                  <w:pPr>
                    <w:pStyle w:val="TableBodyText"/>
                    <w:spacing w:after="0"/>
                    <w:ind w:left="0" w:right="57"/>
                  </w:pPr>
                  <w:r>
                    <w:t>9.0</w:t>
                  </w:r>
                </w:p>
              </w:tc>
              <w:tc>
                <w:tcPr>
                  <w:tcW w:w="467" w:type="pct"/>
                  <w:gridSpan w:val="2"/>
                  <w:shd w:val="clear" w:color="auto" w:fill="auto"/>
                  <w:vAlign w:val="bottom"/>
                </w:tcPr>
                <w:p w:rsidR="00AC2131" w:rsidRDefault="00AC2131" w:rsidP="00AC2131">
                  <w:pPr>
                    <w:pStyle w:val="TableBodyText"/>
                    <w:spacing w:after="0"/>
                    <w:ind w:left="0" w:right="57"/>
                  </w:pPr>
                  <w:r>
                    <w:t>4.9</w:t>
                  </w:r>
                </w:p>
              </w:tc>
              <w:tc>
                <w:tcPr>
                  <w:tcW w:w="467" w:type="pct"/>
                  <w:gridSpan w:val="2"/>
                  <w:shd w:val="clear" w:color="auto" w:fill="auto"/>
                  <w:vAlign w:val="bottom"/>
                </w:tcPr>
                <w:p w:rsidR="00AC2131" w:rsidRDefault="00AC2131" w:rsidP="00AC2131">
                  <w:pPr>
                    <w:pStyle w:val="TableBodyText"/>
                    <w:spacing w:after="0"/>
                    <w:ind w:left="0" w:right="57"/>
                  </w:pPr>
                  <w:r>
                    <w:t>1.7</w:t>
                  </w:r>
                </w:p>
              </w:tc>
              <w:tc>
                <w:tcPr>
                  <w:tcW w:w="455" w:type="pct"/>
                  <w:shd w:val="clear" w:color="auto" w:fill="auto"/>
                  <w:vAlign w:val="bottom"/>
                </w:tcPr>
                <w:p w:rsidR="00AC2131" w:rsidRDefault="00AC2131" w:rsidP="00AC2131">
                  <w:pPr>
                    <w:pStyle w:val="TableBodyText"/>
                    <w:spacing w:after="0"/>
                    <w:ind w:left="0" w:right="57"/>
                  </w:pPr>
                  <w:r>
                    <w:t>0.2</w:t>
                  </w:r>
                </w:p>
              </w:tc>
            </w:tr>
            <w:tr w:rsidR="00AC2131" w:rsidRPr="00DA5E6F" w:rsidTr="00AC2131">
              <w:tc>
                <w:tcPr>
                  <w:tcW w:w="2211" w:type="pct"/>
                  <w:gridSpan w:val="2"/>
                </w:tcPr>
                <w:p w:rsidR="00AC2131" w:rsidRPr="00DA5E6F" w:rsidRDefault="00AC2131" w:rsidP="00AC2131">
                  <w:pPr>
                    <w:pStyle w:val="TableBodyText"/>
                    <w:spacing w:before="20" w:after="20"/>
                    <w:jc w:val="left"/>
                    <w:rPr>
                      <w:i/>
                    </w:rPr>
                  </w:pPr>
                  <w:r w:rsidRPr="00DA5E6F">
                    <w:rPr>
                      <w:i/>
                    </w:rPr>
                    <w:t>Total</w:t>
                  </w:r>
                </w:p>
              </w:tc>
              <w:tc>
                <w:tcPr>
                  <w:tcW w:w="467" w:type="pct"/>
                  <w:gridSpan w:val="2"/>
                  <w:vAlign w:val="bottom"/>
                </w:tcPr>
                <w:p w:rsidR="00AC2131" w:rsidRPr="001B161D" w:rsidRDefault="00AC2131" w:rsidP="00AC2131">
                  <w:pPr>
                    <w:pStyle w:val="TableBodyText"/>
                    <w:spacing w:before="20" w:after="20"/>
                    <w:ind w:left="0" w:right="57"/>
                    <w:rPr>
                      <w:i/>
                    </w:rPr>
                  </w:pPr>
                  <w:r w:rsidRPr="001B161D">
                    <w:rPr>
                      <w:i/>
                    </w:rPr>
                    <w:t>181.1</w:t>
                  </w:r>
                </w:p>
              </w:tc>
              <w:tc>
                <w:tcPr>
                  <w:tcW w:w="467" w:type="pct"/>
                  <w:gridSpan w:val="2"/>
                  <w:vAlign w:val="bottom"/>
                </w:tcPr>
                <w:p w:rsidR="00AC2131" w:rsidRPr="001B161D" w:rsidRDefault="00AC2131" w:rsidP="00AC2131">
                  <w:pPr>
                    <w:pStyle w:val="TableBodyText"/>
                    <w:spacing w:before="20" w:after="20"/>
                    <w:ind w:left="0" w:right="57"/>
                    <w:rPr>
                      <w:i/>
                    </w:rPr>
                  </w:pPr>
                  <w:r w:rsidRPr="001B161D">
                    <w:rPr>
                      <w:i/>
                    </w:rPr>
                    <w:t>209.8</w:t>
                  </w:r>
                </w:p>
              </w:tc>
              <w:tc>
                <w:tcPr>
                  <w:tcW w:w="467" w:type="pct"/>
                  <w:gridSpan w:val="2"/>
                  <w:vAlign w:val="bottom"/>
                </w:tcPr>
                <w:p w:rsidR="00AC2131" w:rsidRPr="001B161D" w:rsidRDefault="00AC2131" w:rsidP="00AC2131">
                  <w:pPr>
                    <w:pStyle w:val="TableBodyText"/>
                    <w:spacing w:before="20" w:after="20"/>
                    <w:ind w:left="0" w:right="57"/>
                    <w:rPr>
                      <w:i/>
                    </w:rPr>
                  </w:pPr>
                  <w:r w:rsidRPr="001B161D">
                    <w:rPr>
                      <w:i/>
                    </w:rPr>
                    <w:t>166.2</w:t>
                  </w:r>
                </w:p>
              </w:tc>
              <w:tc>
                <w:tcPr>
                  <w:tcW w:w="467" w:type="pct"/>
                  <w:gridSpan w:val="2"/>
                  <w:shd w:val="clear" w:color="auto" w:fill="auto"/>
                  <w:vAlign w:val="bottom"/>
                </w:tcPr>
                <w:p w:rsidR="00AC2131" w:rsidRPr="001B161D" w:rsidRDefault="00AC2131" w:rsidP="00AC2131">
                  <w:pPr>
                    <w:pStyle w:val="TableBodyText"/>
                    <w:spacing w:before="20" w:after="20"/>
                    <w:ind w:left="0" w:right="57"/>
                    <w:rPr>
                      <w:i/>
                    </w:rPr>
                  </w:pPr>
                  <w:r w:rsidRPr="001B161D">
                    <w:rPr>
                      <w:i/>
                    </w:rPr>
                    <w:t>154.0</w:t>
                  </w:r>
                </w:p>
              </w:tc>
              <w:tc>
                <w:tcPr>
                  <w:tcW w:w="467" w:type="pct"/>
                  <w:gridSpan w:val="2"/>
                  <w:shd w:val="clear" w:color="auto" w:fill="auto"/>
                  <w:vAlign w:val="bottom"/>
                </w:tcPr>
                <w:p w:rsidR="00AC2131" w:rsidRPr="001B161D" w:rsidRDefault="00AC2131" w:rsidP="00AC2131">
                  <w:pPr>
                    <w:pStyle w:val="TableBodyText"/>
                    <w:spacing w:before="20" w:after="20"/>
                    <w:ind w:left="0" w:right="57"/>
                    <w:rPr>
                      <w:i/>
                    </w:rPr>
                  </w:pPr>
                  <w:r w:rsidRPr="001B161D">
                    <w:rPr>
                      <w:i/>
                    </w:rPr>
                    <w:t>153.4</w:t>
                  </w:r>
                </w:p>
              </w:tc>
              <w:tc>
                <w:tcPr>
                  <w:tcW w:w="455" w:type="pct"/>
                  <w:shd w:val="clear" w:color="auto" w:fill="auto"/>
                  <w:vAlign w:val="bottom"/>
                </w:tcPr>
                <w:p w:rsidR="00AC2131" w:rsidRPr="001B161D" w:rsidRDefault="00AC2131" w:rsidP="00AC2131">
                  <w:pPr>
                    <w:pStyle w:val="TableBodyText"/>
                    <w:spacing w:before="20" w:after="20"/>
                    <w:ind w:left="0" w:right="57"/>
                    <w:rPr>
                      <w:i/>
                    </w:rPr>
                  </w:pPr>
                  <w:r w:rsidRPr="001B161D">
                    <w:rPr>
                      <w:i/>
                    </w:rPr>
                    <w:t>121.2</w:t>
                  </w:r>
                </w:p>
              </w:tc>
            </w:tr>
            <w:tr w:rsidR="00AC2131" w:rsidTr="00AC2131">
              <w:tc>
                <w:tcPr>
                  <w:tcW w:w="2211" w:type="pct"/>
                  <w:gridSpan w:val="2"/>
                </w:tcPr>
                <w:p w:rsidR="00AC2131" w:rsidRPr="00DA5E6F" w:rsidRDefault="00AC2131" w:rsidP="00AC2131">
                  <w:pPr>
                    <w:pStyle w:val="TableBodyText"/>
                    <w:spacing w:before="40"/>
                    <w:jc w:val="left"/>
                    <w:rPr>
                      <w:b/>
                    </w:rPr>
                  </w:pPr>
                  <w:r w:rsidRPr="00DA5E6F">
                    <w:rPr>
                      <w:b/>
                    </w:rPr>
                    <w:t>Furniture and other manufacturing</w:t>
                  </w:r>
                </w:p>
              </w:tc>
              <w:tc>
                <w:tcPr>
                  <w:tcW w:w="467" w:type="pct"/>
                  <w:gridSpan w:val="2"/>
                </w:tcPr>
                <w:p w:rsidR="00AC2131" w:rsidRDefault="00AC2131" w:rsidP="00AC2131">
                  <w:pPr>
                    <w:pStyle w:val="TableBodyText"/>
                    <w:spacing w:before="40"/>
                  </w:pPr>
                </w:p>
              </w:tc>
              <w:tc>
                <w:tcPr>
                  <w:tcW w:w="467" w:type="pct"/>
                  <w:gridSpan w:val="2"/>
                </w:tcPr>
                <w:p w:rsidR="00AC2131" w:rsidRDefault="00AC2131" w:rsidP="00AC2131">
                  <w:pPr>
                    <w:pStyle w:val="TableBodyText"/>
                    <w:spacing w:before="40"/>
                  </w:pPr>
                </w:p>
              </w:tc>
              <w:tc>
                <w:tcPr>
                  <w:tcW w:w="467" w:type="pct"/>
                  <w:gridSpan w:val="2"/>
                </w:tcPr>
                <w:p w:rsidR="00AC2131" w:rsidRDefault="00AC2131" w:rsidP="00AC2131">
                  <w:pPr>
                    <w:pStyle w:val="TableBodyText"/>
                    <w:spacing w:before="40"/>
                  </w:pPr>
                </w:p>
              </w:tc>
              <w:tc>
                <w:tcPr>
                  <w:tcW w:w="467" w:type="pct"/>
                  <w:gridSpan w:val="2"/>
                  <w:shd w:val="clear" w:color="auto" w:fill="auto"/>
                </w:tcPr>
                <w:p w:rsidR="00AC2131" w:rsidRDefault="00AC2131" w:rsidP="00AC2131">
                  <w:pPr>
                    <w:pStyle w:val="TableBodyText"/>
                    <w:spacing w:before="40"/>
                  </w:pPr>
                </w:p>
              </w:tc>
              <w:tc>
                <w:tcPr>
                  <w:tcW w:w="467" w:type="pct"/>
                  <w:gridSpan w:val="2"/>
                  <w:shd w:val="clear" w:color="auto" w:fill="auto"/>
                </w:tcPr>
                <w:p w:rsidR="00AC2131" w:rsidRDefault="00AC2131" w:rsidP="00AC2131">
                  <w:pPr>
                    <w:pStyle w:val="TableBodyText"/>
                    <w:spacing w:before="40"/>
                  </w:pPr>
                </w:p>
              </w:tc>
              <w:tc>
                <w:tcPr>
                  <w:tcW w:w="455" w:type="pct"/>
                  <w:shd w:val="clear" w:color="auto" w:fill="auto"/>
                </w:tcPr>
                <w:p w:rsidR="00AC2131" w:rsidRDefault="00AC2131" w:rsidP="00AC2131">
                  <w:pPr>
                    <w:pStyle w:val="TableBodyText"/>
                    <w:spacing w:before="40"/>
                  </w:pPr>
                </w:p>
              </w:tc>
            </w:tr>
            <w:tr w:rsidR="00AC2131" w:rsidTr="00AC2131">
              <w:tc>
                <w:tcPr>
                  <w:tcW w:w="2211" w:type="pct"/>
                  <w:gridSpan w:val="2"/>
                </w:tcPr>
                <w:p w:rsidR="00AC2131" w:rsidRPr="00DA5E6F" w:rsidRDefault="00AC2131" w:rsidP="00AC2131">
                  <w:pPr>
                    <w:pStyle w:val="TableBodyText"/>
                    <w:spacing w:before="40" w:after="0"/>
                    <w:ind w:left="113"/>
                    <w:jc w:val="left"/>
                    <w:rPr>
                      <w:i/>
                    </w:rPr>
                  </w:pPr>
                  <w:r w:rsidRPr="00DA5E6F">
                    <w:rPr>
                      <w:i/>
                    </w:rPr>
                    <w:t>Sector-specific measures</w:t>
                  </w:r>
                </w:p>
              </w:tc>
              <w:tc>
                <w:tcPr>
                  <w:tcW w:w="467" w:type="pct"/>
                  <w:gridSpan w:val="2"/>
                </w:tcPr>
                <w:p w:rsidR="00AC2131" w:rsidRDefault="00AC2131" w:rsidP="00AC2131">
                  <w:pPr>
                    <w:pStyle w:val="TableBodyText"/>
                  </w:pPr>
                </w:p>
              </w:tc>
              <w:tc>
                <w:tcPr>
                  <w:tcW w:w="467" w:type="pct"/>
                  <w:gridSpan w:val="2"/>
                </w:tcPr>
                <w:p w:rsidR="00AC2131" w:rsidRDefault="00AC2131" w:rsidP="00AC2131">
                  <w:pPr>
                    <w:pStyle w:val="TableBodyText"/>
                  </w:pPr>
                </w:p>
              </w:tc>
              <w:tc>
                <w:tcPr>
                  <w:tcW w:w="467" w:type="pct"/>
                  <w:gridSpan w:val="2"/>
                </w:tcPr>
                <w:p w:rsidR="00AC2131" w:rsidRDefault="00AC2131" w:rsidP="00AC2131">
                  <w:pPr>
                    <w:pStyle w:val="TableBodyText"/>
                  </w:pPr>
                </w:p>
              </w:tc>
              <w:tc>
                <w:tcPr>
                  <w:tcW w:w="467" w:type="pct"/>
                  <w:gridSpan w:val="2"/>
                  <w:shd w:val="clear" w:color="auto" w:fill="auto"/>
                </w:tcPr>
                <w:p w:rsidR="00AC2131" w:rsidRDefault="00AC2131" w:rsidP="00AC2131">
                  <w:pPr>
                    <w:pStyle w:val="TableBodyText"/>
                  </w:pPr>
                </w:p>
              </w:tc>
              <w:tc>
                <w:tcPr>
                  <w:tcW w:w="467" w:type="pct"/>
                  <w:gridSpan w:val="2"/>
                  <w:shd w:val="clear" w:color="auto" w:fill="auto"/>
                </w:tcPr>
                <w:p w:rsidR="00AC2131" w:rsidRDefault="00AC2131" w:rsidP="00AC2131">
                  <w:pPr>
                    <w:pStyle w:val="TableBodyText"/>
                  </w:pPr>
                </w:p>
              </w:tc>
              <w:tc>
                <w:tcPr>
                  <w:tcW w:w="455" w:type="pct"/>
                  <w:shd w:val="clear" w:color="auto" w:fill="auto"/>
                </w:tcPr>
                <w:p w:rsidR="00AC2131" w:rsidRDefault="00AC2131" w:rsidP="00AC2131">
                  <w:pPr>
                    <w:pStyle w:val="TableBodyText"/>
                  </w:pPr>
                </w:p>
              </w:tc>
            </w:tr>
            <w:tr w:rsidR="00AC2131" w:rsidTr="00AC2131">
              <w:tc>
                <w:tcPr>
                  <w:tcW w:w="2211" w:type="pct"/>
                  <w:gridSpan w:val="2"/>
                </w:tcPr>
                <w:p w:rsidR="00AC2131" w:rsidRDefault="00AC2131" w:rsidP="00AC2131">
                  <w:pPr>
                    <w:pStyle w:val="TableBodyText"/>
                    <w:spacing w:after="0"/>
                    <w:ind w:left="227" w:right="0"/>
                    <w:jc w:val="left"/>
                  </w:pPr>
                  <w:r w:rsidRPr="00DA5E6F">
                    <w:t xml:space="preserve">Clean Technology Investment </w:t>
                  </w:r>
                  <w:r>
                    <w:t>–</w:t>
                  </w:r>
                  <w:r w:rsidRPr="00DA5E6F">
                    <w:t xml:space="preserve"> General Program</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0.1</w:t>
                  </w:r>
                </w:p>
              </w:tc>
              <w:tc>
                <w:tcPr>
                  <w:tcW w:w="455" w:type="pct"/>
                  <w:shd w:val="clear" w:color="auto" w:fill="auto"/>
                  <w:vAlign w:val="bottom"/>
                </w:tcPr>
                <w:p w:rsidR="00AC2131" w:rsidRDefault="00AC2131" w:rsidP="00AC2131">
                  <w:pPr>
                    <w:pStyle w:val="TableBodyText"/>
                    <w:spacing w:after="0"/>
                    <w:ind w:left="0" w:right="57"/>
                  </w:pPr>
                  <w:r>
                    <w:t>1.1</w:t>
                  </w:r>
                </w:p>
              </w:tc>
            </w:tr>
            <w:tr w:rsidR="00AC2131" w:rsidTr="00AC2131">
              <w:tc>
                <w:tcPr>
                  <w:tcW w:w="2211" w:type="pct"/>
                  <w:gridSpan w:val="2"/>
                </w:tcPr>
                <w:p w:rsidR="00AC2131" w:rsidRPr="00DA5E6F" w:rsidRDefault="00AC2131" w:rsidP="00AC2131">
                  <w:pPr>
                    <w:pStyle w:val="TableBodyText"/>
                    <w:spacing w:before="40" w:after="0"/>
                    <w:ind w:left="113"/>
                    <w:jc w:val="left"/>
                    <w:rPr>
                      <w:i/>
                    </w:rPr>
                  </w:pPr>
                  <w:r w:rsidRPr="00DA5E6F">
                    <w:rPr>
                      <w:i/>
                    </w:rPr>
                    <w:t>General export measures</w:t>
                  </w:r>
                </w:p>
              </w:tc>
              <w:tc>
                <w:tcPr>
                  <w:tcW w:w="467" w:type="pct"/>
                  <w:gridSpan w:val="2"/>
                </w:tcPr>
                <w:p w:rsidR="00AC2131" w:rsidRDefault="00AC2131" w:rsidP="00AC2131">
                  <w:pPr>
                    <w:pStyle w:val="TableBodyText"/>
                  </w:pPr>
                </w:p>
              </w:tc>
              <w:tc>
                <w:tcPr>
                  <w:tcW w:w="467" w:type="pct"/>
                  <w:gridSpan w:val="2"/>
                </w:tcPr>
                <w:p w:rsidR="00AC2131" w:rsidRDefault="00AC2131" w:rsidP="00AC2131">
                  <w:pPr>
                    <w:pStyle w:val="TableBodyText"/>
                  </w:pPr>
                </w:p>
              </w:tc>
              <w:tc>
                <w:tcPr>
                  <w:tcW w:w="467" w:type="pct"/>
                  <w:gridSpan w:val="2"/>
                </w:tcPr>
                <w:p w:rsidR="00AC2131" w:rsidRDefault="00AC2131" w:rsidP="00AC2131">
                  <w:pPr>
                    <w:pStyle w:val="TableBodyText"/>
                  </w:pPr>
                </w:p>
              </w:tc>
              <w:tc>
                <w:tcPr>
                  <w:tcW w:w="467" w:type="pct"/>
                  <w:gridSpan w:val="2"/>
                  <w:shd w:val="clear" w:color="auto" w:fill="auto"/>
                </w:tcPr>
                <w:p w:rsidR="00AC2131" w:rsidRDefault="00AC2131" w:rsidP="00AC2131">
                  <w:pPr>
                    <w:pStyle w:val="TableBodyText"/>
                  </w:pPr>
                </w:p>
              </w:tc>
              <w:tc>
                <w:tcPr>
                  <w:tcW w:w="467" w:type="pct"/>
                  <w:gridSpan w:val="2"/>
                  <w:shd w:val="clear" w:color="auto" w:fill="auto"/>
                </w:tcPr>
                <w:p w:rsidR="00AC2131" w:rsidRDefault="00AC2131" w:rsidP="00AC2131">
                  <w:pPr>
                    <w:pStyle w:val="TableBodyText"/>
                  </w:pPr>
                </w:p>
              </w:tc>
              <w:tc>
                <w:tcPr>
                  <w:tcW w:w="455" w:type="pct"/>
                  <w:shd w:val="clear" w:color="auto" w:fill="auto"/>
                </w:tcPr>
                <w:p w:rsidR="00AC2131" w:rsidRDefault="00AC2131" w:rsidP="00AC2131">
                  <w:pPr>
                    <w:pStyle w:val="TableBodyText"/>
                  </w:pP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Export Market Development Grants Scheme</w:t>
                  </w:r>
                </w:p>
              </w:tc>
              <w:tc>
                <w:tcPr>
                  <w:tcW w:w="467" w:type="pct"/>
                  <w:gridSpan w:val="2"/>
                  <w:vAlign w:val="bottom"/>
                </w:tcPr>
                <w:p w:rsidR="00AC2131" w:rsidRDefault="00AC2131" w:rsidP="00AC2131">
                  <w:pPr>
                    <w:pStyle w:val="TableBodyText"/>
                    <w:spacing w:after="0"/>
                    <w:ind w:left="0" w:right="57"/>
                  </w:pPr>
                  <w:r>
                    <w:t>6.0</w:t>
                  </w:r>
                </w:p>
              </w:tc>
              <w:tc>
                <w:tcPr>
                  <w:tcW w:w="467" w:type="pct"/>
                  <w:gridSpan w:val="2"/>
                  <w:vAlign w:val="bottom"/>
                </w:tcPr>
                <w:p w:rsidR="00AC2131" w:rsidRDefault="00AC2131" w:rsidP="00AC2131">
                  <w:pPr>
                    <w:pStyle w:val="TableBodyText"/>
                    <w:spacing w:after="0"/>
                    <w:ind w:left="0" w:right="57"/>
                  </w:pPr>
                  <w:r>
                    <w:t>7.6</w:t>
                  </w:r>
                </w:p>
              </w:tc>
              <w:tc>
                <w:tcPr>
                  <w:tcW w:w="467" w:type="pct"/>
                  <w:gridSpan w:val="2"/>
                  <w:vAlign w:val="bottom"/>
                </w:tcPr>
                <w:p w:rsidR="00AC2131" w:rsidRDefault="00AC2131" w:rsidP="00AC2131">
                  <w:pPr>
                    <w:pStyle w:val="TableBodyText"/>
                    <w:spacing w:after="0"/>
                    <w:ind w:left="0" w:right="57"/>
                  </w:pPr>
                  <w:r>
                    <w:t>5.7</w:t>
                  </w:r>
                </w:p>
              </w:tc>
              <w:tc>
                <w:tcPr>
                  <w:tcW w:w="467" w:type="pct"/>
                  <w:gridSpan w:val="2"/>
                  <w:shd w:val="clear" w:color="auto" w:fill="auto"/>
                  <w:vAlign w:val="bottom"/>
                </w:tcPr>
                <w:p w:rsidR="00AC2131" w:rsidRDefault="00AC2131" w:rsidP="00AC2131">
                  <w:pPr>
                    <w:pStyle w:val="TableBodyText"/>
                    <w:spacing w:after="0"/>
                    <w:ind w:left="0" w:right="57"/>
                  </w:pPr>
                  <w:r>
                    <w:t>6.0</w:t>
                  </w:r>
                </w:p>
              </w:tc>
              <w:tc>
                <w:tcPr>
                  <w:tcW w:w="467" w:type="pct"/>
                  <w:gridSpan w:val="2"/>
                  <w:shd w:val="clear" w:color="auto" w:fill="auto"/>
                  <w:vAlign w:val="bottom"/>
                </w:tcPr>
                <w:p w:rsidR="00AC2131" w:rsidRDefault="00AC2131" w:rsidP="00AC2131">
                  <w:pPr>
                    <w:pStyle w:val="TableBodyText"/>
                    <w:spacing w:after="0"/>
                    <w:ind w:left="0" w:right="57"/>
                  </w:pPr>
                  <w:r>
                    <w:t>6.1</w:t>
                  </w:r>
                </w:p>
              </w:tc>
              <w:tc>
                <w:tcPr>
                  <w:tcW w:w="455" w:type="pct"/>
                  <w:shd w:val="clear" w:color="auto" w:fill="auto"/>
                  <w:vAlign w:val="bottom"/>
                </w:tcPr>
                <w:p w:rsidR="00AC2131" w:rsidRDefault="00AC2131" w:rsidP="00AC2131">
                  <w:pPr>
                    <w:pStyle w:val="TableBodyText"/>
                    <w:spacing w:after="0"/>
                    <w:ind w:left="0" w:right="57"/>
                  </w:pPr>
                  <w:r>
                    <w:t>4.5</w:t>
                  </w:r>
                </w:p>
              </w:tc>
            </w:tr>
            <w:tr w:rsidR="00AC2131" w:rsidTr="00AC2131">
              <w:tc>
                <w:tcPr>
                  <w:tcW w:w="2211" w:type="pct"/>
                  <w:gridSpan w:val="2"/>
                  <w:vAlign w:val="bottom"/>
                </w:tcPr>
                <w:p w:rsidR="00AC2131" w:rsidRPr="00DA5E6F" w:rsidRDefault="00AC2131" w:rsidP="00AC2131">
                  <w:pPr>
                    <w:ind w:left="227"/>
                    <w:rPr>
                      <w:rFonts w:ascii="Arial" w:hAnsi="Arial" w:cs="Arial"/>
                      <w:color w:val="000000"/>
                      <w:sz w:val="18"/>
                      <w:szCs w:val="18"/>
                    </w:rPr>
                  </w:pPr>
                  <w:r w:rsidRPr="00DA5E6F">
                    <w:rPr>
                      <w:rFonts w:ascii="Arial" w:hAnsi="Arial" w:cs="Arial"/>
                      <w:color w:val="000000"/>
                      <w:sz w:val="18"/>
                      <w:szCs w:val="18"/>
                    </w:rPr>
                    <w:t>TRADEX</w:t>
                  </w:r>
                </w:p>
              </w:tc>
              <w:tc>
                <w:tcPr>
                  <w:tcW w:w="467" w:type="pct"/>
                  <w:gridSpan w:val="2"/>
                  <w:vAlign w:val="bottom"/>
                </w:tcPr>
                <w:p w:rsidR="00AC2131" w:rsidRDefault="00AC2131" w:rsidP="00AC2131">
                  <w:pPr>
                    <w:pStyle w:val="TableBodyText"/>
                    <w:spacing w:after="0"/>
                    <w:ind w:left="0" w:right="57"/>
                  </w:pPr>
                  <w:r>
                    <w:t>1.9</w:t>
                  </w:r>
                </w:p>
              </w:tc>
              <w:tc>
                <w:tcPr>
                  <w:tcW w:w="467" w:type="pct"/>
                  <w:gridSpan w:val="2"/>
                  <w:vAlign w:val="bottom"/>
                </w:tcPr>
                <w:p w:rsidR="00AC2131" w:rsidRDefault="00AC2131" w:rsidP="00AC2131">
                  <w:pPr>
                    <w:pStyle w:val="TableBodyText"/>
                    <w:spacing w:after="0"/>
                    <w:ind w:left="0" w:right="57"/>
                  </w:pPr>
                  <w:r>
                    <w:t>1.7</w:t>
                  </w:r>
                </w:p>
              </w:tc>
              <w:tc>
                <w:tcPr>
                  <w:tcW w:w="467" w:type="pct"/>
                  <w:gridSpan w:val="2"/>
                  <w:vAlign w:val="bottom"/>
                </w:tcPr>
                <w:p w:rsidR="00AC2131" w:rsidRDefault="00AC2131" w:rsidP="00AC2131">
                  <w:pPr>
                    <w:pStyle w:val="TableBodyText"/>
                    <w:spacing w:after="0"/>
                    <w:ind w:left="0" w:right="57"/>
                  </w:pPr>
                  <w:r>
                    <w:t>1.1</w:t>
                  </w:r>
                </w:p>
              </w:tc>
              <w:tc>
                <w:tcPr>
                  <w:tcW w:w="467" w:type="pct"/>
                  <w:gridSpan w:val="2"/>
                  <w:shd w:val="clear" w:color="auto" w:fill="auto"/>
                  <w:vAlign w:val="bottom"/>
                </w:tcPr>
                <w:p w:rsidR="00AC2131" w:rsidRDefault="00AC2131" w:rsidP="00AC2131">
                  <w:pPr>
                    <w:pStyle w:val="TableBodyText"/>
                    <w:spacing w:after="0"/>
                    <w:ind w:left="0" w:right="57"/>
                  </w:pPr>
                  <w:r>
                    <w:t>1.2</w:t>
                  </w:r>
                </w:p>
              </w:tc>
              <w:tc>
                <w:tcPr>
                  <w:tcW w:w="467" w:type="pct"/>
                  <w:gridSpan w:val="2"/>
                  <w:shd w:val="clear" w:color="auto" w:fill="auto"/>
                  <w:vAlign w:val="bottom"/>
                </w:tcPr>
                <w:p w:rsidR="00AC2131" w:rsidRDefault="00AC2131" w:rsidP="00AC2131">
                  <w:pPr>
                    <w:pStyle w:val="TableBodyText"/>
                    <w:spacing w:after="0"/>
                    <w:ind w:left="0" w:right="57"/>
                  </w:pPr>
                  <w:r>
                    <w:t>1.2</w:t>
                  </w:r>
                </w:p>
              </w:tc>
              <w:tc>
                <w:tcPr>
                  <w:tcW w:w="455" w:type="pct"/>
                  <w:shd w:val="clear" w:color="auto" w:fill="auto"/>
                  <w:vAlign w:val="bottom"/>
                </w:tcPr>
                <w:p w:rsidR="00AC2131" w:rsidRDefault="00AC2131" w:rsidP="00AC2131">
                  <w:pPr>
                    <w:pStyle w:val="TableBodyText"/>
                    <w:spacing w:after="0"/>
                    <w:ind w:left="0" w:right="57"/>
                  </w:pPr>
                  <w:r>
                    <w:t>1.2</w:t>
                  </w:r>
                </w:p>
              </w:tc>
            </w:tr>
            <w:tr w:rsidR="00AC2131" w:rsidTr="00AC2131">
              <w:tc>
                <w:tcPr>
                  <w:tcW w:w="2199" w:type="pct"/>
                </w:tcPr>
                <w:p w:rsidR="00AC2131" w:rsidRPr="00BB69B6" w:rsidRDefault="00AC2131" w:rsidP="00AC2131">
                  <w:pPr>
                    <w:pStyle w:val="TableUnitsRow"/>
                    <w:spacing w:after="0"/>
                    <w:ind w:left="113"/>
                    <w:jc w:val="left"/>
                    <w:rPr>
                      <w:i/>
                    </w:rPr>
                  </w:pPr>
                  <w:r w:rsidRPr="00BB69B6">
                    <w:rPr>
                      <w:i/>
                    </w:rPr>
                    <w:t>General R&amp;D measures</w:t>
                  </w:r>
                </w:p>
              </w:tc>
              <w:tc>
                <w:tcPr>
                  <w:tcW w:w="471" w:type="pct"/>
                  <w:gridSpan w:val="2"/>
                </w:tcPr>
                <w:p w:rsidR="00AC2131" w:rsidRDefault="00AC2131" w:rsidP="00AC2131">
                  <w:pPr>
                    <w:pStyle w:val="TableBodyText"/>
                  </w:pPr>
                </w:p>
              </w:tc>
              <w:tc>
                <w:tcPr>
                  <w:tcW w:w="467" w:type="pct"/>
                  <w:gridSpan w:val="2"/>
                </w:tcPr>
                <w:p w:rsidR="00AC2131" w:rsidRDefault="00AC2131" w:rsidP="00AC2131">
                  <w:pPr>
                    <w:pStyle w:val="TableBodyText"/>
                  </w:pPr>
                </w:p>
              </w:tc>
              <w:tc>
                <w:tcPr>
                  <w:tcW w:w="467" w:type="pct"/>
                  <w:gridSpan w:val="2"/>
                </w:tcPr>
                <w:p w:rsidR="00AC2131" w:rsidRDefault="00AC2131" w:rsidP="00AC2131">
                  <w:pPr>
                    <w:pStyle w:val="TableBodyText"/>
                  </w:pPr>
                </w:p>
              </w:tc>
              <w:tc>
                <w:tcPr>
                  <w:tcW w:w="467" w:type="pct"/>
                  <w:gridSpan w:val="2"/>
                </w:tcPr>
                <w:p w:rsidR="00AC2131" w:rsidRDefault="00AC2131" w:rsidP="00AC2131">
                  <w:pPr>
                    <w:pStyle w:val="TableBodyText"/>
                  </w:pPr>
                </w:p>
              </w:tc>
              <w:tc>
                <w:tcPr>
                  <w:tcW w:w="467" w:type="pct"/>
                  <w:gridSpan w:val="2"/>
                </w:tcPr>
                <w:p w:rsidR="00AC2131" w:rsidRDefault="00AC2131" w:rsidP="00AC2131">
                  <w:pPr>
                    <w:pStyle w:val="TableBodyText"/>
                  </w:pPr>
                </w:p>
              </w:tc>
              <w:tc>
                <w:tcPr>
                  <w:tcW w:w="462" w:type="pct"/>
                  <w:gridSpan w:val="2"/>
                </w:tcPr>
                <w:p w:rsidR="00AC2131" w:rsidRDefault="00AC2131" w:rsidP="00AC2131">
                  <w:pPr>
                    <w:pStyle w:val="TableBodyText"/>
                  </w:pP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sidRPr="00BB69B6">
                    <w:rPr>
                      <w:rFonts w:ascii="Arial" w:hAnsi="Arial" w:cs="Arial"/>
                      <w:color w:val="000000"/>
                      <w:sz w:val="18"/>
                      <w:szCs w:val="18"/>
                    </w:rPr>
                    <w:t>COMET Program</w:t>
                  </w:r>
                </w:p>
              </w:tc>
              <w:tc>
                <w:tcPr>
                  <w:tcW w:w="471" w:type="pct"/>
                  <w:gridSpan w:val="2"/>
                  <w:vAlign w:val="bottom"/>
                </w:tcPr>
                <w:p w:rsidR="00AC2131" w:rsidRDefault="00AC2131" w:rsidP="00AC2131">
                  <w:pPr>
                    <w:pStyle w:val="TableBodyText"/>
                    <w:spacing w:after="0"/>
                    <w:ind w:left="0" w:right="57"/>
                  </w:pPr>
                  <w:r>
                    <w:t>0.3</w:t>
                  </w:r>
                </w:p>
              </w:tc>
              <w:tc>
                <w:tcPr>
                  <w:tcW w:w="467" w:type="pct"/>
                  <w:gridSpan w:val="2"/>
                  <w:vAlign w:val="bottom"/>
                </w:tcPr>
                <w:p w:rsidR="00AC2131" w:rsidRDefault="00AC2131" w:rsidP="00AC2131">
                  <w:pPr>
                    <w:pStyle w:val="TableBodyText"/>
                    <w:spacing w:after="0"/>
                    <w:ind w:left="0" w:right="57"/>
                  </w:pPr>
                  <w:r>
                    <w:t>0.6</w:t>
                  </w:r>
                </w:p>
              </w:tc>
              <w:tc>
                <w:tcPr>
                  <w:tcW w:w="467" w:type="pct"/>
                  <w:gridSpan w:val="2"/>
                  <w:vAlign w:val="bottom"/>
                </w:tcPr>
                <w:p w:rsidR="00AC2131" w:rsidRDefault="00AC2131" w:rsidP="00AC2131">
                  <w:pPr>
                    <w:pStyle w:val="TableBodyText"/>
                    <w:spacing w:after="0"/>
                    <w:ind w:left="0" w:right="57"/>
                  </w:pPr>
                  <w:r>
                    <w:t>0.3</w:t>
                  </w:r>
                </w:p>
              </w:tc>
              <w:tc>
                <w:tcPr>
                  <w:tcW w:w="467" w:type="pct"/>
                  <w:gridSpan w:val="2"/>
                  <w:vAlign w:val="bottom"/>
                </w:tcPr>
                <w:p w:rsidR="00AC2131" w:rsidRDefault="00AC2131" w:rsidP="00AC2131">
                  <w:pPr>
                    <w:pStyle w:val="TableBodyText"/>
                    <w:spacing w:after="0"/>
                    <w:ind w:left="0" w:right="57"/>
                  </w:pPr>
                  <w:r>
                    <w:t>&lt;0.1</w:t>
                  </w:r>
                </w:p>
              </w:tc>
              <w:tc>
                <w:tcPr>
                  <w:tcW w:w="467" w:type="pct"/>
                  <w:gridSpan w:val="2"/>
                  <w:vAlign w:val="bottom"/>
                </w:tcPr>
                <w:p w:rsidR="00AC2131" w:rsidRDefault="00AC2131" w:rsidP="00AC2131">
                  <w:pPr>
                    <w:pStyle w:val="TableBodyText"/>
                    <w:spacing w:after="0"/>
                    <w:ind w:left="0" w:right="57"/>
                  </w:pPr>
                  <w:r>
                    <w:t>–</w:t>
                  </w:r>
                </w:p>
              </w:tc>
              <w:tc>
                <w:tcPr>
                  <w:tcW w:w="462" w:type="pct"/>
                  <w:gridSpan w:val="2"/>
                  <w:vAlign w:val="bottom"/>
                </w:tcPr>
                <w:p w:rsidR="00AC2131" w:rsidRDefault="00AC2131" w:rsidP="00AC2131">
                  <w:pPr>
                    <w:pStyle w:val="TableBodyText"/>
                    <w:spacing w:after="0"/>
                    <w:ind w:left="0" w:right="57"/>
                  </w:pPr>
                  <w:r>
                    <w:t>–</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sidRPr="00BB69B6">
                    <w:rPr>
                      <w:rFonts w:ascii="Arial" w:hAnsi="Arial" w:cs="Arial"/>
                      <w:color w:val="000000"/>
                      <w:sz w:val="18"/>
                      <w:szCs w:val="18"/>
                    </w:rPr>
                    <w:t>Commercial Ready Program</w:t>
                  </w:r>
                </w:p>
              </w:tc>
              <w:tc>
                <w:tcPr>
                  <w:tcW w:w="471" w:type="pct"/>
                  <w:gridSpan w:val="2"/>
                  <w:vAlign w:val="bottom"/>
                </w:tcPr>
                <w:p w:rsidR="00AC2131" w:rsidRDefault="00AC2131" w:rsidP="00AC2131">
                  <w:pPr>
                    <w:pStyle w:val="TableBodyText"/>
                    <w:spacing w:after="0"/>
                    <w:ind w:left="0" w:right="57"/>
                  </w:pPr>
                  <w:r>
                    <w:t>0.9</w:t>
                  </w:r>
                </w:p>
              </w:tc>
              <w:tc>
                <w:tcPr>
                  <w:tcW w:w="467" w:type="pct"/>
                  <w:gridSpan w:val="2"/>
                  <w:vAlign w:val="bottom"/>
                </w:tcPr>
                <w:p w:rsidR="00AC2131" w:rsidRDefault="00AC2131" w:rsidP="00AC2131">
                  <w:pPr>
                    <w:pStyle w:val="TableBodyText"/>
                    <w:spacing w:after="0"/>
                    <w:ind w:left="0" w:right="57"/>
                  </w:pPr>
                  <w:r>
                    <w:t>0.5</w:t>
                  </w:r>
                </w:p>
              </w:tc>
              <w:tc>
                <w:tcPr>
                  <w:tcW w:w="467" w:type="pct"/>
                  <w:gridSpan w:val="2"/>
                  <w:vAlign w:val="bottom"/>
                </w:tcPr>
                <w:p w:rsidR="00AC2131" w:rsidRDefault="00AC2131" w:rsidP="00AC2131">
                  <w:pPr>
                    <w:pStyle w:val="TableBodyText"/>
                    <w:spacing w:after="0"/>
                    <w:ind w:left="0" w:right="57"/>
                  </w:pPr>
                  <w:r>
                    <w:t>&lt;0.1</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2"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sidRPr="00BB69B6">
                    <w:rPr>
                      <w:rFonts w:ascii="Arial" w:hAnsi="Arial" w:cs="Arial"/>
                      <w:color w:val="000000"/>
                      <w:sz w:val="18"/>
                      <w:szCs w:val="18"/>
                    </w:rPr>
                    <w:t>Commercialisation Australia</w:t>
                  </w:r>
                </w:p>
              </w:tc>
              <w:tc>
                <w:tcPr>
                  <w:tcW w:w="471"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0.1</w:t>
                  </w:r>
                </w:p>
              </w:tc>
              <w:tc>
                <w:tcPr>
                  <w:tcW w:w="467" w:type="pct"/>
                  <w:gridSpan w:val="2"/>
                  <w:vAlign w:val="bottom"/>
                </w:tcPr>
                <w:p w:rsidR="00AC2131" w:rsidRDefault="00AC2131" w:rsidP="00AC2131">
                  <w:pPr>
                    <w:pStyle w:val="TableBodyText"/>
                    <w:spacing w:after="0"/>
                    <w:ind w:left="0" w:right="57"/>
                  </w:pPr>
                  <w:r>
                    <w:t>0.3</w:t>
                  </w:r>
                </w:p>
              </w:tc>
              <w:tc>
                <w:tcPr>
                  <w:tcW w:w="467" w:type="pct"/>
                  <w:gridSpan w:val="2"/>
                  <w:shd w:val="clear" w:color="auto" w:fill="auto"/>
                  <w:vAlign w:val="bottom"/>
                </w:tcPr>
                <w:p w:rsidR="00AC2131" w:rsidRDefault="00AC2131" w:rsidP="00AC2131">
                  <w:pPr>
                    <w:pStyle w:val="TableBodyText"/>
                    <w:spacing w:after="0"/>
                    <w:ind w:left="0" w:right="57"/>
                  </w:pPr>
                  <w:r>
                    <w:t>2.1</w:t>
                  </w:r>
                </w:p>
              </w:tc>
              <w:tc>
                <w:tcPr>
                  <w:tcW w:w="467" w:type="pct"/>
                  <w:gridSpan w:val="2"/>
                  <w:shd w:val="clear" w:color="auto" w:fill="auto"/>
                  <w:vAlign w:val="bottom"/>
                </w:tcPr>
                <w:p w:rsidR="00AC2131" w:rsidRDefault="00AC2131" w:rsidP="00AC2131">
                  <w:pPr>
                    <w:pStyle w:val="TableBodyText"/>
                    <w:spacing w:after="0"/>
                    <w:ind w:left="0" w:right="57"/>
                  </w:pPr>
                  <w:r>
                    <w:t>3.0</w:t>
                  </w:r>
                </w:p>
              </w:tc>
              <w:tc>
                <w:tcPr>
                  <w:tcW w:w="462" w:type="pct"/>
                  <w:gridSpan w:val="2"/>
                  <w:shd w:val="clear" w:color="auto" w:fill="auto"/>
                  <w:vAlign w:val="bottom"/>
                </w:tcPr>
                <w:p w:rsidR="00AC2131" w:rsidRDefault="00AC2131" w:rsidP="00AC2131">
                  <w:pPr>
                    <w:pStyle w:val="TableBodyText"/>
                    <w:spacing w:after="0"/>
                    <w:ind w:left="0" w:right="57"/>
                  </w:pPr>
                  <w:r>
                    <w:t>2.2</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sidRPr="00BB69B6">
                    <w:rPr>
                      <w:rFonts w:ascii="Arial" w:hAnsi="Arial" w:cs="Arial"/>
                      <w:color w:val="000000"/>
                      <w:sz w:val="18"/>
                      <w:szCs w:val="18"/>
                    </w:rPr>
                    <w:t>Cooperative Research Centres</w:t>
                  </w:r>
                </w:p>
              </w:tc>
              <w:tc>
                <w:tcPr>
                  <w:tcW w:w="471" w:type="pct"/>
                  <w:gridSpan w:val="2"/>
                  <w:vAlign w:val="bottom"/>
                </w:tcPr>
                <w:p w:rsidR="00AC2131" w:rsidRDefault="00AC2131" w:rsidP="00AC2131">
                  <w:pPr>
                    <w:pStyle w:val="TableBodyText"/>
                    <w:spacing w:after="0"/>
                    <w:ind w:left="0" w:right="57"/>
                  </w:pPr>
                  <w:r>
                    <w:t>4.0</w:t>
                  </w:r>
                </w:p>
              </w:tc>
              <w:tc>
                <w:tcPr>
                  <w:tcW w:w="467" w:type="pct"/>
                  <w:gridSpan w:val="2"/>
                  <w:vAlign w:val="bottom"/>
                </w:tcPr>
                <w:p w:rsidR="00AC2131" w:rsidRDefault="00AC2131" w:rsidP="00AC2131">
                  <w:pPr>
                    <w:pStyle w:val="TableBodyText"/>
                    <w:spacing w:after="0"/>
                    <w:ind w:left="0" w:right="57"/>
                  </w:pPr>
                  <w:r>
                    <w:t>6.0</w:t>
                  </w:r>
                </w:p>
              </w:tc>
              <w:tc>
                <w:tcPr>
                  <w:tcW w:w="467" w:type="pct"/>
                  <w:gridSpan w:val="2"/>
                  <w:vAlign w:val="bottom"/>
                </w:tcPr>
                <w:p w:rsidR="00AC2131" w:rsidRDefault="00AC2131" w:rsidP="00AC2131">
                  <w:pPr>
                    <w:pStyle w:val="TableBodyText"/>
                    <w:spacing w:after="0"/>
                    <w:ind w:left="0" w:right="57"/>
                  </w:pPr>
                  <w:r>
                    <w:t>6.8</w:t>
                  </w:r>
                </w:p>
              </w:tc>
              <w:tc>
                <w:tcPr>
                  <w:tcW w:w="467" w:type="pct"/>
                  <w:gridSpan w:val="2"/>
                  <w:shd w:val="clear" w:color="auto" w:fill="auto"/>
                  <w:vAlign w:val="bottom"/>
                </w:tcPr>
                <w:p w:rsidR="00AC2131" w:rsidRDefault="00AC2131" w:rsidP="00AC2131">
                  <w:pPr>
                    <w:pStyle w:val="TableBodyText"/>
                    <w:spacing w:after="0"/>
                    <w:ind w:left="0" w:right="57"/>
                  </w:pPr>
                  <w:r>
                    <w:t>6.8</w:t>
                  </w:r>
                </w:p>
              </w:tc>
              <w:tc>
                <w:tcPr>
                  <w:tcW w:w="467" w:type="pct"/>
                  <w:gridSpan w:val="2"/>
                  <w:shd w:val="clear" w:color="auto" w:fill="auto"/>
                  <w:vAlign w:val="bottom"/>
                </w:tcPr>
                <w:p w:rsidR="00AC2131" w:rsidRDefault="00AC2131" w:rsidP="00AC2131">
                  <w:pPr>
                    <w:pStyle w:val="TableBodyText"/>
                    <w:spacing w:after="0"/>
                    <w:ind w:left="0" w:right="57"/>
                  </w:pPr>
                  <w:r>
                    <w:t>6.8</w:t>
                  </w:r>
                </w:p>
              </w:tc>
              <w:tc>
                <w:tcPr>
                  <w:tcW w:w="462" w:type="pct"/>
                  <w:gridSpan w:val="2"/>
                  <w:shd w:val="clear" w:color="auto" w:fill="auto"/>
                  <w:vAlign w:val="bottom"/>
                </w:tcPr>
                <w:p w:rsidR="00AC2131" w:rsidRDefault="00AC2131" w:rsidP="00AC2131">
                  <w:pPr>
                    <w:pStyle w:val="TableBodyText"/>
                    <w:spacing w:after="0"/>
                    <w:ind w:left="0" w:right="57"/>
                  </w:pPr>
                  <w:r>
                    <w:t>2.1</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sidRPr="00BB69B6">
                    <w:rPr>
                      <w:rFonts w:ascii="Arial" w:hAnsi="Arial" w:cs="Arial"/>
                      <w:color w:val="000000"/>
                      <w:sz w:val="18"/>
                      <w:szCs w:val="18"/>
                    </w:rPr>
                    <w:t>CSIRO</w:t>
                  </w:r>
                </w:p>
              </w:tc>
              <w:tc>
                <w:tcPr>
                  <w:tcW w:w="471" w:type="pct"/>
                  <w:gridSpan w:val="2"/>
                  <w:vAlign w:val="bottom"/>
                </w:tcPr>
                <w:p w:rsidR="00AC2131" w:rsidRDefault="00AC2131" w:rsidP="00AC2131">
                  <w:pPr>
                    <w:pStyle w:val="TableBodyText"/>
                    <w:spacing w:after="0"/>
                    <w:ind w:left="0" w:right="57"/>
                  </w:pPr>
                  <w:r>
                    <w:t>&lt;0.1</w:t>
                  </w:r>
                </w:p>
              </w:tc>
              <w:tc>
                <w:tcPr>
                  <w:tcW w:w="467" w:type="pct"/>
                  <w:gridSpan w:val="2"/>
                  <w:vAlign w:val="bottom"/>
                </w:tcPr>
                <w:p w:rsidR="00AC2131" w:rsidRDefault="00AC2131" w:rsidP="00AC2131">
                  <w:pPr>
                    <w:pStyle w:val="TableBodyText"/>
                    <w:spacing w:after="0"/>
                    <w:ind w:left="0" w:right="57"/>
                  </w:pPr>
                  <w:r>
                    <w:t>&lt;0.1</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6.7</w:t>
                  </w:r>
                </w:p>
              </w:tc>
              <w:tc>
                <w:tcPr>
                  <w:tcW w:w="467" w:type="pct"/>
                  <w:gridSpan w:val="2"/>
                  <w:shd w:val="clear" w:color="auto" w:fill="auto"/>
                  <w:vAlign w:val="bottom"/>
                </w:tcPr>
                <w:p w:rsidR="00AC2131" w:rsidRDefault="00AC2131" w:rsidP="00AC2131">
                  <w:pPr>
                    <w:pStyle w:val="TableBodyText"/>
                    <w:spacing w:after="0"/>
                    <w:ind w:left="0" w:right="57"/>
                  </w:pPr>
                  <w:r>
                    <w:t>4.5</w:t>
                  </w:r>
                </w:p>
              </w:tc>
              <w:tc>
                <w:tcPr>
                  <w:tcW w:w="462" w:type="pct"/>
                  <w:gridSpan w:val="2"/>
                  <w:shd w:val="clear" w:color="auto" w:fill="auto"/>
                  <w:vAlign w:val="bottom"/>
                </w:tcPr>
                <w:p w:rsidR="00AC2131" w:rsidRDefault="00AC2131" w:rsidP="00AC2131">
                  <w:pPr>
                    <w:pStyle w:val="TableBodyText"/>
                    <w:spacing w:after="0"/>
                    <w:ind w:left="0" w:right="57"/>
                  </w:pPr>
                  <w:r>
                    <w:t>4.4</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sidRPr="00BB69B6">
                    <w:rPr>
                      <w:rFonts w:ascii="Arial" w:hAnsi="Arial" w:cs="Arial"/>
                      <w:color w:val="000000"/>
                      <w:sz w:val="18"/>
                      <w:szCs w:val="18"/>
                    </w:rPr>
                    <w:t>Manufacturing Technology Innovation Centre</w:t>
                  </w:r>
                </w:p>
              </w:tc>
              <w:tc>
                <w:tcPr>
                  <w:tcW w:w="471"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2" w:type="pct"/>
                  <w:gridSpan w:val="2"/>
                  <w:shd w:val="clear" w:color="auto" w:fill="auto"/>
                  <w:vAlign w:val="bottom"/>
                </w:tcPr>
                <w:p w:rsidR="00AC2131" w:rsidRDefault="00AC2131" w:rsidP="00AC2131">
                  <w:pPr>
                    <w:pStyle w:val="TableBodyText"/>
                    <w:spacing w:after="0"/>
                    <w:ind w:left="0" w:right="57"/>
                  </w:pPr>
                  <w:r>
                    <w:t>1.2</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sidRPr="00BB69B6">
                    <w:rPr>
                      <w:rFonts w:ascii="Arial" w:hAnsi="Arial" w:cs="Arial"/>
                      <w:color w:val="000000"/>
                      <w:sz w:val="18"/>
                      <w:szCs w:val="18"/>
                    </w:rPr>
                    <w:t>Premium R&amp;D tax concession</w:t>
                  </w:r>
                </w:p>
              </w:tc>
              <w:tc>
                <w:tcPr>
                  <w:tcW w:w="471" w:type="pct"/>
                  <w:gridSpan w:val="2"/>
                  <w:vAlign w:val="bottom"/>
                </w:tcPr>
                <w:p w:rsidR="00AC2131" w:rsidRDefault="00AC2131" w:rsidP="00AC2131">
                  <w:pPr>
                    <w:pStyle w:val="TableBodyText"/>
                    <w:spacing w:after="0"/>
                    <w:ind w:left="0" w:right="57"/>
                  </w:pPr>
                  <w:r>
                    <w:t>0.4</w:t>
                  </w:r>
                </w:p>
              </w:tc>
              <w:tc>
                <w:tcPr>
                  <w:tcW w:w="467" w:type="pct"/>
                  <w:gridSpan w:val="2"/>
                  <w:vAlign w:val="bottom"/>
                </w:tcPr>
                <w:p w:rsidR="00AC2131" w:rsidRDefault="00AC2131" w:rsidP="00AC2131">
                  <w:pPr>
                    <w:pStyle w:val="TableBodyText"/>
                    <w:spacing w:after="0"/>
                    <w:ind w:left="0" w:right="57"/>
                  </w:pPr>
                  <w:r>
                    <w:t>1.5</w:t>
                  </w:r>
                </w:p>
              </w:tc>
              <w:tc>
                <w:tcPr>
                  <w:tcW w:w="467" w:type="pct"/>
                  <w:gridSpan w:val="2"/>
                  <w:vAlign w:val="bottom"/>
                </w:tcPr>
                <w:p w:rsidR="00AC2131" w:rsidRDefault="00AC2131" w:rsidP="00AC2131">
                  <w:pPr>
                    <w:pStyle w:val="TableBodyText"/>
                    <w:spacing w:after="0"/>
                    <w:ind w:left="0" w:right="57"/>
                  </w:pPr>
                  <w:r>
                    <w:t>1.3</w:t>
                  </w:r>
                </w:p>
              </w:tc>
              <w:tc>
                <w:tcPr>
                  <w:tcW w:w="467" w:type="pct"/>
                  <w:gridSpan w:val="2"/>
                  <w:shd w:val="clear" w:color="auto" w:fill="auto"/>
                  <w:vAlign w:val="bottom"/>
                </w:tcPr>
                <w:p w:rsidR="00AC2131" w:rsidRDefault="00AC2131" w:rsidP="00AC2131">
                  <w:pPr>
                    <w:pStyle w:val="TableBodyText"/>
                    <w:spacing w:after="0"/>
                    <w:ind w:left="0" w:right="57"/>
                  </w:pPr>
                  <w:r>
                    <w:t>0.4</w:t>
                  </w:r>
                </w:p>
              </w:tc>
              <w:tc>
                <w:tcPr>
                  <w:tcW w:w="467" w:type="pct"/>
                  <w:gridSpan w:val="2"/>
                  <w:shd w:val="clear" w:color="auto" w:fill="auto"/>
                  <w:vAlign w:val="bottom"/>
                </w:tcPr>
                <w:p w:rsidR="00AC2131" w:rsidRDefault="00AC2131" w:rsidP="00AC2131">
                  <w:pPr>
                    <w:pStyle w:val="TableBodyText"/>
                    <w:spacing w:after="0"/>
                    <w:ind w:left="0" w:right="57"/>
                  </w:pPr>
                  <w:r>
                    <w:t>0.1</w:t>
                  </w:r>
                </w:p>
              </w:tc>
              <w:tc>
                <w:tcPr>
                  <w:tcW w:w="462" w:type="pct"/>
                  <w:gridSpan w:val="2"/>
                  <w:shd w:val="clear" w:color="auto" w:fill="auto"/>
                  <w:vAlign w:val="bottom"/>
                </w:tcPr>
                <w:p w:rsidR="00AC2131" w:rsidRDefault="00AC2131" w:rsidP="00AC2131">
                  <w:pPr>
                    <w:pStyle w:val="TableBodyText"/>
                    <w:spacing w:after="0"/>
                    <w:ind w:left="0" w:right="57"/>
                  </w:pPr>
                  <w:r>
                    <w:t>0.1</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Pr>
                      <w:rFonts w:ascii="Arial" w:hAnsi="Arial" w:cs="Arial"/>
                      <w:color w:val="000000"/>
                      <w:sz w:val="18"/>
                      <w:szCs w:val="18"/>
                    </w:rPr>
                    <w:t>Pre-seed fund</w:t>
                  </w:r>
                </w:p>
              </w:tc>
              <w:tc>
                <w:tcPr>
                  <w:tcW w:w="471"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0.2</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2"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sidRPr="00BB69B6">
                    <w:rPr>
                      <w:rFonts w:ascii="Arial" w:hAnsi="Arial" w:cs="Arial"/>
                      <w:color w:val="000000"/>
                      <w:sz w:val="18"/>
                      <w:szCs w:val="18"/>
                    </w:rPr>
                    <w:t>R&amp;D Start</w:t>
                  </w:r>
                </w:p>
              </w:tc>
              <w:tc>
                <w:tcPr>
                  <w:tcW w:w="471" w:type="pct"/>
                  <w:gridSpan w:val="2"/>
                  <w:vAlign w:val="bottom"/>
                </w:tcPr>
                <w:p w:rsidR="00AC2131" w:rsidRDefault="00AC2131" w:rsidP="00AC2131">
                  <w:pPr>
                    <w:pStyle w:val="TableBodyText"/>
                    <w:spacing w:after="0"/>
                    <w:ind w:left="0" w:right="57"/>
                  </w:pPr>
                  <w:r>
                    <w:t>0.1</w:t>
                  </w:r>
                </w:p>
              </w:tc>
              <w:tc>
                <w:tcPr>
                  <w:tcW w:w="467" w:type="pct"/>
                  <w:gridSpan w:val="2"/>
                  <w:vAlign w:val="bottom"/>
                </w:tcPr>
                <w:p w:rsidR="00AC2131" w:rsidRDefault="00AC2131" w:rsidP="00AC2131">
                  <w:pPr>
                    <w:pStyle w:val="TableBodyText"/>
                    <w:spacing w:after="0"/>
                    <w:ind w:left="0" w:right="57"/>
                  </w:pPr>
                  <w:r>
                    <w:t>0.1</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2"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sidRPr="00BB69B6">
                    <w:rPr>
                      <w:rFonts w:ascii="Arial" w:hAnsi="Arial" w:cs="Arial"/>
                      <w:color w:val="000000"/>
                      <w:sz w:val="18"/>
                      <w:szCs w:val="18"/>
                    </w:rPr>
                    <w:t>R&amp;D tax concession</w:t>
                  </w:r>
                </w:p>
              </w:tc>
              <w:tc>
                <w:tcPr>
                  <w:tcW w:w="471" w:type="pct"/>
                  <w:gridSpan w:val="2"/>
                  <w:vAlign w:val="bottom"/>
                </w:tcPr>
                <w:p w:rsidR="00AC2131" w:rsidRDefault="00AC2131" w:rsidP="00AC2131">
                  <w:pPr>
                    <w:pStyle w:val="TableBodyText"/>
                    <w:spacing w:after="0"/>
                    <w:ind w:left="0" w:right="57"/>
                  </w:pPr>
                  <w:r>
                    <w:t>1.7</w:t>
                  </w:r>
                </w:p>
              </w:tc>
              <w:tc>
                <w:tcPr>
                  <w:tcW w:w="467" w:type="pct"/>
                  <w:gridSpan w:val="2"/>
                  <w:vAlign w:val="bottom"/>
                </w:tcPr>
                <w:p w:rsidR="00AC2131" w:rsidRDefault="00AC2131" w:rsidP="00AC2131">
                  <w:pPr>
                    <w:pStyle w:val="TableBodyText"/>
                    <w:spacing w:after="0"/>
                    <w:ind w:left="0" w:right="57"/>
                  </w:pPr>
                  <w:r>
                    <w:t>2.3</w:t>
                  </w:r>
                </w:p>
              </w:tc>
              <w:tc>
                <w:tcPr>
                  <w:tcW w:w="467" w:type="pct"/>
                  <w:gridSpan w:val="2"/>
                  <w:vAlign w:val="bottom"/>
                </w:tcPr>
                <w:p w:rsidR="00AC2131" w:rsidRDefault="00AC2131" w:rsidP="00AC2131">
                  <w:pPr>
                    <w:pStyle w:val="TableBodyText"/>
                    <w:spacing w:after="0"/>
                    <w:ind w:left="0" w:right="57"/>
                  </w:pPr>
                  <w:r>
                    <w:t>2.3</w:t>
                  </w:r>
                </w:p>
              </w:tc>
              <w:tc>
                <w:tcPr>
                  <w:tcW w:w="467" w:type="pct"/>
                  <w:gridSpan w:val="2"/>
                  <w:shd w:val="clear" w:color="auto" w:fill="auto"/>
                  <w:vAlign w:val="bottom"/>
                </w:tcPr>
                <w:p w:rsidR="00AC2131" w:rsidRDefault="00AC2131" w:rsidP="00AC2131">
                  <w:pPr>
                    <w:pStyle w:val="TableBodyText"/>
                    <w:spacing w:after="0"/>
                    <w:ind w:left="0" w:right="57"/>
                  </w:pPr>
                  <w:r>
                    <w:t>2.3</w:t>
                  </w:r>
                </w:p>
              </w:tc>
              <w:tc>
                <w:tcPr>
                  <w:tcW w:w="467" w:type="pct"/>
                  <w:gridSpan w:val="2"/>
                  <w:shd w:val="clear" w:color="auto" w:fill="auto"/>
                  <w:vAlign w:val="bottom"/>
                </w:tcPr>
                <w:p w:rsidR="00AC2131" w:rsidRDefault="00AC2131" w:rsidP="00AC2131">
                  <w:pPr>
                    <w:pStyle w:val="TableBodyText"/>
                    <w:spacing w:after="0"/>
                    <w:ind w:left="0" w:right="57"/>
                  </w:pPr>
                  <w:r>
                    <w:t>1.0</w:t>
                  </w:r>
                </w:p>
              </w:tc>
              <w:tc>
                <w:tcPr>
                  <w:tcW w:w="462" w:type="pct"/>
                  <w:gridSpan w:val="2"/>
                  <w:shd w:val="clear" w:color="auto" w:fill="auto"/>
                  <w:vAlign w:val="bottom"/>
                </w:tcPr>
                <w:p w:rsidR="00AC2131" w:rsidRDefault="00AC2131" w:rsidP="00AC2131">
                  <w:pPr>
                    <w:pStyle w:val="TableBodyText"/>
                    <w:spacing w:after="0"/>
                    <w:ind w:left="0" w:right="57"/>
                  </w:pPr>
                  <w:r>
                    <w:t>0.3</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71"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2" w:type="pct"/>
                  <w:gridSpan w:val="2"/>
                  <w:shd w:val="clear" w:color="auto" w:fill="auto"/>
                  <w:vAlign w:val="bottom"/>
                </w:tcPr>
                <w:p w:rsidR="00AC2131" w:rsidRDefault="00AC2131" w:rsidP="00AC2131">
                  <w:pPr>
                    <w:pStyle w:val="TableBodyText"/>
                    <w:spacing w:after="0"/>
                    <w:ind w:left="0" w:right="57"/>
                  </w:pPr>
                  <w:r>
                    <w:t>-1.4</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71"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3.1</w:t>
                  </w:r>
                </w:p>
              </w:tc>
              <w:tc>
                <w:tcPr>
                  <w:tcW w:w="462" w:type="pct"/>
                  <w:gridSpan w:val="2"/>
                  <w:shd w:val="clear" w:color="auto" w:fill="auto"/>
                  <w:vAlign w:val="bottom"/>
                </w:tcPr>
                <w:p w:rsidR="00AC2131" w:rsidRDefault="00AC2131" w:rsidP="00AC2131">
                  <w:pPr>
                    <w:pStyle w:val="TableBodyText"/>
                    <w:spacing w:after="0"/>
                    <w:ind w:left="0" w:right="57"/>
                  </w:pPr>
                  <w:r>
                    <w:t>1.8</w:t>
                  </w:r>
                </w:p>
              </w:tc>
            </w:tr>
            <w:tr w:rsidR="00AC2131" w:rsidTr="00AC2131">
              <w:tc>
                <w:tcPr>
                  <w:tcW w:w="2199" w:type="pct"/>
                  <w:vAlign w:val="bottom"/>
                </w:tcPr>
                <w:p w:rsidR="00AC2131" w:rsidRPr="00BB69B6"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71"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w:t>
                  </w:r>
                </w:p>
              </w:tc>
              <w:tc>
                <w:tcPr>
                  <w:tcW w:w="467" w:type="pct"/>
                  <w:gridSpan w:val="2"/>
                  <w:shd w:val="clear" w:color="auto" w:fill="auto"/>
                  <w:vAlign w:val="bottom"/>
                </w:tcPr>
                <w:p w:rsidR="00AC2131" w:rsidRDefault="00AC2131" w:rsidP="00AC2131">
                  <w:pPr>
                    <w:pStyle w:val="TableBodyText"/>
                    <w:spacing w:after="0"/>
                    <w:ind w:left="0" w:right="57"/>
                  </w:pPr>
                  <w:r>
                    <w:t>2.6</w:t>
                  </w:r>
                </w:p>
              </w:tc>
              <w:tc>
                <w:tcPr>
                  <w:tcW w:w="462" w:type="pct"/>
                  <w:gridSpan w:val="2"/>
                  <w:shd w:val="clear" w:color="auto" w:fill="auto"/>
                  <w:vAlign w:val="bottom"/>
                </w:tcPr>
                <w:p w:rsidR="00AC2131" w:rsidRDefault="00AC2131" w:rsidP="00AC2131">
                  <w:pPr>
                    <w:pStyle w:val="TableBodyText"/>
                    <w:spacing w:after="0"/>
                    <w:ind w:left="0" w:right="57"/>
                  </w:pPr>
                  <w:r>
                    <w:t>4.7</w:t>
                  </w:r>
                </w:p>
              </w:tc>
            </w:tr>
            <w:tr w:rsidR="00AC2131" w:rsidTr="00AC2131">
              <w:tc>
                <w:tcPr>
                  <w:tcW w:w="2199" w:type="pct"/>
                  <w:tcBorders>
                    <w:bottom w:val="single" w:sz="6" w:space="0" w:color="BFBFBF"/>
                  </w:tcBorders>
                  <w:vAlign w:val="bottom"/>
                </w:tcPr>
                <w:p w:rsidR="00AC2131" w:rsidRPr="00BB69B6"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71" w:type="pct"/>
                  <w:gridSpan w:val="2"/>
                  <w:tcBorders>
                    <w:bottom w:val="single" w:sz="6" w:space="0" w:color="BFBFBF"/>
                  </w:tcBorders>
                  <w:vAlign w:val="bottom"/>
                </w:tcPr>
                <w:p w:rsidR="00AC2131" w:rsidRDefault="00AC2131" w:rsidP="00AC2131">
                  <w:pPr>
                    <w:pStyle w:val="TableBodyText"/>
                    <w:spacing w:after="0"/>
                    <w:ind w:left="0" w:right="57"/>
                  </w:pPr>
                  <w:r>
                    <w:t>3.8</w:t>
                  </w:r>
                </w:p>
              </w:tc>
              <w:tc>
                <w:tcPr>
                  <w:tcW w:w="467" w:type="pct"/>
                  <w:gridSpan w:val="2"/>
                  <w:tcBorders>
                    <w:bottom w:val="single" w:sz="6" w:space="0" w:color="BFBFBF"/>
                  </w:tcBorders>
                  <w:vAlign w:val="bottom"/>
                </w:tcPr>
                <w:p w:rsidR="00AC2131" w:rsidRDefault="00AC2131" w:rsidP="00AC2131">
                  <w:pPr>
                    <w:pStyle w:val="TableBodyText"/>
                    <w:spacing w:after="0"/>
                    <w:ind w:left="0" w:right="57"/>
                  </w:pPr>
                  <w:r>
                    <w:t>4.1</w:t>
                  </w:r>
                </w:p>
              </w:tc>
              <w:tc>
                <w:tcPr>
                  <w:tcW w:w="467" w:type="pct"/>
                  <w:gridSpan w:val="2"/>
                  <w:tcBorders>
                    <w:bottom w:val="single" w:sz="6" w:space="0" w:color="BFBFBF"/>
                  </w:tcBorders>
                  <w:vAlign w:val="bottom"/>
                </w:tcPr>
                <w:p w:rsidR="00AC2131" w:rsidRDefault="00AC2131" w:rsidP="00AC2131">
                  <w:pPr>
                    <w:pStyle w:val="TableBodyText"/>
                    <w:spacing w:after="0"/>
                    <w:ind w:left="0" w:right="57"/>
                  </w:pPr>
                  <w:r>
                    <w:t>3.0</w:t>
                  </w:r>
                </w:p>
              </w:tc>
              <w:tc>
                <w:tcPr>
                  <w:tcW w:w="467" w:type="pct"/>
                  <w:gridSpan w:val="2"/>
                  <w:tcBorders>
                    <w:bottom w:val="single" w:sz="6" w:space="0" w:color="BFBFBF"/>
                  </w:tcBorders>
                  <w:shd w:val="clear" w:color="auto" w:fill="auto"/>
                  <w:vAlign w:val="bottom"/>
                </w:tcPr>
                <w:p w:rsidR="00AC2131" w:rsidRDefault="00AC2131" w:rsidP="00AC2131">
                  <w:pPr>
                    <w:pStyle w:val="TableBodyText"/>
                    <w:spacing w:after="0"/>
                    <w:ind w:left="0" w:right="57"/>
                  </w:pPr>
                  <w:r>
                    <w:t>3.4</w:t>
                  </w:r>
                </w:p>
              </w:tc>
              <w:tc>
                <w:tcPr>
                  <w:tcW w:w="467" w:type="pct"/>
                  <w:gridSpan w:val="2"/>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2" w:type="pct"/>
                  <w:gridSpan w:val="2"/>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left="6499"/>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89"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rPr>
              <w:t>(continued)</w:t>
            </w:r>
          </w:p>
        </w:tc>
      </w:tr>
      <w:tr w:rsidR="00AC2131" w:rsidTr="00AC2131">
        <w:trPr>
          <w:cantSplit/>
        </w:trPr>
        <w:tc>
          <w:tcPr>
            <w:tcW w:w="8789"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802"/>
              <w:gridCol w:w="794"/>
              <w:gridCol w:w="794"/>
              <w:gridCol w:w="794"/>
              <w:gridCol w:w="794"/>
              <w:gridCol w:w="784"/>
            </w:tblGrid>
            <w:tr w:rsidR="00AC2131" w:rsidTr="00AC2131">
              <w:tc>
                <w:tcPr>
                  <w:tcW w:w="2200" w:type="pct"/>
                  <w:tcBorders>
                    <w:top w:val="single" w:sz="6" w:space="0" w:color="BFBFBF"/>
                    <w:bottom w:val="single" w:sz="6" w:space="0" w:color="BFBFBF"/>
                  </w:tcBorders>
                </w:tcPr>
                <w:p w:rsidR="00AC2131" w:rsidRDefault="00AC2131" w:rsidP="00AC2131">
                  <w:pPr>
                    <w:pStyle w:val="TableColumnHeading"/>
                    <w:jc w:val="left"/>
                  </w:pPr>
                </w:p>
              </w:tc>
              <w:tc>
                <w:tcPr>
                  <w:tcW w:w="471"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1"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Pr>
                <w:p w:rsidR="00AC2131" w:rsidRPr="00BB69B6" w:rsidRDefault="00AC2131" w:rsidP="00AC2131">
                  <w:pPr>
                    <w:pStyle w:val="TableBodyText"/>
                    <w:spacing w:before="40" w:after="0"/>
                    <w:ind w:left="113"/>
                    <w:jc w:val="left"/>
                    <w:rPr>
                      <w:i/>
                    </w:rPr>
                  </w:pPr>
                  <w:r w:rsidRPr="00BB69B6">
                    <w:rPr>
                      <w:i/>
                    </w:rPr>
                    <w:t>Other measures</w:t>
                  </w:r>
                </w:p>
              </w:tc>
              <w:tc>
                <w:tcPr>
                  <w:tcW w:w="471"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1" w:type="pct"/>
                  <w:shd w:val="clear" w:color="auto" w:fill="auto"/>
                </w:tcPr>
                <w:p w:rsidR="00AC2131" w:rsidRDefault="00AC2131" w:rsidP="00AC2131">
                  <w:pPr>
                    <w:pStyle w:val="TableBodyText"/>
                  </w:pP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25 per cent entrepreneurs' tax offset</w:t>
                  </w:r>
                </w:p>
              </w:tc>
              <w:tc>
                <w:tcPr>
                  <w:tcW w:w="471"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0.7</w:t>
                  </w:r>
                </w:p>
              </w:tc>
              <w:tc>
                <w:tcPr>
                  <w:tcW w:w="467" w:type="pct"/>
                  <w:shd w:val="clear" w:color="auto" w:fill="auto"/>
                  <w:vAlign w:val="bottom"/>
                </w:tcPr>
                <w:p w:rsidR="00AC2131" w:rsidRDefault="00AC2131" w:rsidP="00AC2131">
                  <w:pPr>
                    <w:pStyle w:val="TableBodyText"/>
                    <w:spacing w:after="0"/>
                    <w:ind w:left="0" w:right="57"/>
                  </w:pPr>
                  <w:r>
                    <w:t>0.7</w:t>
                  </w:r>
                </w:p>
              </w:tc>
              <w:tc>
                <w:tcPr>
                  <w:tcW w:w="467" w:type="pct"/>
                  <w:shd w:val="clear" w:color="auto" w:fill="auto"/>
                  <w:vAlign w:val="bottom"/>
                </w:tcPr>
                <w:p w:rsidR="00AC2131" w:rsidRDefault="00AC2131" w:rsidP="00AC2131">
                  <w:pPr>
                    <w:pStyle w:val="TableBodyText"/>
                    <w:spacing w:after="0"/>
                    <w:ind w:left="0" w:right="57"/>
                  </w:pPr>
                  <w:r>
                    <w:t>0.9</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Enterprise Connect Innovation Centres</w:t>
                  </w:r>
                </w:p>
              </w:tc>
              <w:tc>
                <w:tcPr>
                  <w:tcW w:w="471"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0.2</w:t>
                  </w:r>
                </w:p>
              </w:tc>
              <w:tc>
                <w:tcPr>
                  <w:tcW w:w="461"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Illawarra Region Innovation and Investment Fund</w:t>
                  </w:r>
                </w:p>
              </w:tc>
              <w:tc>
                <w:tcPr>
                  <w:tcW w:w="471"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0.2</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North West and Northern Tasmania Innovation and Investment Fund</w:t>
                  </w:r>
                </w:p>
              </w:tc>
              <w:tc>
                <w:tcPr>
                  <w:tcW w:w="471"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1.5</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71"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-0.2</w:t>
                  </w:r>
                </w:p>
              </w:tc>
              <w:tc>
                <w:tcPr>
                  <w:tcW w:w="461" w:type="pct"/>
                  <w:shd w:val="clear" w:color="auto" w:fill="auto"/>
                  <w:vAlign w:val="bottom"/>
                </w:tcPr>
                <w:p w:rsidR="00AC2131" w:rsidRDefault="00AC2131" w:rsidP="00AC2131">
                  <w:pPr>
                    <w:pStyle w:val="TableBodyText"/>
                    <w:spacing w:after="0"/>
                    <w:ind w:left="0" w:right="57"/>
                  </w:pPr>
                  <w:r>
                    <w:t>5.6</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 xml:space="preserve">Small business </w:t>
                  </w:r>
                  <w:r>
                    <w:rPr>
                      <w:rFonts w:ascii="Arial" w:hAnsi="Arial" w:cs="Arial"/>
                      <w:color w:val="000000"/>
                      <w:sz w:val="18"/>
                      <w:szCs w:val="18"/>
                    </w:rPr>
                    <w:t>capital gains tax</w:t>
                  </w:r>
                  <w:r w:rsidRPr="007971EC">
                    <w:rPr>
                      <w:rFonts w:ascii="Arial" w:hAnsi="Arial" w:cs="Arial"/>
                      <w:color w:val="000000"/>
                      <w:sz w:val="18"/>
                      <w:szCs w:val="18"/>
                    </w:rPr>
                    <w:t xml:space="preserve"> 50 per cent reduction</w:t>
                  </w:r>
                </w:p>
              </w:tc>
              <w:tc>
                <w:tcPr>
                  <w:tcW w:w="471"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0.9</w:t>
                  </w:r>
                </w:p>
              </w:tc>
              <w:tc>
                <w:tcPr>
                  <w:tcW w:w="461" w:type="pct"/>
                  <w:shd w:val="clear" w:color="auto" w:fill="auto"/>
                  <w:vAlign w:val="bottom"/>
                </w:tcPr>
                <w:p w:rsidR="00AC2131" w:rsidRDefault="00AC2131" w:rsidP="00AC2131">
                  <w:pPr>
                    <w:pStyle w:val="TableBodyText"/>
                    <w:spacing w:after="0"/>
                    <w:ind w:left="0" w:right="57"/>
                  </w:pPr>
                  <w:r>
                    <w:t>1.0</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 xml:space="preserve">Small business </w:t>
                  </w:r>
                  <w:r>
                    <w:rPr>
                      <w:rFonts w:ascii="Arial" w:hAnsi="Arial" w:cs="Arial"/>
                      <w:color w:val="000000"/>
                      <w:sz w:val="18"/>
                      <w:szCs w:val="18"/>
                    </w:rPr>
                    <w:t>capital gains tax</w:t>
                  </w:r>
                  <w:r w:rsidRPr="007971EC">
                    <w:rPr>
                      <w:rFonts w:ascii="Arial" w:hAnsi="Arial" w:cs="Arial"/>
                      <w:color w:val="000000"/>
                      <w:sz w:val="18"/>
                      <w:szCs w:val="18"/>
                    </w:rPr>
                    <w:t xml:space="preserve"> retirement exemption</w:t>
                  </w:r>
                </w:p>
              </w:tc>
              <w:tc>
                <w:tcPr>
                  <w:tcW w:w="471"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Structural Adjustment Fund for South Australia</w:t>
                  </w:r>
                </w:p>
              </w:tc>
              <w:tc>
                <w:tcPr>
                  <w:tcW w:w="471"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Tasmanian Freight Equalisation Scheme</w:t>
                  </w:r>
                </w:p>
              </w:tc>
              <w:tc>
                <w:tcPr>
                  <w:tcW w:w="471"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Tasmanian Innovation and Investment Fund</w:t>
                  </w:r>
                </w:p>
              </w:tc>
              <w:tc>
                <w:tcPr>
                  <w:tcW w:w="471"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0.1</w:t>
                  </w:r>
                </w:p>
              </w:tc>
              <w:tc>
                <w:tcPr>
                  <w:tcW w:w="461"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The Small Business and General Business Tax Break</w:t>
                  </w:r>
                </w:p>
              </w:tc>
              <w:tc>
                <w:tcPr>
                  <w:tcW w:w="471"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3.8</w:t>
                  </w:r>
                </w:p>
              </w:tc>
              <w:tc>
                <w:tcPr>
                  <w:tcW w:w="467" w:type="pct"/>
                  <w:vAlign w:val="bottom"/>
                </w:tcPr>
                <w:p w:rsidR="00AC2131" w:rsidRDefault="00AC2131" w:rsidP="00AC2131">
                  <w:pPr>
                    <w:pStyle w:val="TableBodyText"/>
                    <w:spacing w:after="0"/>
                    <w:ind w:left="0" w:right="57"/>
                  </w:pPr>
                  <w:r>
                    <w:t>1.0</w:t>
                  </w:r>
                </w:p>
              </w:tc>
              <w:tc>
                <w:tcPr>
                  <w:tcW w:w="467" w:type="pct"/>
                  <w:shd w:val="clear" w:color="auto" w:fill="auto"/>
                  <w:vAlign w:val="bottom"/>
                </w:tcPr>
                <w:p w:rsidR="00AC2131" w:rsidRDefault="00AC2131" w:rsidP="00AC2131">
                  <w:pPr>
                    <w:pStyle w:val="TableBodyText"/>
                    <w:spacing w:after="0"/>
                    <w:ind w:left="0" w:right="57"/>
                  </w:pPr>
                  <w:r>
                    <w:t>1.0</w:t>
                  </w:r>
                </w:p>
              </w:tc>
              <w:tc>
                <w:tcPr>
                  <w:tcW w:w="467" w:type="pct"/>
                  <w:shd w:val="clear" w:color="auto" w:fill="auto"/>
                  <w:vAlign w:val="bottom"/>
                </w:tcPr>
                <w:p w:rsidR="00AC2131" w:rsidRDefault="00AC2131" w:rsidP="00AC2131">
                  <w:pPr>
                    <w:pStyle w:val="TableBodyText"/>
                    <w:spacing w:after="0"/>
                    <w:ind w:left="0" w:right="57"/>
                  </w:pPr>
                  <w:r>
                    <w:t>0.3</w:t>
                  </w:r>
                </w:p>
              </w:tc>
              <w:tc>
                <w:tcPr>
                  <w:tcW w:w="461"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tcPr>
                <w:p w:rsidR="00AC2131" w:rsidRPr="007971EC" w:rsidRDefault="00AC2131" w:rsidP="00AC2131">
                  <w:pPr>
                    <w:pStyle w:val="TableBodyText"/>
                    <w:spacing w:before="20" w:after="20"/>
                    <w:jc w:val="left"/>
                    <w:rPr>
                      <w:i/>
                    </w:rPr>
                  </w:pPr>
                  <w:r w:rsidRPr="007971EC">
                    <w:rPr>
                      <w:i/>
                    </w:rPr>
                    <w:t>Total</w:t>
                  </w:r>
                </w:p>
              </w:tc>
              <w:tc>
                <w:tcPr>
                  <w:tcW w:w="471" w:type="pct"/>
                  <w:vAlign w:val="bottom"/>
                </w:tcPr>
                <w:p w:rsidR="00AC2131" w:rsidRPr="00707561" w:rsidRDefault="00AC2131" w:rsidP="00AC2131">
                  <w:pPr>
                    <w:pStyle w:val="TableBodyText"/>
                    <w:spacing w:before="20" w:after="20"/>
                    <w:ind w:left="0" w:right="57"/>
                    <w:rPr>
                      <w:i/>
                    </w:rPr>
                  </w:pPr>
                  <w:r w:rsidRPr="00707561">
                    <w:rPr>
                      <w:i/>
                    </w:rPr>
                    <w:t>24.4</w:t>
                  </w:r>
                </w:p>
              </w:tc>
              <w:tc>
                <w:tcPr>
                  <w:tcW w:w="467" w:type="pct"/>
                  <w:vAlign w:val="bottom"/>
                </w:tcPr>
                <w:p w:rsidR="00AC2131" w:rsidRPr="00707561" w:rsidRDefault="00AC2131" w:rsidP="00AC2131">
                  <w:pPr>
                    <w:pStyle w:val="TableBodyText"/>
                    <w:spacing w:before="20" w:after="20"/>
                    <w:ind w:left="0" w:right="57"/>
                    <w:rPr>
                      <w:i/>
                    </w:rPr>
                  </w:pPr>
                  <w:r w:rsidRPr="00707561">
                    <w:rPr>
                      <w:i/>
                    </w:rPr>
                    <w:t>30.6</w:t>
                  </w:r>
                </w:p>
              </w:tc>
              <w:tc>
                <w:tcPr>
                  <w:tcW w:w="467" w:type="pct"/>
                  <w:vAlign w:val="bottom"/>
                </w:tcPr>
                <w:p w:rsidR="00AC2131" w:rsidRPr="00707561" w:rsidRDefault="00AC2131" w:rsidP="00AC2131">
                  <w:pPr>
                    <w:pStyle w:val="TableBodyText"/>
                    <w:spacing w:before="20" w:after="20"/>
                    <w:ind w:left="0" w:right="57"/>
                    <w:rPr>
                      <w:i/>
                    </w:rPr>
                  </w:pPr>
                  <w:r w:rsidRPr="00707561">
                    <w:rPr>
                      <w:i/>
                    </w:rPr>
                    <w:t>25.5</w:t>
                  </w:r>
                </w:p>
              </w:tc>
              <w:tc>
                <w:tcPr>
                  <w:tcW w:w="467" w:type="pct"/>
                  <w:shd w:val="clear" w:color="auto" w:fill="auto"/>
                  <w:vAlign w:val="bottom"/>
                </w:tcPr>
                <w:p w:rsidR="00AC2131" w:rsidRPr="00707561" w:rsidRDefault="00AC2131" w:rsidP="00AC2131">
                  <w:pPr>
                    <w:pStyle w:val="TableBodyText"/>
                    <w:spacing w:before="20" w:after="20"/>
                    <w:ind w:left="0" w:right="57"/>
                    <w:rPr>
                      <w:i/>
                    </w:rPr>
                  </w:pPr>
                  <w:r w:rsidRPr="00707561">
                    <w:rPr>
                      <w:i/>
                    </w:rPr>
                    <w:t>32.3</w:t>
                  </w:r>
                </w:p>
              </w:tc>
              <w:tc>
                <w:tcPr>
                  <w:tcW w:w="467" w:type="pct"/>
                  <w:shd w:val="clear" w:color="auto" w:fill="auto"/>
                  <w:vAlign w:val="bottom"/>
                </w:tcPr>
                <w:p w:rsidR="00AC2131" w:rsidRPr="00707561" w:rsidRDefault="00AC2131" w:rsidP="00AC2131">
                  <w:pPr>
                    <w:pStyle w:val="TableBodyText"/>
                    <w:spacing w:before="20" w:after="20"/>
                    <w:ind w:left="0" w:right="57"/>
                    <w:rPr>
                      <w:i/>
                    </w:rPr>
                  </w:pPr>
                  <w:r w:rsidRPr="00707561">
                    <w:rPr>
                      <w:i/>
                    </w:rPr>
                    <w:t>31.3</w:t>
                  </w:r>
                </w:p>
              </w:tc>
              <w:tc>
                <w:tcPr>
                  <w:tcW w:w="461" w:type="pct"/>
                  <w:shd w:val="clear" w:color="auto" w:fill="auto"/>
                  <w:vAlign w:val="bottom"/>
                </w:tcPr>
                <w:p w:rsidR="00AC2131" w:rsidRPr="00707561" w:rsidRDefault="00AC2131" w:rsidP="00AC2131">
                  <w:pPr>
                    <w:pStyle w:val="TableBodyText"/>
                    <w:spacing w:before="20" w:after="20"/>
                    <w:ind w:left="0" w:right="57"/>
                    <w:rPr>
                      <w:i/>
                    </w:rPr>
                  </w:pPr>
                  <w:r w:rsidRPr="00707561">
                    <w:rPr>
                      <w:i/>
                    </w:rPr>
                    <w:t>29.1</w:t>
                  </w:r>
                </w:p>
              </w:tc>
            </w:tr>
            <w:tr w:rsidR="00AC2131" w:rsidTr="00AC2131">
              <w:tc>
                <w:tcPr>
                  <w:tcW w:w="2200" w:type="pct"/>
                </w:tcPr>
                <w:p w:rsidR="00AC2131" w:rsidRPr="007971EC" w:rsidRDefault="00AC2131" w:rsidP="00AC2131">
                  <w:pPr>
                    <w:pStyle w:val="TableBodyText"/>
                    <w:spacing w:before="40"/>
                    <w:jc w:val="left"/>
                    <w:rPr>
                      <w:b/>
                    </w:rPr>
                  </w:pPr>
                  <w:r w:rsidRPr="007971EC">
                    <w:rPr>
                      <w:b/>
                    </w:rPr>
                    <w:t>Unallocated manufacturing</w:t>
                  </w:r>
                </w:p>
              </w:tc>
              <w:tc>
                <w:tcPr>
                  <w:tcW w:w="471"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1" w:type="pct"/>
                  <w:shd w:val="clear" w:color="auto" w:fill="auto"/>
                </w:tcPr>
                <w:p w:rsidR="00AC2131" w:rsidRDefault="00AC2131" w:rsidP="00AC2131">
                  <w:pPr>
                    <w:pStyle w:val="TableBodyText"/>
                    <w:spacing w:before="40"/>
                  </w:pPr>
                </w:p>
              </w:tc>
            </w:tr>
            <w:tr w:rsidR="00AC2131" w:rsidTr="00AC2131">
              <w:tc>
                <w:tcPr>
                  <w:tcW w:w="2200" w:type="pct"/>
                </w:tcPr>
                <w:p w:rsidR="00AC2131" w:rsidRPr="007971EC" w:rsidRDefault="00AC2131" w:rsidP="00AC2131">
                  <w:pPr>
                    <w:pStyle w:val="TableBodyText"/>
                    <w:spacing w:before="40" w:after="0"/>
                    <w:ind w:left="113"/>
                    <w:jc w:val="left"/>
                    <w:rPr>
                      <w:i/>
                    </w:rPr>
                  </w:pPr>
                  <w:r w:rsidRPr="007971EC">
                    <w:rPr>
                      <w:i/>
                    </w:rPr>
                    <w:t>Industry-specific measures</w:t>
                  </w:r>
                </w:p>
              </w:tc>
              <w:tc>
                <w:tcPr>
                  <w:tcW w:w="471"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1" w:type="pct"/>
                  <w:shd w:val="clear" w:color="auto" w:fill="auto"/>
                </w:tcPr>
                <w:p w:rsidR="00AC2131" w:rsidRDefault="00AC2131" w:rsidP="00AC2131">
                  <w:pPr>
                    <w:pStyle w:val="TableBodyText"/>
                  </w:pP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Advanced Electricity Storage</w:t>
                  </w:r>
                </w:p>
              </w:tc>
              <w:tc>
                <w:tcPr>
                  <w:tcW w:w="471" w:type="pct"/>
                  <w:vAlign w:val="bottom"/>
                </w:tcPr>
                <w:p w:rsidR="00AC2131" w:rsidRDefault="00AC2131" w:rsidP="00AC2131">
                  <w:pPr>
                    <w:pStyle w:val="TableBodyText"/>
                    <w:spacing w:after="0"/>
                    <w:ind w:left="0" w:right="57"/>
                  </w:pPr>
                  <w:r>
                    <w:t>8.7</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6272E7">
                    <w:rPr>
                      <w:rFonts w:ascii="Arial" w:hAnsi="Arial" w:cs="Arial"/>
                      <w:color w:val="000000"/>
                      <w:sz w:val="18"/>
                      <w:szCs w:val="18"/>
                    </w:rPr>
                    <w:t>Industry Skilling Program Enhancement</w:t>
                  </w:r>
                </w:p>
              </w:tc>
              <w:tc>
                <w:tcPr>
                  <w:tcW w:w="471"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5.5</w:t>
                  </w:r>
                </w:p>
              </w:tc>
              <w:tc>
                <w:tcPr>
                  <w:tcW w:w="467" w:type="pct"/>
                  <w:vAlign w:val="bottom"/>
                </w:tcPr>
                <w:p w:rsidR="00AC2131" w:rsidRDefault="00AC2131" w:rsidP="00AC2131">
                  <w:pPr>
                    <w:pStyle w:val="TableBodyText"/>
                    <w:spacing w:after="0"/>
                    <w:ind w:left="0" w:right="57"/>
                  </w:pPr>
                  <w:r>
                    <w:t>2.9</w:t>
                  </w:r>
                </w:p>
              </w:tc>
              <w:tc>
                <w:tcPr>
                  <w:tcW w:w="467" w:type="pct"/>
                  <w:shd w:val="clear" w:color="auto" w:fill="auto"/>
                  <w:vAlign w:val="bottom"/>
                </w:tcPr>
                <w:p w:rsidR="00AC2131" w:rsidRDefault="00AC2131" w:rsidP="00AC2131">
                  <w:pPr>
                    <w:pStyle w:val="TableBodyText"/>
                    <w:spacing w:after="0"/>
                    <w:ind w:left="0" w:right="57"/>
                  </w:pPr>
                  <w:r>
                    <w:t>1.2</w:t>
                  </w:r>
                </w:p>
              </w:tc>
              <w:tc>
                <w:tcPr>
                  <w:tcW w:w="467" w:type="pct"/>
                  <w:shd w:val="clear" w:color="auto" w:fill="auto"/>
                  <w:vAlign w:val="bottom"/>
                </w:tcPr>
                <w:p w:rsidR="00AC2131" w:rsidRDefault="00AC2131" w:rsidP="00AC2131">
                  <w:pPr>
                    <w:pStyle w:val="TableBodyText"/>
                    <w:spacing w:after="0"/>
                    <w:ind w:left="0" w:right="57"/>
                  </w:pPr>
                  <w:r>
                    <w:t>0.2</w:t>
                  </w:r>
                </w:p>
              </w:tc>
              <w:tc>
                <w:tcPr>
                  <w:tcW w:w="461"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6272E7">
                    <w:rPr>
                      <w:rFonts w:ascii="Arial" w:hAnsi="Arial" w:cs="Arial"/>
                      <w:color w:val="000000"/>
                      <w:sz w:val="18"/>
                      <w:szCs w:val="18"/>
                    </w:rPr>
                    <w:t>New Aircraft Combat Capability</w:t>
                  </w:r>
                </w:p>
              </w:tc>
              <w:tc>
                <w:tcPr>
                  <w:tcW w:w="471"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3.3</w:t>
                  </w:r>
                </w:p>
              </w:tc>
              <w:tc>
                <w:tcPr>
                  <w:tcW w:w="467" w:type="pct"/>
                  <w:shd w:val="clear" w:color="auto" w:fill="auto"/>
                  <w:vAlign w:val="bottom"/>
                </w:tcPr>
                <w:p w:rsidR="00AC2131" w:rsidRDefault="00AC2131" w:rsidP="00AC2131">
                  <w:pPr>
                    <w:pStyle w:val="TableBodyText"/>
                    <w:spacing w:after="0"/>
                    <w:ind w:left="0" w:right="57"/>
                  </w:pPr>
                  <w:r>
                    <w:t>2.0</w:t>
                  </w:r>
                </w:p>
              </w:tc>
              <w:tc>
                <w:tcPr>
                  <w:tcW w:w="461" w:type="pct"/>
                  <w:shd w:val="clear" w:color="auto" w:fill="auto"/>
                  <w:vAlign w:val="bottom"/>
                </w:tcPr>
                <w:p w:rsidR="00AC2131" w:rsidRDefault="00AC2131" w:rsidP="00AC2131">
                  <w:pPr>
                    <w:pStyle w:val="TableBodyText"/>
                    <w:spacing w:after="0"/>
                    <w:ind w:left="0" w:right="57"/>
                  </w:pPr>
                  <w:r>
                    <w:t>1.9</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6272E7">
                    <w:rPr>
                      <w:rFonts w:ascii="Arial" w:hAnsi="Arial" w:cs="Arial"/>
                      <w:color w:val="000000"/>
                      <w:sz w:val="18"/>
                      <w:szCs w:val="18"/>
                    </w:rPr>
                    <w:t>Priority Industry Capability Innovation Program</w:t>
                  </w:r>
                </w:p>
              </w:tc>
              <w:tc>
                <w:tcPr>
                  <w:tcW w:w="471"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13.3</w:t>
                  </w:r>
                </w:p>
              </w:tc>
              <w:tc>
                <w:tcPr>
                  <w:tcW w:w="467" w:type="pct"/>
                  <w:shd w:val="clear" w:color="auto" w:fill="auto"/>
                  <w:vAlign w:val="bottom"/>
                </w:tcPr>
                <w:p w:rsidR="00AC2131" w:rsidRDefault="00AC2131" w:rsidP="00AC2131">
                  <w:pPr>
                    <w:pStyle w:val="TableBodyText"/>
                    <w:spacing w:after="0"/>
                    <w:ind w:left="0" w:right="57"/>
                  </w:pPr>
                  <w:r>
                    <w:t>10.4</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6272E7" w:rsidRDefault="00AC2131" w:rsidP="00AC2131">
                  <w:pPr>
                    <w:ind w:left="227"/>
                    <w:rPr>
                      <w:rFonts w:ascii="Arial" w:hAnsi="Arial" w:cs="Arial"/>
                      <w:color w:val="000000"/>
                      <w:sz w:val="18"/>
                      <w:szCs w:val="18"/>
                    </w:rPr>
                  </w:pPr>
                  <w:r w:rsidRPr="006272E7">
                    <w:rPr>
                      <w:rFonts w:ascii="Arial" w:hAnsi="Arial" w:cs="Arial"/>
                      <w:color w:val="000000"/>
                      <w:sz w:val="18"/>
                      <w:szCs w:val="18"/>
                    </w:rPr>
                    <w:t>Skilling Australian Defence Industry</w:t>
                  </w:r>
                </w:p>
              </w:tc>
              <w:tc>
                <w:tcPr>
                  <w:tcW w:w="471" w:type="pct"/>
                  <w:vAlign w:val="bottom"/>
                </w:tcPr>
                <w:p w:rsidR="00AC2131" w:rsidRDefault="00AC2131" w:rsidP="00AC2131">
                  <w:pPr>
                    <w:pStyle w:val="TableBodyText"/>
                    <w:spacing w:after="0"/>
                    <w:ind w:left="0" w:right="57"/>
                  </w:pPr>
                  <w:r>
                    <w:t>12.4</w:t>
                  </w:r>
                </w:p>
              </w:tc>
              <w:tc>
                <w:tcPr>
                  <w:tcW w:w="467" w:type="pct"/>
                  <w:vAlign w:val="bottom"/>
                </w:tcPr>
                <w:p w:rsidR="00AC2131" w:rsidRDefault="00AC2131" w:rsidP="00AC2131">
                  <w:pPr>
                    <w:pStyle w:val="TableBodyText"/>
                    <w:spacing w:after="0"/>
                    <w:ind w:left="0" w:right="57"/>
                  </w:pPr>
                  <w:r>
                    <w:t>6.4</w:t>
                  </w:r>
                </w:p>
              </w:tc>
              <w:tc>
                <w:tcPr>
                  <w:tcW w:w="467" w:type="pct"/>
                  <w:vAlign w:val="bottom"/>
                </w:tcPr>
                <w:p w:rsidR="00AC2131" w:rsidRDefault="00AC2131" w:rsidP="00AC2131">
                  <w:pPr>
                    <w:pStyle w:val="TableBodyText"/>
                    <w:spacing w:after="0"/>
                    <w:ind w:left="0" w:right="57"/>
                  </w:pPr>
                  <w:r>
                    <w:t>9.0</w:t>
                  </w:r>
                </w:p>
              </w:tc>
              <w:tc>
                <w:tcPr>
                  <w:tcW w:w="467" w:type="pct"/>
                  <w:shd w:val="clear" w:color="auto" w:fill="auto"/>
                  <w:vAlign w:val="bottom"/>
                </w:tcPr>
                <w:p w:rsidR="00AC2131" w:rsidRDefault="00AC2131" w:rsidP="00AC2131">
                  <w:pPr>
                    <w:pStyle w:val="TableBodyText"/>
                    <w:spacing w:after="0"/>
                    <w:ind w:left="0" w:right="57"/>
                  </w:pPr>
                  <w:r>
                    <w:t>14.6</w:t>
                  </w:r>
                </w:p>
              </w:tc>
              <w:tc>
                <w:tcPr>
                  <w:tcW w:w="467" w:type="pct"/>
                  <w:shd w:val="clear" w:color="auto" w:fill="auto"/>
                  <w:vAlign w:val="bottom"/>
                </w:tcPr>
                <w:p w:rsidR="00AC2131" w:rsidRDefault="00AC2131" w:rsidP="00AC2131">
                  <w:pPr>
                    <w:pStyle w:val="TableBodyText"/>
                    <w:spacing w:after="0"/>
                    <w:ind w:left="0" w:right="57"/>
                  </w:pPr>
                  <w:r>
                    <w:t>16.9</w:t>
                  </w:r>
                </w:p>
              </w:tc>
              <w:tc>
                <w:tcPr>
                  <w:tcW w:w="461" w:type="pct"/>
                  <w:shd w:val="clear" w:color="auto" w:fill="auto"/>
                  <w:vAlign w:val="bottom"/>
                </w:tcPr>
                <w:p w:rsidR="00AC2131" w:rsidRDefault="00AC2131" w:rsidP="00AC2131">
                  <w:pPr>
                    <w:pStyle w:val="TableBodyText"/>
                    <w:spacing w:after="0"/>
                    <w:ind w:left="0" w:right="57"/>
                  </w:pPr>
                  <w:r>
                    <w:t>12.2</w:t>
                  </w:r>
                </w:p>
              </w:tc>
            </w:tr>
            <w:tr w:rsidR="00AC2131" w:rsidTr="00AC2131">
              <w:tc>
                <w:tcPr>
                  <w:tcW w:w="2200" w:type="pct"/>
                </w:tcPr>
                <w:p w:rsidR="00AC2131" w:rsidRPr="007971EC" w:rsidRDefault="00AC2131" w:rsidP="00AC2131">
                  <w:pPr>
                    <w:pStyle w:val="TableBodyText"/>
                    <w:spacing w:before="40" w:after="0"/>
                    <w:ind w:left="113"/>
                    <w:jc w:val="left"/>
                    <w:rPr>
                      <w:i/>
                    </w:rPr>
                  </w:pPr>
                  <w:r w:rsidRPr="007971EC">
                    <w:rPr>
                      <w:i/>
                    </w:rPr>
                    <w:t>Sector-specific measures</w:t>
                  </w:r>
                </w:p>
              </w:tc>
              <w:tc>
                <w:tcPr>
                  <w:tcW w:w="471"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1" w:type="pct"/>
                  <w:shd w:val="clear" w:color="auto" w:fill="auto"/>
                </w:tcPr>
                <w:p w:rsidR="00AC2131" w:rsidRDefault="00AC2131" w:rsidP="00AC2131">
                  <w:pPr>
                    <w:pStyle w:val="TableBodyText"/>
                  </w:pP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 xml:space="preserve">Clean Business Australia </w:t>
                  </w:r>
                  <w:r>
                    <w:rPr>
                      <w:rFonts w:ascii="Arial" w:hAnsi="Arial" w:cs="Arial"/>
                      <w:color w:val="000000"/>
                      <w:sz w:val="18"/>
                      <w:szCs w:val="18"/>
                    </w:rPr>
                    <w:t>–</w:t>
                  </w:r>
                  <w:r w:rsidRPr="007971EC">
                    <w:rPr>
                      <w:rFonts w:ascii="Arial" w:hAnsi="Arial" w:cs="Arial"/>
                      <w:color w:val="000000"/>
                      <w:sz w:val="18"/>
                      <w:szCs w:val="18"/>
                    </w:rPr>
                    <w:t xml:space="preserve"> Re-tooling for Climate Change</w:t>
                  </w:r>
                </w:p>
              </w:tc>
              <w:tc>
                <w:tcPr>
                  <w:tcW w:w="471"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4.9</w:t>
                  </w:r>
                </w:p>
              </w:tc>
              <w:tc>
                <w:tcPr>
                  <w:tcW w:w="467" w:type="pct"/>
                  <w:vAlign w:val="bottom"/>
                </w:tcPr>
                <w:p w:rsidR="00AC2131" w:rsidRDefault="00AC2131" w:rsidP="00AC2131">
                  <w:pPr>
                    <w:pStyle w:val="TableBodyText"/>
                    <w:spacing w:after="0"/>
                    <w:ind w:left="0" w:right="57"/>
                  </w:pPr>
                  <w:r>
                    <w:t>7.6</w:t>
                  </w:r>
                </w:p>
              </w:tc>
              <w:tc>
                <w:tcPr>
                  <w:tcW w:w="467" w:type="pct"/>
                  <w:shd w:val="clear" w:color="auto" w:fill="auto"/>
                  <w:vAlign w:val="bottom"/>
                </w:tcPr>
                <w:p w:rsidR="00AC2131" w:rsidRDefault="00AC2131" w:rsidP="00AC2131">
                  <w:pPr>
                    <w:pStyle w:val="TableBodyText"/>
                    <w:spacing w:after="0"/>
                    <w:ind w:left="0" w:right="57"/>
                  </w:pPr>
                  <w:r>
                    <w:t>4.2</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7971EC" w:rsidRDefault="00AC2131" w:rsidP="00AC2131">
                  <w:pPr>
                    <w:ind w:left="227"/>
                    <w:rPr>
                      <w:rFonts w:ascii="Arial" w:hAnsi="Arial" w:cs="Arial"/>
                      <w:color w:val="000000"/>
                      <w:sz w:val="18"/>
                      <w:szCs w:val="18"/>
                    </w:rPr>
                  </w:pPr>
                  <w:r w:rsidRPr="007971EC">
                    <w:rPr>
                      <w:rFonts w:ascii="Arial" w:hAnsi="Arial" w:cs="Arial"/>
                      <w:color w:val="000000"/>
                      <w:sz w:val="18"/>
                      <w:szCs w:val="18"/>
                    </w:rPr>
                    <w:t xml:space="preserve">Clean Technology Investment </w:t>
                  </w:r>
                  <w:r>
                    <w:rPr>
                      <w:rFonts w:ascii="Arial" w:hAnsi="Arial" w:cs="Arial"/>
                      <w:color w:val="000000"/>
                      <w:sz w:val="18"/>
                      <w:szCs w:val="18"/>
                    </w:rPr>
                    <w:t>–</w:t>
                  </w:r>
                  <w:r w:rsidRPr="007971EC">
                    <w:rPr>
                      <w:rFonts w:ascii="Arial" w:hAnsi="Arial" w:cs="Arial"/>
                      <w:color w:val="000000"/>
                      <w:sz w:val="18"/>
                      <w:szCs w:val="18"/>
                    </w:rPr>
                    <w:t xml:space="preserve"> General Program</w:t>
                  </w:r>
                </w:p>
              </w:tc>
              <w:tc>
                <w:tcPr>
                  <w:tcW w:w="471"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tcPr>
                <w:p w:rsidR="00AC2131" w:rsidRPr="007971EC" w:rsidRDefault="00AC2131" w:rsidP="00AC2131">
                  <w:pPr>
                    <w:pStyle w:val="TableBodyText"/>
                    <w:spacing w:before="40" w:after="0"/>
                    <w:ind w:left="113"/>
                    <w:jc w:val="left"/>
                    <w:rPr>
                      <w:i/>
                    </w:rPr>
                  </w:pPr>
                  <w:r w:rsidRPr="007971EC">
                    <w:rPr>
                      <w:i/>
                    </w:rPr>
                    <w:t>General export measures</w:t>
                  </w:r>
                </w:p>
              </w:tc>
              <w:tc>
                <w:tcPr>
                  <w:tcW w:w="471" w:type="pct"/>
                </w:tcPr>
                <w:p w:rsidR="00AC2131" w:rsidRDefault="00AC2131" w:rsidP="00AC2131">
                  <w:pPr>
                    <w:pStyle w:val="TableBodyText"/>
                  </w:pPr>
                </w:p>
              </w:tc>
              <w:tc>
                <w:tcPr>
                  <w:tcW w:w="467" w:type="pct"/>
                </w:tcPr>
                <w:p w:rsidR="00AC2131" w:rsidRDefault="00AC2131" w:rsidP="00AC2131">
                  <w:pPr>
                    <w:pStyle w:val="TableBodyText"/>
                  </w:pPr>
                </w:p>
              </w:tc>
              <w:tc>
                <w:tcPr>
                  <w:tcW w:w="467" w:type="pct"/>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1" w:type="pct"/>
                  <w:shd w:val="clear" w:color="auto" w:fill="auto"/>
                </w:tcPr>
                <w:p w:rsidR="00AC2131" w:rsidRDefault="00AC2131" w:rsidP="00AC2131">
                  <w:pPr>
                    <w:pStyle w:val="TableBodyText"/>
                  </w:pPr>
                </w:p>
              </w:tc>
            </w:tr>
            <w:tr w:rsidR="00AC2131" w:rsidTr="00AC2131">
              <w:tc>
                <w:tcPr>
                  <w:tcW w:w="2200" w:type="pct"/>
                </w:tcPr>
                <w:p w:rsidR="00AC2131" w:rsidRDefault="00AC2131" w:rsidP="00AC2131">
                  <w:pPr>
                    <w:pStyle w:val="TableBodyText"/>
                    <w:spacing w:after="0"/>
                    <w:ind w:left="227" w:right="0"/>
                    <w:jc w:val="left"/>
                  </w:pPr>
                  <w:r w:rsidRPr="007971EC">
                    <w:t>Duty Drawback</w:t>
                  </w:r>
                </w:p>
              </w:tc>
              <w:tc>
                <w:tcPr>
                  <w:tcW w:w="471" w:type="pct"/>
                  <w:vAlign w:val="bottom"/>
                </w:tcPr>
                <w:p w:rsidR="00AC2131" w:rsidRDefault="00AC2131" w:rsidP="00AC2131">
                  <w:pPr>
                    <w:pStyle w:val="TableBodyText"/>
                    <w:spacing w:after="0"/>
                    <w:ind w:left="0" w:right="57"/>
                  </w:pPr>
                  <w:r>
                    <w:t>118.4</w:t>
                  </w:r>
                </w:p>
              </w:tc>
              <w:tc>
                <w:tcPr>
                  <w:tcW w:w="467" w:type="pct"/>
                  <w:vAlign w:val="bottom"/>
                </w:tcPr>
                <w:p w:rsidR="00AC2131" w:rsidRDefault="00AC2131" w:rsidP="00AC2131">
                  <w:pPr>
                    <w:pStyle w:val="TableBodyText"/>
                    <w:spacing w:after="0"/>
                    <w:ind w:left="0" w:right="57"/>
                  </w:pPr>
                  <w:r>
                    <w:t>94.6</w:t>
                  </w:r>
                </w:p>
              </w:tc>
              <w:tc>
                <w:tcPr>
                  <w:tcW w:w="467" w:type="pct"/>
                  <w:vAlign w:val="bottom"/>
                </w:tcPr>
                <w:p w:rsidR="00AC2131" w:rsidRDefault="00AC2131" w:rsidP="00AC2131">
                  <w:pPr>
                    <w:pStyle w:val="TableBodyText"/>
                    <w:spacing w:after="0"/>
                    <w:ind w:left="0" w:right="57"/>
                  </w:pPr>
                  <w:r>
                    <w:t>74.5</w:t>
                  </w:r>
                </w:p>
              </w:tc>
              <w:tc>
                <w:tcPr>
                  <w:tcW w:w="467" w:type="pct"/>
                  <w:shd w:val="clear" w:color="auto" w:fill="auto"/>
                  <w:vAlign w:val="bottom"/>
                </w:tcPr>
                <w:p w:rsidR="00AC2131" w:rsidRDefault="00AC2131" w:rsidP="00AC2131">
                  <w:pPr>
                    <w:pStyle w:val="TableBodyText"/>
                    <w:spacing w:after="0"/>
                    <w:ind w:left="0" w:right="57"/>
                  </w:pPr>
                  <w:r>
                    <w:t>62.5</w:t>
                  </w:r>
                </w:p>
              </w:tc>
              <w:tc>
                <w:tcPr>
                  <w:tcW w:w="467" w:type="pct"/>
                  <w:shd w:val="clear" w:color="auto" w:fill="auto"/>
                  <w:vAlign w:val="bottom"/>
                </w:tcPr>
                <w:p w:rsidR="00AC2131" w:rsidRDefault="00AC2131" w:rsidP="00AC2131">
                  <w:pPr>
                    <w:pStyle w:val="TableBodyText"/>
                    <w:spacing w:after="0"/>
                    <w:ind w:left="0" w:right="57"/>
                  </w:pPr>
                  <w:r>
                    <w:t>69.1</w:t>
                  </w:r>
                </w:p>
              </w:tc>
              <w:tc>
                <w:tcPr>
                  <w:tcW w:w="461" w:type="pct"/>
                  <w:shd w:val="clear" w:color="auto" w:fill="auto"/>
                  <w:vAlign w:val="bottom"/>
                </w:tcPr>
                <w:p w:rsidR="00AC2131" w:rsidRDefault="00AC2131" w:rsidP="00AC2131">
                  <w:pPr>
                    <w:pStyle w:val="TableBodyText"/>
                    <w:spacing w:after="0"/>
                    <w:ind w:left="0" w:right="57"/>
                  </w:pPr>
                  <w:r>
                    <w:t>62.7</w:t>
                  </w:r>
                </w:p>
              </w:tc>
            </w:tr>
            <w:tr w:rsidR="00AC2131" w:rsidTr="00AC2131">
              <w:tc>
                <w:tcPr>
                  <w:tcW w:w="2200" w:type="pct"/>
                </w:tcPr>
                <w:p w:rsidR="00AC2131" w:rsidRPr="0013112C" w:rsidRDefault="00AC2131" w:rsidP="00AC2131">
                  <w:pPr>
                    <w:pStyle w:val="TableUnitsRow"/>
                    <w:spacing w:after="0"/>
                    <w:ind w:left="113"/>
                    <w:jc w:val="left"/>
                    <w:rPr>
                      <w:i/>
                    </w:rPr>
                  </w:pPr>
                  <w:r w:rsidRPr="0013112C">
                    <w:rPr>
                      <w:i/>
                    </w:rPr>
                    <w:t>General R&amp;D measures</w:t>
                  </w:r>
                </w:p>
              </w:tc>
              <w:tc>
                <w:tcPr>
                  <w:tcW w:w="471" w:type="pct"/>
                </w:tcPr>
                <w:p w:rsidR="00AC2131" w:rsidRDefault="00AC2131" w:rsidP="00AC2131">
                  <w:pPr>
                    <w:pStyle w:val="TableBodyText"/>
                    <w:spacing w:before="40" w:after="0"/>
                  </w:pPr>
                </w:p>
              </w:tc>
              <w:tc>
                <w:tcPr>
                  <w:tcW w:w="467" w:type="pct"/>
                </w:tcPr>
                <w:p w:rsidR="00AC2131" w:rsidRDefault="00AC2131" w:rsidP="00AC2131">
                  <w:pPr>
                    <w:pStyle w:val="TableBodyText"/>
                    <w:spacing w:before="40" w:after="0"/>
                  </w:pPr>
                </w:p>
              </w:tc>
              <w:tc>
                <w:tcPr>
                  <w:tcW w:w="467" w:type="pct"/>
                </w:tcPr>
                <w:p w:rsidR="00AC2131" w:rsidRDefault="00AC2131" w:rsidP="00AC2131">
                  <w:pPr>
                    <w:pStyle w:val="TableBodyText"/>
                    <w:spacing w:before="40" w:after="0"/>
                  </w:pPr>
                </w:p>
              </w:tc>
              <w:tc>
                <w:tcPr>
                  <w:tcW w:w="467" w:type="pct"/>
                </w:tcPr>
                <w:p w:rsidR="00AC2131" w:rsidRDefault="00AC2131" w:rsidP="00AC2131">
                  <w:pPr>
                    <w:pStyle w:val="TableBodyText"/>
                    <w:spacing w:before="40" w:after="0"/>
                  </w:pPr>
                </w:p>
              </w:tc>
              <w:tc>
                <w:tcPr>
                  <w:tcW w:w="467" w:type="pct"/>
                </w:tcPr>
                <w:p w:rsidR="00AC2131" w:rsidRDefault="00AC2131" w:rsidP="00AC2131">
                  <w:pPr>
                    <w:pStyle w:val="TableBodyText"/>
                    <w:spacing w:before="40" w:after="0"/>
                  </w:pPr>
                </w:p>
              </w:tc>
              <w:tc>
                <w:tcPr>
                  <w:tcW w:w="461" w:type="pct"/>
                </w:tcPr>
                <w:p w:rsidR="00AC2131" w:rsidRDefault="00AC2131" w:rsidP="00AC2131">
                  <w:pPr>
                    <w:pStyle w:val="TableBodyText"/>
                    <w:spacing w:before="40" w:after="0"/>
                  </w:pPr>
                </w:p>
              </w:tc>
            </w:tr>
            <w:tr w:rsidR="00AC2131" w:rsidTr="00AC2131">
              <w:tc>
                <w:tcPr>
                  <w:tcW w:w="2200" w:type="pct"/>
                  <w:vAlign w:val="bottom"/>
                </w:tcPr>
                <w:p w:rsidR="00AC2131" w:rsidRPr="0013112C" w:rsidRDefault="00AC2131" w:rsidP="00AC2131">
                  <w:pPr>
                    <w:ind w:left="227"/>
                    <w:rPr>
                      <w:rFonts w:ascii="Arial" w:hAnsi="Arial" w:cs="Arial"/>
                      <w:color w:val="000000"/>
                      <w:sz w:val="18"/>
                      <w:szCs w:val="18"/>
                    </w:rPr>
                  </w:pPr>
                  <w:r w:rsidRPr="0013112C">
                    <w:rPr>
                      <w:rFonts w:ascii="Arial" w:hAnsi="Arial" w:cs="Arial"/>
                      <w:color w:val="000000"/>
                      <w:sz w:val="18"/>
                      <w:szCs w:val="18"/>
                    </w:rPr>
                    <w:t>Cooperative Research Centres</w:t>
                  </w:r>
                </w:p>
              </w:tc>
              <w:tc>
                <w:tcPr>
                  <w:tcW w:w="471" w:type="pct"/>
                  <w:vAlign w:val="bottom"/>
                </w:tcPr>
                <w:p w:rsidR="00AC2131" w:rsidRDefault="00AC2131" w:rsidP="00AC2131">
                  <w:pPr>
                    <w:pStyle w:val="TableBodyText"/>
                    <w:spacing w:after="0"/>
                    <w:ind w:left="0" w:right="57"/>
                  </w:pPr>
                  <w:r>
                    <w:t>2.5</w:t>
                  </w:r>
                </w:p>
              </w:tc>
              <w:tc>
                <w:tcPr>
                  <w:tcW w:w="467"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1" w:type="pct"/>
                  <w:vAlign w:val="bottom"/>
                </w:tcPr>
                <w:p w:rsidR="00AC2131" w:rsidRDefault="00AC2131" w:rsidP="00AC2131">
                  <w:pPr>
                    <w:pStyle w:val="TableBodyText"/>
                    <w:spacing w:after="0"/>
                    <w:ind w:left="0" w:right="57"/>
                  </w:pPr>
                  <w:r>
                    <w:t>–</w:t>
                  </w:r>
                </w:p>
              </w:tc>
            </w:tr>
            <w:tr w:rsidR="00AC2131" w:rsidTr="00AC2131">
              <w:tc>
                <w:tcPr>
                  <w:tcW w:w="2200" w:type="pct"/>
                  <w:vAlign w:val="bottom"/>
                </w:tcPr>
                <w:p w:rsidR="00AC2131" w:rsidRPr="0013112C" w:rsidRDefault="00AC2131" w:rsidP="00AC2131">
                  <w:pPr>
                    <w:ind w:left="227"/>
                    <w:rPr>
                      <w:rFonts w:ascii="Arial" w:hAnsi="Arial" w:cs="Arial"/>
                      <w:color w:val="000000"/>
                      <w:sz w:val="18"/>
                      <w:szCs w:val="18"/>
                    </w:rPr>
                  </w:pPr>
                  <w:r w:rsidRPr="0013112C">
                    <w:rPr>
                      <w:rFonts w:ascii="Arial" w:hAnsi="Arial" w:cs="Arial"/>
                      <w:color w:val="000000"/>
                      <w:sz w:val="18"/>
                      <w:szCs w:val="18"/>
                    </w:rPr>
                    <w:t>CSIRO</w:t>
                  </w:r>
                </w:p>
              </w:tc>
              <w:tc>
                <w:tcPr>
                  <w:tcW w:w="471" w:type="pct"/>
                  <w:vAlign w:val="bottom"/>
                </w:tcPr>
                <w:p w:rsidR="00AC2131" w:rsidRDefault="00AC2131" w:rsidP="00AC2131">
                  <w:pPr>
                    <w:pStyle w:val="TableBodyText"/>
                    <w:spacing w:after="0"/>
                    <w:ind w:left="0" w:right="57"/>
                  </w:pPr>
                  <w:r>
                    <w:t>20.8</w:t>
                  </w:r>
                </w:p>
              </w:tc>
              <w:tc>
                <w:tcPr>
                  <w:tcW w:w="467" w:type="pct"/>
                  <w:vAlign w:val="bottom"/>
                </w:tcPr>
                <w:p w:rsidR="00AC2131" w:rsidRDefault="00AC2131" w:rsidP="00AC2131">
                  <w:pPr>
                    <w:pStyle w:val="TableBodyText"/>
                    <w:spacing w:after="0"/>
                    <w:ind w:left="0" w:right="57"/>
                  </w:pPr>
                  <w:r>
                    <w:t>22.5</w:t>
                  </w:r>
                </w:p>
              </w:tc>
              <w:tc>
                <w:tcPr>
                  <w:tcW w:w="467" w:type="pct"/>
                  <w:shd w:val="clear" w:color="auto" w:fill="auto"/>
                  <w:vAlign w:val="bottom"/>
                </w:tcPr>
                <w:p w:rsidR="00AC2131" w:rsidRDefault="00AC2131" w:rsidP="00AC2131">
                  <w:pPr>
                    <w:pStyle w:val="TableBodyText"/>
                    <w:spacing w:after="0"/>
                    <w:ind w:left="0" w:right="57"/>
                  </w:pPr>
                  <w:r>
                    <w:t>23.0</w:t>
                  </w:r>
                </w:p>
              </w:tc>
              <w:tc>
                <w:tcPr>
                  <w:tcW w:w="467" w:type="pct"/>
                  <w:vAlign w:val="bottom"/>
                </w:tcPr>
                <w:p w:rsidR="00AC2131" w:rsidRDefault="00AC2131" w:rsidP="00AC2131">
                  <w:pPr>
                    <w:pStyle w:val="TableBodyText"/>
                    <w:spacing w:after="0"/>
                    <w:ind w:left="0" w:right="57"/>
                  </w:pPr>
                  <w:r>
                    <w:t>12.8</w:t>
                  </w:r>
                </w:p>
              </w:tc>
              <w:tc>
                <w:tcPr>
                  <w:tcW w:w="467" w:type="pct"/>
                  <w:shd w:val="clear" w:color="auto" w:fill="auto"/>
                  <w:vAlign w:val="bottom"/>
                </w:tcPr>
                <w:p w:rsidR="00AC2131" w:rsidRDefault="00AC2131" w:rsidP="00AC2131">
                  <w:pPr>
                    <w:pStyle w:val="TableBodyText"/>
                    <w:spacing w:after="0"/>
                    <w:ind w:left="0" w:right="57"/>
                  </w:pPr>
                  <w:r>
                    <w:t>12.3</w:t>
                  </w:r>
                </w:p>
              </w:tc>
              <w:tc>
                <w:tcPr>
                  <w:tcW w:w="461" w:type="pct"/>
                  <w:shd w:val="clear" w:color="auto" w:fill="auto"/>
                  <w:vAlign w:val="bottom"/>
                </w:tcPr>
                <w:p w:rsidR="00AC2131" w:rsidRDefault="00AC2131" w:rsidP="00AC2131">
                  <w:pPr>
                    <w:pStyle w:val="TableBodyText"/>
                    <w:spacing w:after="0"/>
                    <w:ind w:left="0" w:right="57"/>
                  </w:pPr>
                  <w:r>
                    <w:t>12.0</w:t>
                  </w:r>
                </w:p>
              </w:tc>
            </w:tr>
            <w:tr w:rsidR="00AC2131" w:rsidTr="00AC2131">
              <w:tc>
                <w:tcPr>
                  <w:tcW w:w="2200" w:type="pct"/>
                  <w:vAlign w:val="bottom"/>
                </w:tcPr>
                <w:p w:rsidR="00AC2131" w:rsidRPr="0013112C" w:rsidRDefault="00AC2131" w:rsidP="00AC2131">
                  <w:pPr>
                    <w:ind w:left="227"/>
                    <w:rPr>
                      <w:rFonts w:ascii="Arial" w:hAnsi="Arial" w:cs="Arial"/>
                      <w:color w:val="000000"/>
                      <w:sz w:val="18"/>
                      <w:szCs w:val="18"/>
                    </w:rPr>
                  </w:pPr>
                  <w:r w:rsidRPr="00B16E30">
                    <w:rPr>
                      <w:rFonts w:ascii="Arial" w:hAnsi="Arial" w:cs="Arial"/>
                      <w:color w:val="000000"/>
                      <w:sz w:val="18"/>
                      <w:szCs w:val="18"/>
                    </w:rPr>
                    <w:t>Defence Materials Technology Centre</w:t>
                  </w:r>
                </w:p>
              </w:tc>
              <w:tc>
                <w:tcPr>
                  <w:tcW w:w="471" w:type="pct"/>
                  <w:vAlign w:val="bottom"/>
                </w:tcPr>
                <w:p w:rsidR="00AC2131" w:rsidRDefault="00AC2131" w:rsidP="00AC2131">
                  <w:pPr>
                    <w:pStyle w:val="TableBodyText"/>
                    <w:spacing w:after="0"/>
                    <w:ind w:left="0" w:right="57"/>
                  </w:pPr>
                  <w:r>
                    <w:t>4.0</w:t>
                  </w:r>
                </w:p>
              </w:tc>
              <w:tc>
                <w:tcPr>
                  <w:tcW w:w="467" w:type="pct"/>
                  <w:vAlign w:val="bottom"/>
                </w:tcPr>
                <w:p w:rsidR="00AC2131" w:rsidRDefault="00AC2131" w:rsidP="00AC2131">
                  <w:pPr>
                    <w:pStyle w:val="TableBodyText"/>
                    <w:spacing w:after="0"/>
                    <w:ind w:left="0" w:right="57"/>
                  </w:pPr>
                  <w:r>
                    <w:t>4.0</w:t>
                  </w:r>
                </w:p>
              </w:tc>
              <w:tc>
                <w:tcPr>
                  <w:tcW w:w="467" w:type="pct"/>
                  <w:shd w:val="clear" w:color="auto" w:fill="auto"/>
                  <w:vAlign w:val="bottom"/>
                </w:tcPr>
                <w:p w:rsidR="00AC2131" w:rsidRDefault="00AC2131" w:rsidP="00AC2131">
                  <w:pPr>
                    <w:pStyle w:val="TableBodyText"/>
                    <w:spacing w:after="0"/>
                    <w:ind w:left="0" w:right="57"/>
                  </w:pPr>
                  <w:r>
                    <w:t>4.3</w:t>
                  </w:r>
                </w:p>
              </w:tc>
              <w:tc>
                <w:tcPr>
                  <w:tcW w:w="467" w:type="pct"/>
                  <w:vAlign w:val="bottom"/>
                </w:tcPr>
                <w:p w:rsidR="00AC2131" w:rsidRDefault="00AC2131" w:rsidP="00AC2131">
                  <w:pPr>
                    <w:pStyle w:val="TableBodyText"/>
                    <w:spacing w:after="0"/>
                    <w:ind w:left="0" w:right="57"/>
                  </w:pPr>
                  <w:r>
                    <w:t>5.4</w:t>
                  </w:r>
                </w:p>
              </w:tc>
              <w:tc>
                <w:tcPr>
                  <w:tcW w:w="467" w:type="pct"/>
                  <w:shd w:val="clear" w:color="auto" w:fill="auto"/>
                  <w:vAlign w:val="bottom"/>
                </w:tcPr>
                <w:p w:rsidR="00AC2131" w:rsidRDefault="00AC2131" w:rsidP="00AC2131">
                  <w:pPr>
                    <w:pStyle w:val="TableBodyText"/>
                    <w:spacing w:after="0"/>
                    <w:ind w:left="0" w:right="57"/>
                  </w:pPr>
                  <w:r>
                    <w:t>6.8</w:t>
                  </w:r>
                </w:p>
              </w:tc>
              <w:tc>
                <w:tcPr>
                  <w:tcW w:w="461" w:type="pct"/>
                  <w:shd w:val="clear" w:color="auto" w:fill="auto"/>
                  <w:vAlign w:val="bottom"/>
                </w:tcPr>
                <w:p w:rsidR="00AC2131" w:rsidRDefault="00AC2131" w:rsidP="00AC2131">
                  <w:pPr>
                    <w:pStyle w:val="TableBodyText"/>
                    <w:spacing w:after="0"/>
                    <w:ind w:left="0" w:right="57"/>
                  </w:pPr>
                  <w:r>
                    <w:t>6.8</w:t>
                  </w:r>
                </w:p>
              </w:tc>
            </w:tr>
            <w:tr w:rsidR="00AC2131" w:rsidTr="00AC2131">
              <w:tc>
                <w:tcPr>
                  <w:tcW w:w="2200" w:type="pct"/>
                  <w:vAlign w:val="bottom"/>
                </w:tcPr>
                <w:p w:rsidR="00AC2131" w:rsidRPr="0013112C" w:rsidRDefault="00AC2131" w:rsidP="00AC2131">
                  <w:pPr>
                    <w:ind w:left="227"/>
                    <w:rPr>
                      <w:rFonts w:ascii="Arial" w:hAnsi="Arial" w:cs="Arial"/>
                      <w:color w:val="000000"/>
                      <w:sz w:val="18"/>
                      <w:szCs w:val="18"/>
                    </w:rPr>
                  </w:pPr>
                  <w:r w:rsidRPr="0013112C">
                    <w:rPr>
                      <w:rFonts w:ascii="Arial" w:hAnsi="Arial" w:cs="Arial"/>
                      <w:color w:val="000000"/>
                      <w:sz w:val="18"/>
                      <w:szCs w:val="18"/>
                    </w:rPr>
                    <w:t>Energy Innovation Fund</w:t>
                  </w:r>
                </w:p>
              </w:tc>
              <w:tc>
                <w:tcPr>
                  <w:tcW w:w="471" w:type="pct"/>
                  <w:vAlign w:val="bottom"/>
                </w:tcPr>
                <w:p w:rsidR="00AC2131" w:rsidRDefault="00AC2131" w:rsidP="00AC2131">
                  <w:pPr>
                    <w:pStyle w:val="TableBodyText"/>
                    <w:spacing w:after="0"/>
                    <w:ind w:left="0" w:right="57"/>
                  </w:pPr>
                  <w:r>
                    <w:t>5.8</w:t>
                  </w:r>
                </w:p>
              </w:tc>
              <w:tc>
                <w:tcPr>
                  <w:tcW w:w="467" w:type="pct"/>
                  <w:vAlign w:val="bottom"/>
                </w:tcPr>
                <w:p w:rsidR="00AC2131" w:rsidRDefault="00AC2131" w:rsidP="00AC2131">
                  <w:pPr>
                    <w:pStyle w:val="TableBodyText"/>
                    <w:spacing w:after="0"/>
                    <w:ind w:left="0" w:right="57"/>
                  </w:pPr>
                  <w:r>
                    <w:t>49.8</w:t>
                  </w:r>
                </w:p>
              </w:tc>
              <w:tc>
                <w:tcPr>
                  <w:tcW w:w="467" w:type="pct"/>
                  <w:shd w:val="clear" w:color="auto" w:fill="auto"/>
                  <w:vAlign w:val="bottom"/>
                </w:tcPr>
                <w:p w:rsidR="00AC2131" w:rsidRDefault="00AC2131" w:rsidP="00AC2131">
                  <w:pPr>
                    <w:pStyle w:val="TableBodyText"/>
                    <w:spacing w:after="0"/>
                    <w:ind w:left="0" w:right="57"/>
                  </w:pPr>
                  <w:r>
                    <w:t>30.0</w:t>
                  </w:r>
                </w:p>
              </w:tc>
              <w:tc>
                <w:tcPr>
                  <w:tcW w:w="467" w:type="pct"/>
                  <w:vAlign w:val="bottom"/>
                </w:tcPr>
                <w:p w:rsidR="00AC2131" w:rsidRDefault="00AC2131" w:rsidP="00AC2131">
                  <w:pPr>
                    <w:pStyle w:val="TableBodyText"/>
                    <w:spacing w:after="0"/>
                    <w:ind w:left="0" w:right="57"/>
                  </w:pPr>
                  <w:r>
                    <w:t>32.7</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tcBorders>
                    <w:bottom w:val="single" w:sz="6" w:space="0" w:color="BFBFBF"/>
                  </w:tcBorders>
                  <w:vAlign w:val="bottom"/>
                </w:tcPr>
                <w:p w:rsidR="00AC2131" w:rsidRPr="0013112C" w:rsidRDefault="00AC2131" w:rsidP="00AC2131">
                  <w:pPr>
                    <w:ind w:left="227"/>
                    <w:rPr>
                      <w:rFonts w:ascii="Arial" w:hAnsi="Arial" w:cs="Arial"/>
                      <w:color w:val="000000"/>
                      <w:sz w:val="18"/>
                      <w:szCs w:val="18"/>
                    </w:rPr>
                  </w:pPr>
                  <w:r w:rsidRPr="0013112C">
                    <w:rPr>
                      <w:rFonts w:ascii="Arial" w:hAnsi="Arial" w:cs="Arial"/>
                      <w:color w:val="000000"/>
                      <w:sz w:val="18"/>
                      <w:szCs w:val="18"/>
                    </w:rPr>
                    <w:t>Manufacturing Technology Innovation Centre</w:t>
                  </w:r>
                </w:p>
              </w:tc>
              <w:tc>
                <w:tcPr>
                  <w:tcW w:w="471"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2.8</w:t>
                  </w:r>
                </w:p>
              </w:tc>
              <w:tc>
                <w:tcPr>
                  <w:tcW w:w="461" w:type="pct"/>
                  <w:tcBorders>
                    <w:bottom w:val="single" w:sz="6" w:space="0" w:color="BFBFBF"/>
                  </w:tcBorders>
                  <w:shd w:val="clear" w:color="auto" w:fill="auto"/>
                  <w:vAlign w:val="bottom"/>
                </w:tcPr>
                <w:p w:rsidR="00AC2131" w:rsidRDefault="00AC2131" w:rsidP="00AC2131">
                  <w:pPr>
                    <w:pStyle w:val="TableBodyText"/>
                    <w:spacing w:after="0"/>
                    <w:ind w:left="0" w:right="57"/>
                  </w:pPr>
                  <w:r>
                    <w:t>1.2</w:t>
                  </w:r>
                </w:p>
              </w:tc>
            </w:tr>
          </w:tbl>
          <w:p w:rsidR="00AC2131" w:rsidRDefault="00AC2131" w:rsidP="00AC2131">
            <w:pPr>
              <w:pStyle w:val="Box"/>
            </w:pPr>
          </w:p>
        </w:tc>
      </w:tr>
      <w:tr w:rsidR="00AC2131" w:rsidTr="00AC2131">
        <w:trPr>
          <w:cantSplit/>
        </w:trPr>
        <w:tc>
          <w:tcPr>
            <w:tcW w:w="8789" w:type="dxa"/>
            <w:tcBorders>
              <w:top w:val="nil"/>
              <w:left w:val="nil"/>
              <w:bottom w:val="nil"/>
              <w:right w:val="nil"/>
            </w:tcBorders>
            <w:shd w:val="clear" w:color="auto" w:fill="auto"/>
          </w:tcPr>
          <w:p w:rsidR="00AC2131" w:rsidRDefault="00AC2131" w:rsidP="00AC2131">
            <w:pPr>
              <w:pStyle w:val="Source"/>
              <w:ind w:left="6499"/>
            </w:pPr>
            <w:r>
              <w:t xml:space="preserve"> (continued next page)</w:t>
            </w:r>
          </w:p>
        </w:tc>
      </w:tr>
      <w:tr w:rsidR="00AC2131" w:rsidTr="00AC2131">
        <w:trPr>
          <w:cantSplit/>
        </w:trPr>
        <w:tc>
          <w:tcPr>
            <w:tcW w:w="8789"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89"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C2131" w:rsidTr="00AC2131">
        <w:tc>
          <w:tcPr>
            <w:tcW w:w="876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A.12</w:t>
            </w:r>
            <w:r>
              <w:tab/>
            </w:r>
            <w:r w:rsidRPr="006B64DF">
              <w:rPr>
                <w:b w:val="0"/>
                <w:sz w:val="18"/>
              </w:rPr>
              <w:t>(continued)</w:t>
            </w:r>
          </w:p>
        </w:tc>
      </w:tr>
      <w:tr w:rsidR="00AC2131" w:rsidTr="00AC2131">
        <w:trPr>
          <w:cantSplit/>
        </w:trPr>
        <w:tc>
          <w:tcPr>
            <w:tcW w:w="8767" w:type="dxa"/>
            <w:tcBorders>
              <w:top w:val="nil"/>
              <w:left w:val="nil"/>
              <w:bottom w:val="nil"/>
              <w:right w:val="nil"/>
            </w:tcBorders>
            <w:shd w:val="clear" w:color="auto" w:fill="auto"/>
          </w:tcPr>
          <w:tbl>
            <w:tblPr>
              <w:tblW w:w="8505" w:type="dxa"/>
              <w:tblLayout w:type="fixed"/>
              <w:tblCellMar>
                <w:top w:w="28" w:type="dxa"/>
                <w:left w:w="0" w:type="dxa"/>
                <w:right w:w="0" w:type="dxa"/>
              </w:tblCellMar>
              <w:tblLook w:val="0000" w:firstRow="0" w:lastRow="0" w:firstColumn="0" w:lastColumn="0" w:noHBand="0" w:noVBand="0"/>
            </w:tblPr>
            <w:tblGrid>
              <w:gridCol w:w="3741"/>
              <w:gridCol w:w="797"/>
              <w:gridCol w:w="8"/>
              <w:gridCol w:w="793"/>
              <w:gridCol w:w="794"/>
              <w:gridCol w:w="794"/>
              <w:gridCol w:w="794"/>
              <w:gridCol w:w="784"/>
            </w:tblGrid>
            <w:tr w:rsidR="00AC2131" w:rsidTr="00AC2131">
              <w:tc>
                <w:tcPr>
                  <w:tcW w:w="2199" w:type="pct"/>
                  <w:tcBorders>
                    <w:top w:val="single" w:sz="6" w:space="0" w:color="BFBFBF"/>
                    <w:bottom w:val="single" w:sz="6" w:space="0" w:color="BFBFBF"/>
                  </w:tcBorders>
                </w:tcPr>
                <w:p w:rsidR="00AC2131" w:rsidRDefault="00AC2131" w:rsidP="00AC2131">
                  <w:pPr>
                    <w:pStyle w:val="TableColumnHeading"/>
                    <w:jc w:val="left"/>
                  </w:pPr>
                </w:p>
              </w:tc>
              <w:tc>
                <w:tcPr>
                  <w:tcW w:w="468"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70" w:type="pct"/>
                  <w:gridSpan w:val="2"/>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1"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199" w:type="pct"/>
                </w:tcPr>
                <w:p w:rsidR="00AC2131" w:rsidRPr="00E54451" w:rsidRDefault="00AC2131" w:rsidP="00AC2131">
                  <w:pPr>
                    <w:pStyle w:val="TableBodyText"/>
                    <w:spacing w:before="40" w:after="0"/>
                    <w:ind w:left="113"/>
                    <w:jc w:val="left"/>
                    <w:rPr>
                      <w:i/>
                    </w:rPr>
                  </w:pPr>
                  <w:r w:rsidRPr="00E54451">
                    <w:rPr>
                      <w:i/>
                    </w:rPr>
                    <w:t>Other measures</w:t>
                  </w:r>
                </w:p>
              </w:tc>
              <w:tc>
                <w:tcPr>
                  <w:tcW w:w="472" w:type="pct"/>
                  <w:gridSpan w:val="2"/>
                </w:tcPr>
                <w:p w:rsidR="00AC2131" w:rsidRDefault="00AC2131" w:rsidP="00AC2131">
                  <w:pPr>
                    <w:pStyle w:val="TableBodyText"/>
                  </w:pPr>
                </w:p>
              </w:tc>
              <w:tc>
                <w:tcPr>
                  <w:tcW w:w="466" w:type="pct"/>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7" w:type="pct"/>
                </w:tcPr>
                <w:p w:rsidR="00AC2131" w:rsidRDefault="00AC2131" w:rsidP="00AC2131">
                  <w:pPr>
                    <w:pStyle w:val="TableBodyText"/>
                  </w:pPr>
                </w:p>
              </w:tc>
              <w:tc>
                <w:tcPr>
                  <w:tcW w:w="467" w:type="pct"/>
                  <w:shd w:val="clear" w:color="auto" w:fill="auto"/>
                </w:tcPr>
                <w:p w:rsidR="00AC2131" w:rsidRDefault="00AC2131" w:rsidP="00AC2131">
                  <w:pPr>
                    <w:pStyle w:val="TableBodyText"/>
                  </w:pPr>
                </w:p>
              </w:tc>
              <w:tc>
                <w:tcPr>
                  <w:tcW w:w="461" w:type="pct"/>
                  <w:shd w:val="clear" w:color="auto" w:fill="auto"/>
                </w:tcPr>
                <w:p w:rsidR="00AC2131" w:rsidRDefault="00AC2131" w:rsidP="00AC2131">
                  <w:pPr>
                    <w:pStyle w:val="TableBodyText"/>
                  </w:pPr>
                </w:p>
              </w:tc>
            </w:tr>
            <w:tr w:rsidR="00AC2131" w:rsidTr="00AC2131">
              <w:tc>
                <w:tcPr>
                  <w:tcW w:w="2199" w:type="pct"/>
                  <w:vAlign w:val="bottom"/>
                </w:tcPr>
                <w:p w:rsidR="00AC2131" w:rsidRPr="00E54451" w:rsidRDefault="00AC2131" w:rsidP="00AC2131">
                  <w:pPr>
                    <w:ind w:left="227"/>
                    <w:rPr>
                      <w:rFonts w:ascii="Arial" w:hAnsi="Arial" w:cs="Arial"/>
                      <w:color w:val="000000"/>
                      <w:sz w:val="18"/>
                      <w:szCs w:val="18"/>
                    </w:rPr>
                  </w:pPr>
                  <w:r w:rsidRPr="00E54451">
                    <w:rPr>
                      <w:rFonts w:ascii="Arial" w:hAnsi="Arial" w:cs="Arial"/>
                      <w:color w:val="000000"/>
                      <w:sz w:val="18"/>
                      <w:szCs w:val="18"/>
                    </w:rPr>
                    <w:t>Enterprise Connect Innovation Centres</w:t>
                  </w:r>
                </w:p>
              </w:tc>
              <w:tc>
                <w:tcPr>
                  <w:tcW w:w="472" w:type="pct"/>
                  <w:gridSpan w:val="2"/>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10.6</w:t>
                  </w:r>
                </w:p>
              </w:tc>
              <w:tc>
                <w:tcPr>
                  <w:tcW w:w="467" w:type="pct"/>
                  <w:shd w:val="clear" w:color="auto" w:fill="auto"/>
                  <w:vAlign w:val="bottom"/>
                </w:tcPr>
                <w:p w:rsidR="00AC2131" w:rsidRDefault="00AC2131" w:rsidP="00AC2131">
                  <w:pPr>
                    <w:pStyle w:val="TableBodyText"/>
                    <w:spacing w:after="0"/>
                    <w:ind w:left="0" w:right="57"/>
                  </w:pPr>
                  <w:r>
                    <w:t>9.2</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&lt;0.1</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vAlign w:val="bottom"/>
                </w:tcPr>
                <w:p w:rsidR="00AC2131" w:rsidRPr="00E54451" w:rsidRDefault="00AC2131" w:rsidP="00AC2131">
                  <w:pPr>
                    <w:ind w:left="227"/>
                    <w:rPr>
                      <w:rFonts w:ascii="Arial" w:hAnsi="Arial" w:cs="Arial"/>
                      <w:color w:val="000000"/>
                      <w:sz w:val="18"/>
                      <w:szCs w:val="18"/>
                    </w:rPr>
                  </w:pPr>
                  <w:r w:rsidRPr="00E54451">
                    <w:rPr>
                      <w:rFonts w:ascii="Arial" w:hAnsi="Arial" w:cs="Arial"/>
                      <w:color w:val="000000"/>
                      <w:sz w:val="18"/>
                      <w:szCs w:val="18"/>
                    </w:rPr>
                    <w:t>Innovation Investment Fund for South Australia</w:t>
                  </w:r>
                </w:p>
              </w:tc>
              <w:tc>
                <w:tcPr>
                  <w:tcW w:w="472" w:type="pct"/>
                  <w:gridSpan w:val="2"/>
                  <w:vAlign w:val="bottom"/>
                </w:tcPr>
                <w:p w:rsidR="00AC2131" w:rsidRDefault="00AC2131" w:rsidP="00AC2131">
                  <w:pPr>
                    <w:pStyle w:val="TableBodyText"/>
                    <w:spacing w:after="0"/>
                    <w:ind w:left="0" w:right="57"/>
                  </w:pPr>
                  <w:r>
                    <w:t>0.2</w:t>
                  </w:r>
                </w:p>
              </w:tc>
              <w:tc>
                <w:tcPr>
                  <w:tcW w:w="466"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vAlign w:val="bottom"/>
                </w:tcPr>
                <w:p w:rsidR="00AC2131" w:rsidRPr="00E54451" w:rsidRDefault="00AC2131" w:rsidP="00AC2131">
                  <w:pPr>
                    <w:ind w:left="227"/>
                    <w:rPr>
                      <w:rFonts w:ascii="Arial" w:hAnsi="Arial" w:cs="Arial"/>
                      <w:color w:val="000000"/>
                      <w:sz w:val="18"/>
                      <w:szCs w:val="18"/>
                    </w:rPr>
                  </w:pPr>
                  <w:r w:rsidRPr="00E54451">
                    <w:rPr>
                      <w:rFonts w:ascii="Arial" w:hAnsi="Arial" w:cs="Arial"/>
                      <w:color w:val="000000"/>
                      <w:sz w:val="18"/>
                      <w:szCs w:val="18"/>
                    </w:rPr>
                    <w:t>Melbourne's North Innovation and Investment Fund</w:t>
                  </w:r>
                </w:p>
              </w:tc>
              <w:tc>
                <w:tcPr>
                  <w:tcW w:w="472" w:type="pct"/>
                  <w:gridSpan w:val="2"/>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18.8</w:t>
                  </w:r>
                </w:p>
              </w:tc>
            </w:tr>
            <w:tr w:rsidR="00AC2131" w:rsidTr="00AC2131">
              <w:tc>
                <w:tcPr>
                  <w:tcW w:w="2199" w:type="pct"/>
                  <w:vAlign w:val="bottom"/>
                </w:tcPr>
                <w:p w:rsidR="00AC2131" w:rsidRPr="00E54451"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72" w:type="pct"/>
                  <w:gridSpan w:val="2"/>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7.1</w:t>
                  </w:r>
                </w:p>
              </w:tc>
              <w:tc>
                <w:tcPr>
                  <w:tcW w:w="467" w:type="pct"/>
                  <w:vAlign w:val="bottom"/>
                </w:tcPr>
                <w:p w:rsidR="00AC2131" w:rsidRDefault="00AC2131" w:rsidP="00AC2131">
                  <w:pPr>
                    <w:pStyle w:val="TableBodyText"/>
                    <w:spacing w:after="0"/>
                    <w:ind w:left="0" w:right="57"/>
                  </w:pPr>
                  <w:r>
                    <w:t>4.3</w:t>
                  </w:r>
                </w:p>
              </w:tc>
              <w:tc>
                <w:tcPr>
                  <w:tcW w:w="467" w:type="pct"/>
                  <w:shd w:val="clear" w:color="auto" w:fill="auto"/>
                  <w:vAlign w:val="bottom"/>
                </w:tcPr>
                <w:p w:rsidR="00AC2131" w:rsidRDefault="00AC2131" w:rsidP="00AC2131">
                  <w:pPr>
                    <w:pStyle w:val="TableBodyText"/>
                    <w:spacing w:after="0"/>
                    <w:ind w:left="0" w:right="57"/>
                  </w:pPr>
                  <w:r>
                    <w:t>4.5</w:t>
                  </w:r>
                </w:p>
              </w:tc>
              <w:tc>
                <w:tcPr>
                  <w:tcW w:w="461" w:type="pct"/>
                  <w:shd w:val="clear" w:color="auto" w:fill="auto"/>
                  <w:vAlign w:val="bottom"/>
                </w:tcPr>
                <w:p w:rsidR="00AC2131" w:rsidRDefault="00AC2131" w:rsidP="00AC2131">
                  <w:pPr>
                    <w:pStyle w:val="TableBodyText"/>
                    <w:spacing w:after="0"/>
                    <w:ind w:left="0" w:right="57"/>
                  </w:pPr>
                  <w:r>
                    <w:t>5.5</w:t>
                  </w:r>
                </w:p>
              </w:tc>
            </w:tr>
            <w:tr w:rsidR="00AC2131" w:rsidTr="00AC2131">
              <w:tc>
                <w:tcPr>
                  <w:tcW w:w="2199" w:type="pct"/>
                  <w:vAlign w:val="bottom"/>
                </w:tcPr>
                <w:p w:rsidR="00AC2131" w:rsidRPr="00E54451" w:rsidRDefault="00AC2131" w:rsidP="00AC2131">
                  <w:pPr>
                    <w:ind w:left="227"/>
                    <w:rPr>
                      <w:rFonts w:ascii="Arial" w:hAnsi="Arial" w:cs="Arial"/>
                      <w:color w:val="000000"/>
                      <w:sz w:val="18"/>
                      <w:szCs w:val="18"/>
                    </w:rPr>
                  </w:pPr>
                  <w:r w:rsidRPr="00E54451">
                    <w:rPr>
                      <w:rFonts w:ascii="Arial" w:hAnsi="Arial" w:cs="Arial"/>
                      <w:color w:val="000000"/>
                      <w:sz w:val="18"/>
                      <w:szCs w:val="18"/>
                    </w:rPr>
                    <w:t>South Australia Innovation and Investment Fund and Labour Assistance Package</w:t>
                  </w:r>
                </w:p>
              </w:tc>
              <w:tc>
                <w:tcPr>
                  <w:tcW w:w="472" w:type="pct"/>
                  <w:gridSpan w:val="2"/>
                  <w:vAlign w:val="bottom"/>
                </w:tcPr>
                <w:p w:rsidR="00AC2131" w:rsidRDefault="00AC2131" w:rsidP="00AC2131">
                  <w:pPr>
                    <w:pStyle w:val="TableBodyText"/>
                    <w:spacing w:after="0"/>
                    <w:ind w:left="0" w:right="57"/>
                  </w:pPr>
                  <w:r>
                    <w:t>1.2</w:t>
                  </w:r>
                </w:p>
              </w:tc>
              <w:tc>
                <w:tcPr>
                  <w:tcW w:w="466" w:type="pct"/>
                  <w:vAlign w:val="bottom"/>
                </w:tcPr>
                <w:p w:rsidR="00AC2131" w:rsidRDefault="00AC2131" w:rsidP="00AC2131">
                  <w:pPr>
                    <w:pStyle w:val="TableBodyText"/>
                    <w:spacing w:after="0"/>
                    <w:ind w:left="0" w:right="57"/>
                  </w:pPr>
                  <w:r>
                    <w:t>2.0</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vAlign w:val="bottom"/>
                </w:tcPr>
                <w:p w:rsidR="00AC2131" w:rsidRPr="00E54451" w:rsidRDefault="00AC2131" w:rsidP="00AC2131">
                  <w:pPr>
                    <w:ind w:left="227"/>
                    <w:rPr>
                      <w:rFonts w:ascii="Arial" w:hAnsi="Arial" w:cs="Arial"/>
                      <w:color w:val="000000"/>
                      <w:sz w:val="18"/>
                      <w:szCs w:val="18"/>
                    </w:rPr>
                  </w:pPr>
                  <w:r w:rsidRPr="00E54451">
                    <w:rPr>
                      <w:rFonts w:ascii="Arial" w:hAnsi="Arial" w:cs="Arial"/>
                      <w:color w:val="000000"/>
                      <w:sz w:val="18"/>
                      <w:szCs w:val="18"/>
                    </w:rPr>
                    <w:t>Structural Adjustment Fund for South Australia</w:t>
                  </w:r>
                </w:p>
              </w:tc>
              <w:tc>
                <w:tcPr>
                  <w:tcW w:w="472" w:type="pct"/>
                  <w:gridSpan w:val="2"/>
                  <w:vAlign w:val="bottom"/>
                </w:tcPr>
                <w:p w:rsidR="00AC2131" w:rsidRDefault="00AC2131" w:rsidP="00AC2131">
                  <w:pPr>
                    <w:pStyle w:val="TableBodyText"/>
                    <w:spacing w:after="0"/>
                    <w:ind w:left="0" w:right="57"/>
                  </w:pPr>
                  <w:r>
                    <w:t>0.3</w:t>
                  </w:r>
                </w:p>
              </w:tc>
              <w:tc>
                <w:tcPr>
                  <w:tcW w:w="466"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vAlign w:val="bottom"/>
                </w:tcPr>
                <w:p w:rsidR="00AC2131" w:rsidRPr="00E54451" w:rsidRDefault="00AC2131" w:rsidP="00AC2131">
                  <w:pPr>
                    <w:ind w:left="227"/>
                    <w:rPr>
                      <w:rFonts w:ascii="Arial" w:hAnsi="Arial" w:cs="Arial"/>
                      <w:color w:val="000000"/>
                      <w:sz w:val="18"/>
                      <w:szCs w:val="18"/>
                    </w:rPr>
                  </w:pPr>
                  <w:r w:rsidRPr="00E54451">
                    <w:rPr>
                      <w:rFonts w:ascii="Arial" w:hAnsi="Arial" w:cs="Arial"/>
                      <w:color w:val="000000"/>
                      <w:sz w:val="18"/>
                      <w:szCs w:val="18"/>
                    </w:rPr>
                    <w:t>Tasmanian Freight Equalisation Scheme</w:t>
                  </w:r>
                </w:p>
              </w:tc>
              <w:tc>
                <w:tcPr>
                  <w:tcW w:w="472" w:type="pct"/>
                  <w:gridSpan w:val="2"/>
                  <w:vAlign w:val="bottom"/>
                </w:tcPr>
                <w:p w:rsidR="00AC2131" w:rsidRDefault="00AC2131" w:rsidP="00AC2131">
                  <w:pPr>
                    <w:pStyle w:val="TableBodyText"/>
                    <w:spacing w:after="0"/>
                    <w:ind w:left="0" w:right="57"/>
                  </w:pPr>
                  <w:r>
                    <w:t>59.1</w:t>
                  </w:r>
                </w:p>
              </w:tc>
              <w:tc>
                <w:tcPr>
                  <w:tcW w:w="466" w:type="pct"/>
                  <w:vAlign w:val="bottom"/>
                </w:tcPr>
                <w:p w:rsidR="00AC2131" w:rsidRDefault="00AC2131" w:rsidP="00AC2131">
                  <w:pPr>
                    <w:pStyle w:val="TableBodyText"/>
                    <w:spacing w:after="0"/>
                    <w:ind w:left="0" w:right="57"/>
                  </w:pPr>
                  <w:r>
                    <w:t>69.0</w:t>
                  </w:r>
                </w:p>
              </w:tc>
              <w:tc>
                <w:tcPr>
                  <w:tcW w:w="467" w:type="pct"/>
                  <w:shd w:val="clear" w:color="auto" w:fill="auto"/>
                  <w:vAlign w:val="bottom"/>
                </w:tcPr>
                <w:p w:rsidR="00AC2131" w:rsidRDefault="00AC2131" w:rsidP="00AC2131">
                  <w:pPr>
                    <w:pStyle w:val="TableBodyText"/>
                    <w:spacing w:after="0"/>
                    <w:ind w:left="0" w:right="57"/>
                  </w:pPr>
                  <w:r>
                    <w:t>69.2</w:t>
                  </w:r>
                </w:p>
              </w:tc>
              <w:tc>
                <w:tcPr>
                  <w:tcW w:w="467" w:type="pct"/>
                  <w:vAlign w:val="bottom"/>
                </w:tcPr>
                <w:p w:rsidR="00AC2131" w:rsidRDefault="00AC2131" w:rsidP="00AC2131">
                  <w:pPr>
                    <w:pStyle w:val="TableBodyText"/>
                    <w:spacing w:after="0"/>
                    <w:ind w:left="0" w:right="57"/>
                  </w:pPr>
                  <w:r>
                    <w:t>65.5</w:t>
                  </w:r>
                </w:p>
              </w:tc>
              <w:tc>
                <w:tcPr>
                  <w:tcW w:w="467" w:type="pct"/>
                  <w:shd w:val="clear" w:color="auto" w:fill="auto"/>
                  <w:vAlign w:val="bottom"/>
                </w:tcPr>
                <w:p w:rsidR="00AC2131" w:rsidRDefault="00AC2131" w:rsidP="00AC2131">
                  <w:pPr>
                    <w:pStyle w:val="TableBodyText"/>
                    <w:spacing w:after="0"/>
                    <w:ind w:left="0" w:right="57"/>
                  </w:pPr>
                  <w:r>
                    <w:t>78.0</w:t>
                  </w:r>
                </w:p>
              </w:tc>
              <w:tc>
                <w:tcPr>
                  <w:tcW w:w="461" w:type="pct"/>
                  <w:shd w:val="clear" w:color="auto" w:fill="auto"/>
                  <w:vAlign w:val="bottom"/>
                </w:tcPr>
                <w:p w:rsidR="00AC2131" w:rsidRDefault="00AC2131" w:rsidP="00AC2131">
                  <w:pPr>
                    <w:pStyle w:val="TableBodyText"/>
                    <w:spacing w:after="0"/>
                    <w:ind w:left="0" w:right="57"/>
                  </w:pPr>
                  <w:r>
                    <w:t>71.4</w:t>
                  </w:r>
                </w:p>
              </w:tc>
            </w:tr>
            <w:tr w:rsidR="00AC2131" w:rsidTr="00AC2131">
              <w:tc>
                <w:tcPr>
                  <w:tcW w:w="2199" w:type="pct"/>
                  <w:vAlign w:val="bottom"/>
                </w:tcPr>
                <w:p w:rsidR="00AC2131" w:rsidRPr="00E54451" w:rsidRDefault="00AC2131" w:rsidP="00AC2131">
                  <w:pPr>
                    <w:ind w:left="227"/>
                    <w:rPr>
                      <w:rFonts w:ascii="Arial" w:hAnsi="Arial" w:cs="Arial"/>
                      <w:color w:val="000000"/>
                      <w:sz w:val="18"/>
                      <w:szCs w:val="18"/>
                    </w:rPr>
                  </w:pPr>
                  <w:r w:rsidRPr="00341DA2">
                    <w:rPr>
                      <w:rFonts w:ascii="Arial" w:hAnsi="Arial" w:cs="Arial"/>
                      <w:color w:val="000000"/>
                      <w:sz w:val="18"/>
                      <w:szCs w:val="18"/>
                    </w:rPr>
                    <w:t>Tasmanian Jobs and Growth Package</w:t>
                  </w:r>
                </w:p>
              </w:tc>
              <w:tc>
                <w:tcPr>
                  <w:tcW w:w="472" w:type="pct"/>
                  <w:gridSpan w:val="2"/>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5.1</w:t>
                  </w:r>
                </w:p>
              </w:tc>
            </w:tr>
            <w:tr w:rsidR="00AC2131" w:rsidTr="00AC2131">
              <w:tc>
                <w:tcPr>
                  <w:tcW w:w="2199" w:type="pct"/>
                  <w:vAlign w:val="bottom"/>
                </w:tcPr>
                <w:p w:rsidR="00AC2131" w:rsidRPr="00E54451" w:rsidRDefault="00AC2131" w:rsidP="00AC2131">
                  <w:pPr>
                    <w:ind w:left="227"/>
                    <w:rPr>
                      <w:rFonts w:ascii="Arial" w:hAnsi="Arial" w:cs="Arial"/>
                      <w:color w:val="000000"/>
                      <w:sz w:val="18"/>
                      <w:szCs w:val="18"/>
                    </w:rPr>
                  </w:pPr>
                  <w:r w:rsidRPr="00E54451">
                    <w:rPr>
                      <w:rFonts w:ascii="Arial" w:hAnsi="Arial" w:cs="Arial"/>
                      <w:color w:val="000000"/>
                      <w:sz w:val="18"/>
                      <w:szCs w:val="18"/>
                    </w:rPr>
                    <w:t>Temporary Assistance for Tasmanian Exporters</w:t>
                  </w:r>
                </w:p>
              </w:tc>
              <w:tc>
                <w:tcPr>
                  <w:tcW w:w="472" w:type="pct"/>
                  <w:gridSpan w:val="2"/>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9.9</w:t>
                  </w:r>
                </w:p>
              </w:tc>
              <w:tc>
                <w:tcPr>
                  <w:tcW w:w="467" w:type="pct"/>
                  <w:shd w:val="clear" w:color="auto" w:fill="auto"/>
                  <w:vAlign w:val="bottom"/>
                </w:tcPr>
                <w:p w:rsidR="00AC2131" w:rsidRDefault="00AC2131" w:rsidP="00AC2131">
                  <w:pPr>
                    <w:pStyle w:val="TableBodyText"/>
                    <w:spacing w:after="0"/>
                    <w:ind w:left="0" w:right="57"/>
                  </w:pPr>
                  <w:r>
                    <w:t>–</w:t>
                  </w:r>
                </w:p>
              </w:tc>
              <w:tc>
                <w:tcPr>
                  <w:tcW w:w="461" w:type="pct"/>
                  <w:shd w:val="clear" w:color="auto" w:fill="auto"/>
                  <w:vAlign w:val="bottom"/>
                </w:tcPr>
                <w:p w:rsidR="00AC2131" w:rsidRDefault="00AC2131" w:rsidP="00AC2131">
                  <w:pPr>
                    <w:pStyle w:val="TableBodyText"/>
                    <w:spacing w:after="0"/>
                    <w:ind w:left="0" w:right="57"/>
                  </w:pPr>
                  <w:r>
                    <w:t>–</w:t>
                  </w:r>
                </w:p>
              </w:tc>
            </w:tr>
            <w:tr w:rsidR="00AC2131" w:rsidRPr="00E54451" w:rsidTr="00AC2131">
              <w:tc>
                <w:tcPr>
                  <w:tcW w:w="2199" w:type="pct"/>
                </w:tcPr>
                <w:p w:rsidR="00AC2131" w:rsidRPr="00E54451" w:rsidRDefault="00AC2131" w:rsidP="00AC2131">
                  <w:pPr>
                    <w:pStyle w:val="TableBodyText"/>
                    <w:spacing w:before="20" w:after="20"/>
                    <w:jc w:val="left"/>
                    <w:rPr>
                      <w:i/>
                    </w:rPr>
                  </w:pPr>
                  <w:r w:rsidRPr="00E54451">
                    <w:rPr>
                      <w:i/>
                    </w:rPr>
                    <w:t>Total</w:t>
                  </w:r>
                </w:p>
              </w:tc>
              <w:tc>
                <w:tcPr>
                  <w:tcW w:w="472" w:type="pct"/>
                  <w:gridSpan w:val="2"/>
                  <w:vAlign w:val="bottom"/>
                </w:tcPr>
                <w:p w:rsidR="00AC2131" w:rsidRPr="00341DA2" w:rsidRDefault="00AC2131" w:rsidP="00AC2131">
                  <w:pPr>
                    <w:pStyle w:val="TableBodyText"/>
                    <w:spacing w:before="20" w:after="20"/>
                    <w:ind w:left="0" w:right="57"/>
                    <w:rPr>
                      <w:i/>
                    </w:rPr>
                  </w:pPr>
                  <w:r w:rsidRPr="00341DA2">
                    <w:rPr>
                      <w:i/>
                    </w:rPr>
                    <w:t>234.2</w:t>
                  </w:r>
                </w:p>
              </w:tc>
              <w:tc>
                <w:tcPr>
                  <w:tcW w:w="466" w:type="pct"/>
                  <w:vAlign w:val="bottom"/>
                </w:tcPr>
                <w:p w:rsidR="00AC2131" w:rsidRPr="00341DA2" w:rsidRDefault="00AC2131" w:rsidP="00AC2131">
                  <w:pPr>
                    <w:pStyle w:val="TableBodyText"/>
                    <w:spacing w:before="20" w:after="20"/>
                    <w:ind w:left="0" w:right="57"/>
                    <w:rPr>
                      <w:i/>
                    </w:rPr>
                  </w:pPr>
                  <w:r w:rsidRPr="00341DA2">
                    <w:rPr>
                      <w:i/>
                    </w:rPr>
                    <w:t>271.4</w:t>
                  </w:r>
                </w:p>
              </w:tc>
              <w:tc>
                <w:tcPr>
                  <w:tcW w:w="467" w:type="pct"/>
                  <w:shd w:val="clear" w:color="auto" w:fill="auto"/>
                  <w:vAlign w:val="bottom"/>
                </w:tcPr>
                <w:p w:rsidR="00AC2131" w:rsidRPr="00341DA2" w:rsidRDefault="00AC2131" w:rsidP="00AC2131">
                  <w:pPr>
                    <w:pStyle w:val="TableBodyText"/>
                    <w:spacing w:before="20" w:after="20"/>
                    <w:ind w:left="0" w:right="57"/>
                    <w:rPr>
                      <w:i/>
                    </w:rPr>
                  </w:pPr>
                  <w:r w:rsidRPr="00341DA2">
                    <w:rPr>
                      <w:i/>
                    </w:rPr>
                    <w:t>236.8</w:t>
                  </w:r>
                </w:p>
              </w:tc>
              <w:tc>
                <w:tcPr>
                  <w:tcW w:w="467" w:type="pct"/>
                  <w:vAlign w:val="bottom"/>
                </w:tcPr>
                <w:p w:rsidR="00AC2131" w:rsidRPr="00341DA2" w:rsidRDefault="00AC2131" w:rsidP="00AC2131">
                  <w:pPr>
                    <w:pStyle w:val="TableBodyText"/>
                    <w:spacing w:before="20" w:after="20"/>
                    <w:ind w:left="0" w:right="57"/>
                    <w:rPr>
                      <w:i/>
                    </w:rPr>
                  </w:pPr>
                  <w:r w:rsidRPr="00341DA2">
                    <w:rPr>
                      <w:i/>
                    </w:rPr>
                    <w:t>229.8</w:t>
                  </w:r>
                </w:p>
              </w:tc>
              <w:tc>
                <w:tcPr>
                  <w:tcW w:w="467" w:type="pct"/>
                  <w:shd w:val="clear" w:color="auto" w:fill="auto"/>
                  <w:vAlign w:val="bottom"/>
                </w:tcPr>
                <w:p w:rsidR="00AC2131" w:rsidRPr="00341DA2" w:rsidRDefault="00AC2131" w:rsidP="00AC2131">
                  <w:pPr>
                    <w:pStyle w:val="TableBodyText"/>
                    <w:spacing w:before="20" w:after="20"/>
                    <w:ind w:left="0" w:right="57"/>
                    <w:rPr>
                      <w:i/>
                    </w:rPr>
                  </w:pPr>
                  <w:r w:rsidRPr="00341DA2">
                    <w:rPr>
                      <w:i/>
                    </w:rPr>
                    <w:t>203.0</w:t>
                  </w:r>
                </w:p>
              </w:tc>
              <w:tc>
                <w:tcPr>
                  <w:tcW w:w="461" w:type="pct"/>
                  <w:shd w:val="clear" w:color="auto" w:fill="auto"/>
                  <w:vAlign w:val="bottom"/>
                </w:tcPr>
                <w:p w:rsidR="00AC2131" w:rsidRPr="00341DA2" w:rsidRDefault="00AC2131" w:rsidP="00AC2131">
                  <w:pPr>
                    <w:pStyle w:val="TableBodyText"/>
                    <w:spacing w:before="20" w:after="20"/>
                    <w:ind w:left="0" w:right="57"/>
                    <w:rPr>
                      <w:i/>
                    </w:rPr>
                  </w:pPr>
                  <w:r w:rsidRPr="00341DA2">
                    <w:rPr>
                      <w:i/>
                    </w:rPr>
                    <w:t>198.0</w:t>
                  </w:r>
                </w:p>
              </w:tc>
            </w:tr>
            <w:tr w:rsidR="00AC2131" w:rsidTr="00AC2131">
              <w:tc>
                <w:tcPr>
                  <w:tcW w:w="2199" w:type="pct"/>
                  <w:vAlign w:val="bottom"/>
                </w:tcPr>
                <w:p w:rsidR="00AC2131" w:rsidRPr="002207C9" w:rsidRDefault="00AC2131" w:rsidP="00AC2131">
                  <w:pPr>
                    <w:spacing w:before="80" w:after="40"/>
                    <w:rPr>
                      <w:rFonts w:ascii="Arial" w:hAnsi="Arial" w:cs="Arial"/>
                      <w:b/>
                      <w:color w:val="000000"/>
                      <w:sz w:val="18"/>
                      <w:szCs w:val="18"/>
                    </w:rPr>
                  </w:pPr>
                  <w:r w:rsidRPr="002207C9">
                    <w:rPr>
                      <w:rFonts w:ascii="Arial" w:hAnsi="Arial" w:cs="Arial"/>
                      <w:b/>
                      <w:color w:val="000000"/>
                      <w:sz w:val="18"/>
                      <w:szCs w:val="18"/>
                    </w:rPr>
                    <w:t>Total outlays</w:t>
                  </w:r>
                </w:p>
              </w:tc>
              <w:tc>
                <w:tcPr>
                  <w:tcW w:w="472" w:type="pct"/>
                  <w:gridSpan w:val="2"/>
                  <w:vAlign w:val="bottom"/>
                </w:tcPr>
                <w:p w:rsidR="00AC2131" w:rsidRPr="00341DA2" w:rsidRDefault="00AC2131" w:rsidP="00AC2131">
                  <w:pPr>
                    <w:pStyle w:val="TableBodyText"/>
                    <w:spacing w:before="80"/>
                    <w:ind w:left="0" w:right="57"/>
                    <w:rPr>
                      <w:b/>
                    </w:rPr>
                  </w:pPr>
                  <w:r w:rsidRPr="00341DA2">
                    <w:rPr>
                      <w:b/>
                    </w:rPr>
                    <w:t>810.4</w:t>
                  </w:r>
                </w:p>
              </w:tc>
              <w:tc>
                <w:tcPr>
                  <w:tcW w:w="466" w:type="pct"/>
                  <w:vAlign w:val="bottom"/>
                </w:tcPr>
                <w:p w:rsidR="00AC2131" w:rsidRPr="00341DA2" w:rsidRDefault="00AC2131" w:rsidP="00AC2131">
                  <w:pPr>
                    <w:pStyle w:val="TableBodyText"/>
                    <w:spacing w:before="80"/>
                    <w:ind w:left="0" w:right="57"/>
                    <w:rPr>
                      <w:b/>
                    </w:rPr>
                  </w:pPr>
                  <w:r w:rsidRPr="00341DA2">
                    <w:rPr>
                      <w:b/>
                    </w:rPr>
                    <w:t>971.1</w:t>
                  </w:r>
                </w:p>
              </w:tc>
              <w:tc>
                <w:tcPr>
                  <w:tcW w:w="467" w:type="pct"/>
                  <w:shd w:val="clear" w:color="auto" w:fill="auto"/>
                  <w:vAlign w:val="bottom"/>
                </w:tcPr>
                <w:p w:rsidR="00AC2131" w:rsidRPr="00341DA2" w:rsidRDefault="00AC2131" w:rsidP="00AC2131">
                  <w:pPr>
                    <w:pStyle w:val="TableBodyText"/>
                    <w:spacing w:before="80"/>
                    <w:ind w:left="0" w:right="57"/>
                    <w:rPr>
                      <w:b/>
                    </w:rPr>
                  </w:pPr>
                  <w:r w:rsidRPr="00341DA2">
                    <w:rPr>
                      <w:b/>
                    </w:rPr>
                    <w:t>947.4</w:t>
                  </w:r>
                </w:p>
              </w:tc>
              <w:tc>
                <w:tcPr>
                  <w:tcW w:w="467" w:type="pct"/>
                  <w:vAlign w:val="bottom"/>
                </w:tcPr>
                <w:p w:rsidR="00AC2131" w:rsidRPr="00341DA2" w:rsidRDefault="00AC2131" w:rsidP="00AC2131">
                  <w:pPr>
                    <w:pStyle w:val="TableBodyText"/>
                    <w:spacing w:before="80"/>
                    <w:ind w:left="0" w:right="57"/>
                    <w:rPr>
                      <w:b/>
                    </w:rPr>
                  </w:pPr>
                  <w:r w:rsidRPr="00341DA2">
                    <w:rPr>
                      <w:b/>
                    </w:rPr>
                    <w:t>1376.1</w:t>
                  </w:r>
                </w:p>
              </w:tc>
              <w:tc>
                <w:tcPr>
                  <w:tcW w:w="467" w:type="pct"/>
                  <w:shd w:val="clear" w:color="auto" w:fill="auto"/>
                  <w:vAlign w:val="bottom"/>
                </w:tcPr>
                <w:p w:rsidR="00AC2131" w:rsidRPr="00341DA2" w:rsidRDefault="00AC2131" w:rsidP="00AC2131">
                  <w:pPr>
                    <w:pStyle w:val="TableBodyText"/>
                    <w:spacing w:before="80"/>
                    <w:ind w:left="0" w:right="57"/>
                    <w:rPr>
                      <w:b/>
                    </w:rPr>
                  </w:pPr>
                  <w:r w:rsidRPr="00341DA2">
                    <w:rPr>
                      <w:b/>
                    </w:rPr>
                    <w:t>1033.3</w:t>
                  </w:r>
                </w:p>
              </w:tc>
              <w:tc>
                <w:tcPr>
                  <w:tcW w:w="461" w:type="pct"/>
                  <w:shd w:val="clear" w:color="auto" w:fill="auto"/>
                  <w:vAlign w:val="bottom"/>
                </w:tcPr>
                <w:p w:rsidR="00AC2131" w:rsidRPr="00341DA2" w:rsidRDefault="00AC2131" w:rsidP="00AC2131">
                  <w:pPr>
                    <w:pStyle w:val="TableBodyText"/>
                    <w:spacing w:before="80"/>
                    <w:ind w:left="0" w:right="57"/>
                    <w:rPr>
                      <w:b/>
                    </w:rPr>
                  </w:pPr>
                  <w:r w:rsidRPr="00341DA2">
                    <w:rPr>
                      <w:b/>
                    </w:rPr>
                    <w:t>1119.1</w:t>
                  </w:r>
                </w:p>
              </w:tc>
            </w:tr>
            <w:tr w:rsidR="00AC2131" w:rsidTr="00AC2131">
              <w:tc>
                <w:tcPr>
                  <w:tcW w:w="2199" w:type="pct"/>
                  <w:vAlign w:val="bottom"/>
                </w:tcPr>
                <w:p w:rsidR="00AC2131" w:rsidRPr="002207C9" w:rsidRDefault="00AC2131" w:rsidP="00AC2131">
                  <w:pPr>
                    <w:spacing w:before="80" w:after="40"/>
                    <w:rPr>
                      <w:rFonts w:ascii="Arial" w:hAnsi="Arial" w:cs="Arial"/>
                      <w:b/>
                      <w:color w:val="000000"/>
                      <w:sz w:val="18"/>
                      <w:szCs w:val="18"/>
                    </w:rPr>
                  </w:pPr>
                  <w:r w:rsidRPr="002207C9">
                    <w:rPr>
                      <w:rFonts w:ascii="Arial" w:hAnsi="Arial" w:cs="Arial"/>
                      <w:b/>
                      <w:color w:val="000000"/>
                      <w:sz w:val="18"/>
                      <w:szCs w:val="18"/>
                    </w:rPr>
                    <w:t>Total tax concessions</w:t>
                  </w:r>
                </w:p>
              </w:tc>
              <w:tc>
                <w:tcPr>
                  <w:tcW w:w="472" w:type="pct"/>
                  <w:gridSpan w:val="2"/>
                  <w:vAlign w:val="bottom"/>
                </w:tcPr>
                <w:p w:rsidR="00AC2131" w:rsidRPr="00341DA2" w:rsidRDefault="00AC2131" w:rsidP="00AC2131">
                  <w:pPr>
                    <w:pStyle w:val="TableBodyText"/>
                    <w:spacing w:before="80"/>
                    <w:ind w:left="0" w:right="57"/>
                    <w:rPr>
                      <w:b/>
                    </w:rPr>
                  </w:pPr>
                  <w:r w:rsidRPr="00341DA2">
                    <w:rPr>
                      <w:b/>
                    </w:rPr>
                    <w:t>928.3</w:t>
                  </w:r>
                </w:p>
              </w:tc>
              <w:tc>
                <w:tcPr>
                  <w:tcW w:w="466" w:type="pct"/>
                  <w:vAlign w:val="bottom"/>
                </w:tcPr>
                <w:p w:rsidR="00AC2131" w:rsidRPr="00341DA2" w:rsidRDefault="00AC2131" w:rsidP="00AC2131">
                  <w:pPr>
                    <w:pStyle w:val="TableBodyText"/>
                    <w:spacing w:before="80"/>
                    <w:ind w:left="0" w:right="57"/>
                    <w:rPr>
                      <w:b/>
                    </w:rPr>
                  </w:pPr>
                  <w:r w:rsidRPr="00341DA2">
                    <w:rPr>
                      <w:b/>
                    </w:rPr>
                    <w:t>1109.2</w:t>
                  </w:r>
                </w:p>
              </w:tc>
              <w:tc>
                <w:tcPr>
                  <w:tcW w:w="467" w:type="pct"/>
                  <w:shd w:val="clear" w:color="auto" w:fill="auto"/>
                  <w:vAlign w:val="bottom"/>
                </w:tcPr>
                <w:p w:rsidR="00AC2131" w:rsidRPr="00341DA2" w:rsidRDefault="00AC2131" w:rsidP="00AC2131">
                  <w:pPr>
                    <w:pStyle w:val="TableBodyText"/>
                    <w:spacing w:before="80"/>
                    <w:ind w:left="0" w:right="57"/>
                    <w:rPr>
                      <w:b/>
                    </w:rPr>
                  </w:pPr>
                  <w:r w:rsidRPr="00341DA2">
                    <w:rPr>
                      <w:b/>
                    </w:rPr>
                    <w:t>986.2</w:t>
                  </w:r>
                </w:p>
              </w:tc>
              <w:tc>
                <w:tcPr>
                  <w:tcW w:w="467" w:type="pct"/>
                  <w:vAlign w:val="bottom"/>
                </w:tcPr>
                <w:p w:rsidR="00AC2131" w:rsidRPr="00341DA2" w:rsidRDefault="00AC2131" w:rsidP="00AC2131">
                  <w:pPr>
                    <w:pStyle w:val="TableBodyText"/>
                    <w:spacing w:before="80"/>
                    <w:ind w:left="0" w:right="57"/>
                    <w:rPr>
                      <w:b/>
                    </w:rPr>
                  </w:pPr>
                  <w:r w:rsidRPr="00341DA2">
                    <w:rPr>
                      <w:b/>
                    </w:rPr>
                    <w:t>475.2</w:t>
                  </w:r>
                </w:p>
              </w:tc>
              <w:tc>
                <w:tcPr>
                  <w:tcW w:w="467" w:type="pct"/>
                  <w:shd w:val="clear" w:color="auto" w:fill="auto"/>
                  <w:vAlign w:val="bottom"/>
                </w:tcPr>
                <w:p w:rsidR="00AC2131" w:rsidRPr="00341DA2" w:rsidRDefault="00AC2131" w:rsidP="00AC2131">
                  <w:pPr>
                    <w:pStyle w:val="TableBodyText"/>
                    <w:spacing w:before="80"/>
                    <w:ind w:left="0" w:right="57"/>
                    <w:rPr>
                      <w:b/>
                    </w:rPr>
                  </w:pPr>
                  <w:r w:rsidRPr="00341DA2">
                    <w:rPr>
                      <w:b/>
                    </w:rPr>
                    <w:t>587.0</w:t>
                  </w:r>
                </w:p>
              </w:tc>
              <w:tc>
                <w:tcPr>
                  <w:tcW w:w="461" w:type="pct"/>
                  <w:shd w:val="clear" w:color="auto" w:fill="auto"/>
                  <w:vAlign w:val="bottom"/>
                </w:tcPr>
                <w:p w:rsidR="00AC2131" w:rsidRPr="00341DA2" w:rsidRDefault="00AC2131" w:rsidP="00AC2131">
                  <w:pPr>
                    <w:pStyle w:val="TableBodyText"/>
                    <w:spacing w:before="80"/>
                    <w:ind w:left="0" w:right="57"/>
                    <w:rPr>
                      <w:b/>
                    </w:rPr>
                  </w:pPr>
                  <w:r w:rsidRPr="00341DA2">
                    <w:rPr>
                      <w:b/>
                    </w:rPr>
                    <w:t>636.6</w:t>
                  </w:r>
                </w:p>
              </w:tc>
            </w:tr>
            <w:tr w:rsidR="00AC2131" w:rsidTr="00AC2131">
              <w:tc>
                <w:tcPr>
                  <w:tcW w:w="2199" w:type="pct"/>
                  <w:tcBorders>
                    <w:bottom w:val="single" w:sz="6" w:space="0" w:color="BFBFBF"/>
                  </w:tcBorders>
                  <w:vAlign w:val="bottom"/>
                </w:tcPr>
                <w:p w:rsidR="00AC2131" w:rsidRPr="002207C9" w:rsidRDefault="00AC2131" w:rsidP="00AC2131">
                  <w:pPr>
                    <w:spacing w:before="80" w:after="40"/>
                    <w:rPr>
                      <w:rFonts w:ascii="Arial" w:hAnsi="Arial" w:cs="Arial"/>
                      <w:b/>
                      <w:color w:val="000000"/>
                      <w:sz w:val="18"/>
                      <w:szCs w:val="18"/>
                    </w:rPr>
                  </w:pPr>
                  <w:r w:rsidRPr="002207C9">
                    <w:rPr>
                      <w:rFonts w:ascii="Arial" w:hAnsi="Arial" w:cs="Arial"/>
                      <w:b/>
                      <w:color w:val="000000"/>
                      <w:sz w:val="18"/>
                      <w:szCs w:val="18"/>
                    </w:rPr>
                    <w:t>Total budgetary assistance</w:t>
                  </w:r>
                </w:p>
              </w:tc>
              <w:tc>
                <w:tcPr>
                  <w:tcW w:w="472" w:type="pct"/>
                  <w:gridSpan w:val="2"/>
                  <w:tcBorders>
                    <w:bottom w:val="single" w:sz="6" w:space="0" w:color="BFBFBF"/>
                  </w:tcBorders>
                  <w:vAlign w:val="bottom"/>
                </w:tcPr>
                <w:p w:rsidR="00AC2131" w:rsidRPr="00341DA2" w:rsidRDefault="00AC2131" w:rsidP="00AC2131">
                  <w:pPr>
                    <w:pStyle w:val="TableBodyText"/>
                    <w:spacing w:before="80"/>
                    <w:ind w:left="0" w:right="57"/>
                    <w:rPr>
                      <w:b/>
                    </w:rPr>
                  </w:pPr>
                  <w:r w:rsidRPr="00341DA2">
                    <w:rPr>
                      <w:b/>
                    </w:rPr>
                    <w:t>1738.8</w:t>
                  </w:r>
                </w:p>
              </w:tc>
              <w:tc>
                <w:tcPr>
                  <w:tcW w:w="466" w:type="pct"/>
                  <w:tcBorders>
                    <w:bottom w:val="single" w:sz="6" w:space="0" w:color="BFBFBF"/>
                  </w:tcBorders>
                  <w:vAlign w:val="bottom"/>
                </w:tcPr>
                <w:p w:rsidR="00AC2131" w:rsidRPr="00341DA2" w:rsidRDefault="00AC2131" w:rsidP="00AC2131">
                  <w:pPr>
                    <w:pStyle w:val="TableBodyText"/>
                    <w:spacing w:before="80"/>
                    <w:ind w:left="0" w:right="57"/>
                    <w:rPr>
                      <w:b/>
                    </w:rPr>
                  </w:pPr>
                  <w:r w:rsidRPr="00341DA2">
                    <w:rPr>
                      <w:b/>
                    </w:rPr>
                    <w:t>2080.4</w:t>
                  </w:r>
                </w:p>
              </w:tc>
              <w:tc>
                <w:tcPr>
                  <w:tcW w:w="467" w:type="pct"/>
                  <w:tcBorders>
                    <w:bottom w:val="single" w:sz="6" w:space="0" w:color="BFBFBF"/>
                  </w:tcBorders>
                  <w:shd w:val="clear" w:color="auto" w:fill="auto"/>
                  <w:vAlign w:val="bottom"/>
                </w:tcPr>
                <w:p w:rsidR="00AC2131" w:rsidRPr="00341DA2" w:rsidRDefault="00AC2131" w:rsidP="00AC2131">
                  <w:pPr>
                    <w:pStyle w:val="TableBodyText"/>
                    <w:spacing w:before="80"/>
                    <w:ind w:left="0" w:right="57"/>
                    <w:rPr>
                      <w:b/>
                    </w:rPr>
                  </w:pPr>
                  <w:r w:rsidRPr="00341DA2">
                    <w:rPr>
                      <w:b/>
                    </w:rPr>
                    <w:t>1933.6</w:t>
                  </w:r>
                </w:p>
              </w:tc>
              <w:tc>
                <w:tcPr>
                  <w:tcW w:w="467" w:type="pct"/>
                  <w:tcBorders>
                    <w:bottom w:val="single" w:sz="6" w:space="0" w:color="BFBFBF"/>
                  </w:tcBorders>
                  <w:vAlign w:val="bottom"/>
                </w:tcPr>
                <w:p w:rsidR="00AC2131" w:rsidRPr="00341DA2" w:rsidRDefault="00AC2131" w:rsidP="00AC2131">
                  <w:pPr>
                    <w:pStyle w:val="TableBodyText"/>
                    <w:spacing w:before="80"/>
                    <w:ind w:left="0" w:right="57"/>
                    <w:rPr>
                      <w:b/>
                    </w:rPr>
                  </w:pPr>
                  <w:r w:rsidRPr="00341DA2">
                    <w:rPr>
                      <w:b/>
                    </w:rPr>
                    <w:t>1851.3</w:t>
                  </w:r>
                </w:p>
              </w:tc>
              <w:tc>
                <w:tcPr>
                  <w:tcW w:w="467" w:type="pct"/>
                  <w:tcBorders>
                    <w:bottom w:val="single" w:sz="6" w:space="0" w:color="BFBFBF"/>
                  </w:tcBorders>
                  <w:shd w:val="clear" w:color="auto" w:fill="auto"/>
                  <w:vAlign w:val="bottom"/>
                </w:tcPr>
                <w:p w:rsidR="00AC2131" w:rsidRPr="00341DA2" w:rsidRDefault="00AC2131" w:rsidP="00AC2131">
                  <w:pPr>
                    <w:pStyle w:val="TableBodyText"/>
                    <w:spacing w:before="80"/>
                    <w:ind w:left="0" w:right="57"/>
                    <w:rPr>
                      <w:b/>
                    </w:rPr>
                  </w:pPr>
                  <w:r w:rsidRPr="00341DA2">
                    <w:rPr>
                      <w:b/>
                    </w:rPr>
                    <w:t>1620.3</w:t>
                  </w:r>
                </w:p>
              </w:tc>
              <w:tc>
                <w:tcPr>
                  <w:tcW w:w="461" w:type="pct"/>
                  <w:tcBorders>
                    <w:bottom w:val="single" w:sz="6" w:space="0" w:color="BFBFBF"/>
                  </w:tcBorders>
                  <w:shd w:val="clear" w:color="auto" w:fill="auto"/>
                  <w:vAlign w:val="bottom"/>
                </w:tcPr>
                <w:p w:rsidR="00AC2131" w:rsidRPr="00341DA2" w:rsidRDefault="00AC2131" w:rsidP="00AC2131">
                  <w:pPr>
                    <w:pStyle w:val="TableBodyText"/>
                    <w:spacing w:before="80"/>
                    <w:ind w:left="0" w:right="57"/>
                    <w:rPr>
                      <w:b/>
                    </w:rPr>
                  </w:pPr>
                  <w:r w:rsidRPr="00341DA2">
                    <w:rPr>
                      <w:b/>
                    </w:rPr>
                    <w:t>1755.7</w:t>
                  </w:r>
                </w:p>
              </w:tc>
            </w:tr>
          </w:tbl>
          <w:p w:rsidR="00AC2131" w:rsidRDefault="00AC2131" w:rsidP="00AC2131">
            <w:pPr>
              <w:pStyle w:val="Box"/>
            </w:pP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Note"/>
              <w:tabs>
                <w:tab w:val="left" w:pos="3205"/>
              </w:tabs>
              <w:rPr>
                <w:i/>
              </w:rPr>
            </w:pPr>
            <w:r w:rsidRPr="0047042A">
              <w:t xml:space="preserve">– Nil. Figures may not add to totals due to rounding. </w:t>
            </w:r>
            <w:r w:rsidRPr="008E77FE">
              <w:rPr>
                <w:rStyle w:val="NoteLabel"/>
              </w:rPr>
              <w:t>a</w:t>
            </w:r>
            <w:r>
              <w:t> </w:t>
            </w:r>
            <w:r w:rsidRPr="0047042A">
              <w:t>The estimates are derived primarily from Australian Government departmental annual reports and Treasury’s Tax Expenditure Statements and unpublished information provided by relevant agencies.</w:t>
            </w:r>
          </w:p>
        </w:tc>
      </w:tr>
      <w:tr w:rsidR="00AC2131" w:rsidTr="00AC2131">
        <w:trPr>
          <w:cantSplit/>
        </w:trPr>
        <w:tc>
          <w:tcPr>
            <w:tcW w:w="8767"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6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6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p>
    <w:p w:rsidR="00AC2131" w:rsidRPr="00527B68" w:rsidRDefault="00AC2131" w:rsidP="00AC2131">
      <w:pPr>
        <w:rPr>
          <w:szCs w:val="20"/>
        </w:rPr>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7"/>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A.13</w:t>
            </w:r>
            <w:r>
              <w:tab/>
              <w:t>Australian Government budgetary assistance to services, 2008</w:t>
            </w:r>
            <w:r>
              <w:noBreakHyphen/>
              <w:t>09 to 2013</w:t>
            </w:r>
            <w:r>
              <w:noBreakHyphen/>
              <w:t>14</w:t>
            </w:r>
            <w:r w:rsidRPr="006B64DF">
              <w:rPr>
                <w:rStyle w:val="NoteLabel"/>
                <w:b/>
              </w:rPr>
              <w:t>a</w:t>
            </w:r>
          </w:p>
          <w:p w:rsidR="00AC2131" w:rsidRPr="00784A05" w:rsidRDefault="00AC2131" w:rsidP="00AC2131">
            <w:pPr>
              <w:pStyle w:val="Subtitle"/>
            </w:pPr>
            <w:r w:rsidRPr="00C35BB7">
              <w:t>$ million (nominal)</w:t>
            </w:r>
          </w:p>
        </w:tc>
      </w:tr>
      <w:tr w:rsidR="00AC2131" w:rsidTr="00AC2131">
        <w:trPr>
          <w:cantSplit/>
        </w:trPr>
        <w:tc>
          <w:tcPr>
            <w:tcW w:w="8771" w:type="dxa"/>
            <w:tcBorders>
              <w:top w:val="nil"/>
              <w:left w:val="nil"/>
              <w:bottom w:val="nil"/>
              <w:right w:val="nil"/>
            </w:tcBorders>
            <w:shd w:val="clear" w:color="auto" w:fill="auto"/>
          </w:tcPr>
          <w:tbl>
            <w:tblPr>
              <w:tblW w:w="8503" w:type="dxa"/>
              <w:tblCellMar>
                <w:top w:w="28" w:type="dxa"/>
                <w:left w:w="0" w:type="dxa"/>
                <w:right w:w="0" w:type="dxa"/>
              </w:tblCellMar>
              <w:tblLook w:val="0000" w:firstRow="0" w:lastRow="0" w:firstColumn="0" w:lastColumn="0" w:noHBand="0" w:noVBand="0"/>
            </w:tblPr>
            <w:tblGrid>
              <w:gridCol w:w="3742"/>
              <w:gridCol w:w="795"/>
              <w:gridCol w:w="794"/>
              <w:gridCol w:w="794"/>
              <w:gridCol w:w="794"/>
              <w:gridCol w:w="792"/>
              <w:gridCol w:w="792"/>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6"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6"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8F08C9" w:rsidRDefault="00AC2131" w:rsidP="00AC2131">
                  <w:pPr>
                    <w:pStyle w:val="TableUnitsRow"/>
                    <w:jc w:val="left"/>
                    <w:rPr>
                      <w:b/>
                    </w:rPr>
                  </w:pPr>
                  <w:r w:rsidRPr="008F08C9">
                    <w:rPr>
                      <w:b/>
                    </w:rPr>
                    <w:t>Electricity, gas, water and waste services</w:t>
                  </w:r>
                </w:p>
              </w:tc>
              <w:tc>
                <w:tcPr>
                  <w:tcW w:w="467" w:type="pct"/>
                  <w:tcBorders>
                    <w:top w:val="single" w:sz="6" w:space="0" w:color="BFBFBF"/>
                  </w:tcBorders>
                </w:tcPr>
                <w:p w:rsidR="00AC2131" w:rsidRDefault="00AC2131" w:rsidP="00AC2131">
                  <w:pPr>
                    <w:pStyle w:val="TableUnitsRow"/>
                  </w:pPr>
                </w:p>
              </w:tc>
              <w:tc>
                <w:tcPr>
                  <w:tcW w:w="467" w:type="pct"/>
                  <w:tcBorders>
                    <w:top w:val="single" w:sz="6" w:space="0" w:color="BFBFBF"/>
                  </w:tcBorders>
                </w:tcPr>
                <w:p w:rsidR="00AC2131" w:rsidRDefault="00AC2131" w:rsidP="00AC2131">
                  <w:pPr>
                    <w:pStyle w:val="TableUnitsRow"/>
                  </w:pPr>
                </w:p>
              </w:tc>
              <w:tc>
                <w:tcPr>
                  <w:tcW w:w="467" w:type="pct"/>
                  <w:tcBorders>
                    <w:top w:val="single" w:sz="6" w:space="0" w:color="BFBFBF"/>
                  </w:tcBorders>
                </w:tcPr>
                <w:p w:rsidR="00AC2131" w:rsidRDefault="00AC2131" w:rsidP="00AC2131">
                  <w:pPr>
                    <w:pStyle w:val="TableUnitsRow"/>
                  </w:pPr>
                </w:p>
              </w:tc>
              <w:tc>
                <w:tcPr>
                  <w:tcW w:w="467" w:type="pct"/>
                  <w:tcBorders>
                    <w:top w:val="single" w:sz="6" w:space="0" w:color="BFBFBF"/>
                  </w:tcBorders>
                </w:tcPr>
                <w:p w:rsidR="00AC2131" w:rsidRDefault="00AC2131" w:rsidP="00AC2131">
                  <w:pPr>
                    <w:pStyle w:val="TableUnitsRow"/>
                  </w:pPr>
                </w:p>
              </w:tc>
              <w:tc>
                <w:tcPr>
                  <w:tcW w:w="466" w:type="pct"/>
                  <w:tcBorders>
                    <w:top w:val="single" w:sz="6" w:space="0" w:color="BFBFBF"/>
                  </w:tcBorders>
                </w:tcPr>
                <w:p w:rsidR="00AC2131" w:rsidRDefault="00AC2131" w:rsidP="00AC2131">
                  <w:pPr>
                    <w:pStyle w:val="TableUnitsRow"/>
                  </w:pPr>
                </w:p>
              </w:tc>
              <w:tc>
                <w:tcPr>
                  <w:tcW w:w="466" w:type="pct"/>
                  <w:tcBorders>
                    <w:top w:val="single" w:sz="6" w:space="0" w:color="BFBFBF"/>
                  </w:tcBorders>
                </w:tcPr>
                <w:p w:rsidR="00AC2131" w:rsidRDefault="00AC2131" w:rsidP="00AC2131">
                  <w:pPr>
                    <w:pStyle w:val="TableUnitsRow"/>
                    <w:ind w:right="28"/>
                  </w:pPr>
                </w:p>
              </w:tc>
            </w:tr>
            <w:tr w:rsidR="00AC2131" w:rsidTr="00AC2131">
              <w:tc>
                <w:tcPr>
                  <w:tcW w:w="2200" w:type="pct"/>
                </w:tcPr>
                <w:p w:rsidR="00AC2131" w:rsidRPr="008F08C9" w:rsidRDefault="00AC2131" w:rsidP="00AC2131">
                  <w:pPr>
                    <w:pStyle w:val="TableBodyText"/>
                    <w:spacing w:before="40" w:after="0"/>
                    <w:ind w:left="113"/>
                    <w:jc w:val="left"/>
                    <w:rPr>
                      <w:i/>
                    </w:rPr>
                  </w:pPr>
                  <w:r w:rsidRPr="008F08C9">
                    <w:rPr>
                      <w:i/>
                    </w:rPr>
                    <w:t>Industry-specific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8F08C9" w:rsidRDefault="00AC2131" w:rsidP="00AC2131">
                  <w:pPr>
                    <w:ind w:left="227"/>
                    <w:rPr>
                      <w:rFonts w:ascii="Arial" w:hAnsi="Arial" w:cs="Arial"/>
                      <w:color w:val="000000"/>
                      <w:sz w:val="18"/>
                      <w:szCs w:val="18"/>
                    </w:rPr>
                  </w:pPr>
                  <w:r w:rsidRPr="008F08C9">
                    <w:rPr>
                      <w:rFonts w:ascii="Arial" w:hAnsi="Arial" w:cs="Arial"/>
                      <w:color w:val="000000"/>
                      <w:sz w:val="18"/>
                      <w:szCs w:val="18"/>
                    </w:rPr>
                    <w:t>Carbon Capture and Storage Flagships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61.8</w:t>
                  </w:r>
                </w:p>
              </w:tc>
              <w:tc>
                <w:tcPr>
                  <w:tcW w:w="467" w:type="pct"/>
                  <w:vAlign w:val="bottom"/>
                </w:tcPr>
                <w:p w:rsidR="00AC2131" w:rsidRDefault="00AC2131" w:rsidP="00AC2131">
                  <w:pPr>
                    <w:pStyle w:val="TableBodyText"/>
                    <w:spacing w:after="0"/>
                    <w:ind w:left="0" w:right="57"/>
                  </w:pPr>
                  <w:r>
                    <w:t>7.1</w:t>
                  </w:r>
                </w:p>
              </w:tc>
              <w:tc>
                <w:tcPr>
                  <w:tcW w:w="467" w:type="pct"/>
                  <w:vAlign w:val="bottom"/>
                </w:tcPr>
                <w:p w:rsidR="00AC2131" w:rsidRDefault="00AC2131" w:rsidP="00AC2131">
                  <w:pPr>
                    <w:pStyle w:val="TableBodyText"/>
                    <w:spacing w:after="0"/>
                    <w:ind w:left="0" w:right="57"/>
                  </w:pPr>
                  <w:r>
                    <w:t>6.8</w:t>
                  </w:r>
                </w:p>
              </w:tc>
              <w:tc>
                <w:tcPr>
                  <w:tcW w:w="466" w:type="pct"/>
                  <w:shd w:val="clear" w:color="auto" w:fill="auto"/>
                  <w:vAlign w:val="bottom"/>
                </w:tcPr>
                <w:p w:rsidR="00AC2131" w:rsidRDefault="00AC2131" w:rsidP="00AC2131">
                  <w:pPr>
                    <w:pStyle w:val="TableBodyText"/>
                    <w:spacing w:after="0"/>
                    <w:ind w:left="0" w:right="57"/>
                  </w:pPr>
                  <w:r>
                    <w:t>13.8</w:t>
                  </w:r>
                </w:p>
              </w:tc>
              <w:tc>
                <w:tcPr>
                  <w:tcW w:w="466" w:type="pct"/>
                  <w:shd w:val="clear" w:color="auto" w:fill="auto"/>
                  <w:vAlign w:val="bottom"/>
                </w:tcPr>
                <w:p w:rsidR="00AC2131" w:rsidRDefault="00AC2131" w:rsidP="00AC2131">
                  <w:pPr>
                    <w:pStyle w:val="TableBodyText"/>
                    <w:spacing w:after="0"/>
                    <w:ind w:left="0" w:right="57"/>
                  </w:pPr>
                  <w:r>
                    <w:t>102.2</w:t>
                  </w:r>
                </w:p>
              </w:tc>
            </w:tr>
            <w:tr w:rsidR="00AC2131" w:rsidTr="00AC2131">
              <w:tc>
                <w:tcPr>
                  <w:tcW w:w="2200" w:type="pct"/>
                  <w:shd w:val="clear" w:color="auto" w:fill="auto"/>
                  <w:vAlign w:val="bottom"/>
                </w:tcPr>
                <w:p w:rsidR="00AC2131" w:rsidRPr="008F08C9" w:rsidRDefault="00AC2131" w:rsidP="00AC2131">
                  <w:pPr>
                    <w:ind w:left="227"/>
                    <w:rPr>
                      <w:rFonts w:ascii="Arial" w:hAnsi="Arial" w:cs="Arial"/>
                      <w:color w:val="000000"/>
                      <w:sz w:val="18"/>
                      <w:szCs w:val="18"/>
                    </w:rPr>
                  </w:pPr>
                  <w:r w:rsidRPr="000507F8">
                    <w:rPr>
                      <w:rFonts w:ascii="Arial" w:hAnsi="Arial" w:cs="Arial"/>
                      <w:color w:val="000000"/>
                      <w:sz w:val="18"/>
                      <w:szCs w:val="18"/>
                    </w:rPr>
                    <w:t>Diamond Energy Assistance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0.3</w:t>
                  </w:r>
                </w:p>
              </w:tc>
            </w:tr>
            <w:tr w:rsidR="00AC2131" w:rsidTr="00AC2131">
              <w:tc>
                <w:tcPr>
                  <w:tcW w:w="2200" w:type="pct"/>
                  <w:shd w:val="clear" w:color="auto" w:fill="auto"/>
                  <w:vAlign w:val="bottom"/>
                </w:tcPr>
                <w:p w:rsidR="00AC2131" w:rsidRPr="008F08C9" w:rsidRDefault="00AC2131" w:rsidP="00AC2131">
                  <w:pPr>
                    <w:ind w:left="227"/>
                    <w:rPr>
                      <w:rFonts w:ascii="Arial" w:hAnsi="Arial" w:cs="Arial"/>
                      <w:color w:val="000000"/>
                      <w:sz w:val="18"/>
                      <w:szCs w:val="18"/>
                    </w:rPr>
                  </w:pPr>
                  <w:r w:rsidRPr="008F08C9">
                    <w:rPr>
                      <w:rFonts w:ascii="Arial" w:hAnsi="Arial" w:cs="Arial"/>
                      <w:color w:val="000000"/>
                      <w:sz w:val="18"/>
                      <w:szCs w:val="18"/>
                    </w:rPr>
                    <w:t>Energy Brix Australia Corporation</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9.1</w:t>
                  </w:r>
                </w:p>
              </w:tc>
              <w:tc>
                <w:tcPr>
                  <w:tcW w:w="466" w:type="pct"/>
                  <w:shd w:val="clear" w:color="auto" w:fill="auto"/>
                  <w:vAlign w:val="bottom"/>
                </w:tcPr>
                <w:p w:rsidR="00AC2131" w:rsidRDefault="00AC2131" w:rsidP="00AC2131">
                  <w:pPr>
                    <w:pStyle w:val="TableBodyText"/>
                    <w:spacing w:after="0"/>
                    <w:ind w:left="0" w:right="57"/>
                  </w:pPr>
                  <w:r>
                    <w:t>36.0</w:t>
                  </w:r>
                </w:p>
              </w:tc>
            </w:tr>
            <w:tr w:rsidR="00AC2131" w:rsidTr="00AC2131">
              <w:tc>
                <w:tcPr>
                  <w:tcW w:w="2200" w:type="pct"/>
                  <w:shd w:val="clear" w:color="auto" w:fill="auto"/>
                  <w:vAlign w:val="bottom"/>
                </w:tcPr>
                <w:p w:rsidR="00AC2131" w:rsidRPr="008F08C9" w:rsidRDefault="00AC2131" w:rsidP="00AC2131">
                  <w:pPr>
                    <w:ind w:left="227"/>
                    <w:rPr>
                      <w:rFonts w:ascii="Arial" w:hAnsi="Arial" w:cs="Arial"/>
                      <w:color w:val="000000"/>
                      <w:sz w:val="18"/>
                      <w:szCs w:val="18"/>
                    </w:rPr>
                  </w:pPr>
                  <w:r w:rsidRPr="008F08C9">
                    <w:rPr>
                      <w:rFonts w:ascii="Arial" w:hAnsi="Arial" w:cs="Arial"/>
                      <w:color w:val="000000"/>
                      <w:sz w:val="18"/>
                      <w:szCs w:val="18"/>
                    </w:rPr>
                    <w:t xml:space="preserve">Energy Security Fund </w:t>
                  </w:r>
                  <w:r>
                    <w:rPr>
                      <w:rFonts w:ascii="Arial" w:hAnsi="Arial" w:cs="Arial"/>
                      <w:color w:val="000000"/>
                      <w:sz w:val="18"/>
                      <w:szCs w:val="18"/>
                    </w:rPr>
                    <w:t>–</w:t>
                  </w:r>
                  <w:r w:rsidRPr="008F08C9">
                    <w:rPr>
                      <w:rFonts w:ascii="Arial" w:hAnsi="Arial" w:cs="Arial"/>
                      <w:color w:val="000000"/>
                      <w:sz w:val="18"/>
                      <w:szCs w:val="18"/>
                    </w:rPr>
                    <w:t xml:space="preserve"> transitional assistance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1000.0</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F08C9" w:rsidRDefault="00AC2131" w:rsidP="00AC2131">
                  <w:pPr>
                    <w:ind w:left="227"/>
                    <w:rPr>
                      <w:rFonts w:ascii="Arial" w:hAnsi="Arial" w:cs="Arial"/>
                      <w:color w:val="000000"/>
                      <w:sz w:val="18"/>
                      <w:szCs w:val="18"/>
                    </w:rPr>
                  </w:pPr>
                  <w:r w:rsidRPr="008F08C9">
                    <w:rPr>
                      <w:rFonts w:ascii="Arial" w:hAnsi="Arial" w:cs="Arial"/>
                      <w:color w:val="000000"/>
                      <w:sz w:val="18"/>
                      <w:szCs w:val="18"/>
                    </w:rPr>
                    <w:t>Greenhouse Gas Abatement Program</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F08C9" w:rsidRDefault="00AC2131" w:rsidP="00AC2131">
                  <w:pPr>
                    <w:ind w:left="227"/>
                    <w:rPr>
                      <w:rFonts w:ascii="Arial" w:hAnsi="Arial" w:cs="Arial"/>
                      <w:color w:val="000000"/>
                      <w:sz w:val="18"/>
                      <w:szCs w:val="18"/>
                    </w:rPr>
                  </w:pPr>
                  <w:r w:rsidRPr="008F08C9">
                    <w:rPr>
                      <w:rFonts w:ascii="Arial" w:hAnsi="Arial" w:cs="Arial"/>
                      <w:color w:val="000000"/>
                      <w:sz w:val="18"/>
                      <w:szCs w:val="18"/>
                    </w:rPr>
                    <w:t xml:space="preserve">Low-Emission Technology Development Fund </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F08C9" w:rsidRDefault="00AC2131" w:rsidP="00AC2131">
                  <w:pPr>
                    <w:ind w:left="227"/>
                    <w:rPr>
                      <w:rFonts w:ascii="Arial" w:hAnsi="Arial" w:cs="Arial"/>
                      <w:color w:val="000000"/>
                      <w:sz w:val="18"/>
                      <w:szCs w:val="18"/>
                    </w:rPr>
                  </w:pPr>
                  <w:r w:rsidRPr="008F08C9">
                    <w:rPr>
                      <w:rFonts w:ascii="Arial" w:hAnsi="Arial" w:cs="Arial"/>
                      <w:color w:val="000000"/>
                      <w:sz w:val="18"/>
                      <w:szCs w:val="18"/>
                    </w:rPr>
                    <w:t xml:space="preserve">Remote Renewable Power Generation Program </w:t>
                  </w:r>
                </w:p>
              </w:tc>
              <w:tc>
                <w:tcPr>
                  <w:tcW w:w="467" w:type="pct"/>
                  <w:vAlign w:val="bottom"/>
                </w:tcPr>
                <w:p w:rsidR="00AC2131" w:rsidRDefault="00AC2131" w:rsidP="00AC2131">
                  <w:pPr>
                    <w:pStyle w:val="TableBodyText"/>
                    <w:spacing w:after="0"/>
                    <w:ind w:left="0" w:right="57"/>
                  </w:pPr>
                  <w:r>
                    <w:t>39.1</w:t>
                  </w:r>
                </w:p>
              </w:tc>
              <w:tc>
                <w:tcPr>
                  <w:tcW w:w="467" w:type="pct"/>
                  <w:vAlign w:val="bottom"/>
                </w:tcPr>
                <w:p w:rsidR="00AC2131" w:rsidRDefault="00AC2131" w:rsidP="00AC2131">
                  <w:pPr>
                    <w:pStyle w:val="TableBodyText"/>
                    <w:spacing w:after="0"/>
                    <w:ind w:left="0" w:right="57"/>
                  </w:pPr>
                  <w:r>
                    <w:t>4.4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F08C9" w:rsidRDefault="00AC2131" w:rsidP="00AC2131">
                  <w:pPr>
                    <w:ind w:left="227"/>
                    <w:rPr>
                      <w:rFonts w:ascii="Arial" w:hAnsi="Arial" w:cs="Arial"/>
                      <w:color w:val="000000"/>
                      <w:sz w:val="18"/>
                      <w:szCs w:val="18"/>
                    </w:rPr>
                  </w:pPr>
                  <w:r w:rsidRPr="008F08C9">
                    <w:rPr>
                      <w:rFonts w:ascii="Arial" w:hAnsi="Arial" w:cs="Arial"/>
                      <w:color w:val="000000"/>
                      <w:sz w:val="18"/>
                      <w:szCs w:val="18"/>
                    </w:rPr>
                    <w:t>Solar Flagships Programs</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17.3</w:t>
                  </w:r>
                </w:p>
              </w:tc>
              <w:tc>
                <w:tcPr>
                  <w:tcW w:w="467" w:type="pct"/>
                  <w:vAlign w:val="bottom"/>
                </w:tcPr>
                <w:p w:rsidR="00AC2131" w:rsidRDefault="00AC2131" w:rsidP="00AC2131">
                  <w:pPr>
                    <w:pStyle w:val="TableBodyText"/>
                    <w:spacing w:after="0"/>
                    <w:ind w:left="0" w:right="57"/>
                  </w:pPr>
                  <w:r>
                    <w:t>3.8</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8F08C9" w:rsidRDefault="00AC2131" w:rsidP="00AC2131">
                  <w:pPr>
                    <w:pStyle w:val="TableBodyText"/>
                    <w:spacing w:before="40" w:after="0"/>
                    <w:ind w:left="113"/>
                    <w:jc w:val="left"/>
                    <w:rPr>
                      <w:i/>
                    </w:rPr>
                  </w:pPr>
                  <w:r w:rsidRPr="008F08C9">
                    <w:rPr>
                      <w:i/>
                    </w:rPr>
                    <w:t>General export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8F08C9" w:rsidRDefault="00AC2131" w:rsidP="00AC2131">
                  <w:pPr>
                    <w:ind w:left="227"/>
                    <w:rPr>
                      <w:rFonts w:ascii="Arial" w:hAnsi="Arial" w:cs="Arial"/>
                      <w:color w:val="000000"/>
                      <w:sz w:val="18"/>
                      <w:szCs w:val="18"/>
                    </w:rPr>
                  </w:pPr>
                  <w:r w:rsidRPr="008F08C9">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0.3</w:t>
                  </w:r>
                </w:p>
              </w:tc>
              <w:tc>
                <w:tcPr>
                  <w:tcW w:w="466" w:type="pct"/>
                  <w:shd w:val="clear" w:color="auto" w:fill="auto"/>
                  <w:vAlign w:val="bottom"/>
                </w:tcPr>
                <w:p w:rsidR="00AC2131" w:rsidRDefault="00AC2131" w:rsidP="00AC2131">
                  <w:pPr>
                    <w:pStyle w:val="TableBodyText"/>
                    <w:spacing w:after="0"/>
                    <w:ind w:left="0" w:right="57"/>
                  </w:pPr>
                  <w:r>
                    <w:t>0.3</w:t>
                  </w:r>
                </w:p>
              </w:tc>
              <w:tc>
                <w:tcPr>
                  <w:tcW w:w="466" w:type="pct"/>
                  <w:shd w:val="clear" w:color="auto" w:fill="auto"/>
                  <w:vAlign w:val="bottom"/>
                </w:tcPr>
                <w:p w:rsidR="00AC2131" w:rsidRDefault="00AC2131" w:rsidP="00AC2131">
                  <w:pPr>
                    <w:pStyle w:val="TableBodyText"/>
                    <w:spacing w:after="0"/>
                    <w:ind w:left="0" w:right="57"/>
                  </w:pPr>
                  <w:r>
                    <w:t>0.4</w:t>
                  </w:r>
                </w:p>
              </w:tc>
            </w:tr>
            <w:tr w:rsidR="00AC2131" w:rsidTr="00AC2131">
              <w:tc>
                <w:tcPr>
                  <w:tcW w:w="2200" w:type="pct"/>
                  <w:shd w:val="clear" w:color="auto" w:fill="auto"/>
                  <w:vAlign w:val="bottom"/>
                </w:tcPr>
                <w:p w:rsidR="00AC2131" w:rsidRPr="008F08C9" w:rsidRDefault="00AC2131" w:rsidP="00AC2131">
                  <w:pPr>
                    <w:ind w:left="227"/>
                    <w:rPr>
                      <w:rFonts w:ascii="Arial" w:hAnsi="Arial" w:cs="Arial"/>
                      <w:color w:val="000000"/>
                      <w:sz w:val="18"/>
                      <w:szCs w:val="18"/>
                    </w:rPr>
                  </w:pPr>
                  <w:r w:rsidRPr="008F08C9">
                    <w:rPr>
                      <w:rFonts w:ascii="Arial" w:hAnsi="Arial" w:cs="Arial"/>
                      <w:color w:val="000000"/>
                      <w:sz w:val="18"/>
                      <w:szCs w:val="18"/>
                    </w:rPr>
                    <w:t>TRADEX</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6" w:type="pct"/>
                  <w:shd w:val="clear" w:color="auto" w:fill="auto"/>
                  <w:vAlign w:val="bottom"/>
                </w:tcPr>
                <w:p w:rsidR="00AC2131" w:rsidRDefault="00AC2131" w:rsidP="00AC2131">
                  <w:pPr>
                    <w:pStyle w:val="TableBodyText"/>
                    <w:spacing w:after="0"/>
                    <w:ind w:left="0" w:right="57"/>
                  </w:pPr>
                  <w:r>
                    <w:t>0.1</w:t>
                  </w:r>
                </w:p>
              </w:tc>
              <w:tc>
                <w:tcPr>
                  <w:tcW w:w="466"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tcPr>
                <w:p w:rsidR="00AC2131" w:rsidRPr="008F08C9" w:rsidRDefault="00AC2131" w:rsidP="00AC2131">
                  <w:pPr>
                    <w:pStyle w:val="TableBodyText"/>
                    <w:spacing w:before="40" w:after="0"/>
                    <w:ind w:left="113"/>
                    <w:jc w:val="left"/>
                    <w:rPr>
                      <w:i/>
                    </w:rPr>
                  </w:pPr>
                  <w:r w:rsidRPr="008F08C9">
                    <w:rPr>
                      <w:i/>
                    </w:rPr>
                    <w:t>General investment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spacing w:after="0"/>
                    <w:ind w:left="227" w:right="0"/>
                    <w:jc w:val="left"/>
                  </w:pPr>
                  <w:r w:rsidRPr="008F08C9">
                    <w:t>Infrastructure bonds scheme</w:t>
                  </w:r>
                </w:p>
              </w:tc>
              <w:tc>
                <w:tcPr>
                  <w:tcW w:w="467" w:type="pct"/>
                  <w:vAlign w:val="bottom"/>
                </w:tcPr>
                <w:p w:rsidR="00AC2131" w:rsidRDefault="00AC2131" w:rsidP="00AC2131">
                  <w:pPr>
                    <w:pStyle w:val="TableBodyText"/>
                    <w:spacing w:after="0"/>
                    <w:ind w:left="0" w:right="57"/>
                  </w:pPr>
                  <w:r>
                    <w:t>2.6</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C62010" w:rsidRDefault="00AC2131" w:rsidP="00AC2131">
                  <w:pPr>
                    <w:pStyle w:val="TableBodyText"/>
                    <w:spacing w:before="40" w:after="0"/>
                    <w:ind w:left="113"/>
                    <w:jc w:val="left"/>
                    <w:rPr>
                      <w:i/>
                    </w:rPr>
                  </w:pPr>
                  <w:r w:rsidRPr="00C62010">
                    <w:rPr>
                      <w:i/>
                    </w:rPr>
                    <w:t>General R&amp;D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sidRPr="005C1C04">
                    <w:rPr>
                      <w:rFonts w:ascii="Arial" w:hAnsi="Arial" w:cs="Arial"/>
                      <w:color w:val="000000"/>
                      <w:sz w:val="18"/>
                      <w:szCs w:val="18"/>
                    </w:rPr>
                    <w:t xml:space="preserve">Clean Business Australia </w:t>
                  </w:r>
                  <w:r>
                    <w:rPr>
                      <w:rFonts w:ascii="Arial" w:hAnsi="Arial" w:cs="Arial"/>
                      <w:color w:val="000000"/>
                      <w:sz w:val="18"/>
                      <w:szCs w:val="18"/>
                    </w:rPr>
                    <w:t>–</w:t>
                  </w:r>
                  <w:r w:rsidRPr="005C1C04">
                    <w:rPr>
                      <w:rFonts w:ascii="Arial" w:hAnsi="Arial" w:cs="Arial"/>
                      <w:color w:val="000000"/>
                      <w:sz w:val="18"/>
                      <w:szCs w:val="18"/>
                    </w:rPr>
                    <w:t xml:space="preserve"> Climate Ready Program</w:t>
                  </w:r>
                </w:p>
              </w:tc>
              <w:tc>
                <w:tcPr>
                  <w:tcW w:w="467"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3.3</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&lt;0.1</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sidRPr="005C1C04">
                    <w:rPr>
                      <w:rFonts w:ascii="Arial" w:hAnsi="Arial" w:cs="Arial"/>
                      <w:color w:val="000000"/>
                      <w:sz w:val="18"/>
                      <w:szCs w:val="18"/>
                    </w:rPr>
                    <w:t>Clean Technology Innovation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0.2</w:t>
                  </w:r>
                </w:p>
              </w:tc>
              <w:tc>
                <w:tcPr>
                  <w:tcW w:w="466" w:type="pct"/>
                  <w:shd w:val="clear" w:color="auto" w:fill="auto"/>
                  <w:vAlign w:val="bottom"/>
                </w:tcPr>
                <w:p w:rsidR="00AC2131" w:rsidRDefault="00AC2131" w:rsidP="00AC2131">
                  <w:pPr>
                    <w:pStyle w:val="TableBodyText"/>
                    <w:spacing w:after="0"/>
                    <w:ind w:left="0" w:right="57"/>
                  </w:pPr>
                  <w:r>
                    <w:t>4.3</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sidRPr="005C1C04">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sidRPr="005C1C04">
                    <w:rPr>
                      <w:rFonts w:ascii="Arial" w:hAnsi="Arial" w:cs="Arial"/>
                      <w:color w:val="000000"/>
                      <w:sz w:val="18"/>
                      <w:szCs w:val="18"/>
                    </w:rPr>
                    <w:t>Commercial Ready Program</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sidRPr="005C1C04">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0.9</w:t>
                  </w:r>
                </w:p>
              </w:tc>
              <w:tc>
                <w:tcPr>
                  <w:tcW w:w="466" w:type="pct"/>
                  <w:shd w:val="clear" w:color="auto" w:fill="auto"/>
                  <w:vAlign w:val="bottom"/>
                </w:tcPr>
                <w:p w:rsidR="00AC2131" w:rsidRDefault="00AC2131" w:rsidP="00AC2131">
                  <w:pPr>
                    <w:pStyle w:val="TableBodyText"/>
                    <w:spacing w:after="0"/>
                    <w:ind w:left="0" w:right="57"/>
                  </w:pPr>
                  <w:r>
                    <w:t>0.4</w:t>
                  </w:r>
                </w:p>
              </w:tc>
              <w:tc>
                <w:tcPr>
                  <w:tcW w:w="466" w:type="pct"/>
                  <w:shd w:val="clear" w:color="auto" w:fill="auto"/>
                  <w:vAlign w:val="bottom"/>
                </w:tcPr>
                <w:p w:rsidR="00AC2131" w:rsidRDefault="00AC2131" w:rsidP="00AC2131">
                  <w:pPr>
                    <w:pStyle w:val="TableBodyText"/>
                    <w:spacing w:after="0"/>
                    <w:ind w:left="0" w:right="57"/>
                  </w:pPr>
                  <w:r>
                    <w:t>2.3</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sidRPr="005C1C04">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32.4</w:t>
                  </w:r>
                </w:p>
              </w:tc>
              <w:tc>
                <w:tcPr>
                  <w:tcW w:w="467" w:type="pct"/>
                  <w:vAlign w:val="bottom"/>
                </w:tcPr>
                <w:p w:rsidR="00AC2131" w:rsidRDefault="00AC2131" w:rsidP="00AC2131">
                  <w:pPr>
                    <w:pStyle w:val="TableBodyText"/>
                    <w:spacing w:after="0"/>
                    <w:ind w:left="0" w:right="57"/>
                  </w:pPr>
                  <w:r>
                    <w:t>34.9</w:t>
                  </w:r>
                </w:p>
              </w:tc>
              <w:tc>
                <w:tcPr>
                  <w:tcW w:w="467" w:type="pct"/>
                  <w:vAlign w:val="bottom"/>
                </w:tcPr>
                <w:p w:rsidR="00AC2131" w:rsidRDefault="00AC2131" w:rsidP="00AC2131">
                  <w:pPr>
                    <w:pStyle w:val="TableBodyText"/>
                    <w:spacing w:after="0"/>
                    <w:ind w:left="0" w:right="57"/>
                  </w:pPr>
                  <w:r>
                    <w:t>35.7</w:t>
                  </w:r>
                </w:p>
              </w:tc>
              <w:tc>
                <w:tcPr>
                  <w:tcW w:w="467" w:type="pct"/>
                  <w:vAlign w:val="bottom"/>
                </w:tcPr>
                <w:p w:rsidR="00AC2131" w:rsidRDefault="00AC2131" w:rsidP="00AC2131">
                  <w:pPr>
                    <w:pStyle w:val="TableBodyText"/>
                    <w:spacing w:after="0"/>
                    <w:ind w:left="0" w:right="57"/>
                  </w:pPr>
                  <w:r>
                    <w:t>48.6</w:t>
                  </w:r>
                </w:p>
              </w:tc>
              <w:tc>
                <w:tcPr>
                  <w:tcW w:w="466" w:type="pct"/>
                  <w:shd w:val="clear" w:color="auto" w:fill="auto"/>
                  <w:vAlign w:val="bottom"/>
                </w:tcPr>
                <w:p w:rsidR="00AC2131" w:rsidRDefault="00AC2131" w:rsidP="00AC2131">
                  <w:pPr>
                    <w:pStyle w:val="TableBodyText"/>
                    <w:spacing w:after="0"/>
                    <w:ind w:left="0" w:right="57"/>
                  </w:pPr>
                  <w:r>
                    <w:t>52.0</w:t>
                  </w:r>
                </w:p>
              </w:tc>
              <w:tc>
                <w:tcPr>
                  <w:tcW w:w="466" w:type="pct"/>
                  <w:shd w:val="clear" w:color="auto" w:fill="auto"/>
                  <w:vAlign w:val="bottom"/>
                </w:tcPr>
                <w:p w:rsidR="00AC2131" w:rsidRDefault="00AC2131" w:rsidP="00AC2131">
                  <w:pPr>
                    <w:pStyle w:val="TableBodyText"/>
                    <w:spacing w:after="0"/>
                    <w:ind w:left="0" w:right="57"/>
                  </w:pPr>
                  <w:r>
                    <w:t>39.7</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sidRPr="005C1C04">
                    <w:rPr>
                      <w:rFonts w:ascii="Arial" w:hAnsi="Arial" w:cs="Arial"/>
                      <w:color w:val="000000"/>
                      <w:sz w:val="18"/>
                      <w:szCs w:val="18"/>
                    </w:rPr>
                    <w:t>Innovation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2.8</w:t>
                  </w:r>
                </w:p>
              </w:tc>
              <w:tc>
                <w:tcPr>
                  <w:tcW w:w="466" w:type="pct"/>
                  <w:shd w:val="clear" w:color="auto" w:fill="auto"/>
                  <w:vAlign w:val="bottom"/>
                </w:tcPr>
                <w:p w:rsidR="00AC2131" w:rsidRDefault="00AC2131" w:rsidP="00AC2131">
                  <w:pPr>
                    <w:pStyle w:val="TableBodyText"/>
                    <w:spacing w:after="0"/>
                    <w:ind w:left="0" w:right="57"/>
                  </w:pPr>
                  <w:r>
                    <w:t>3.3</w:t>
                  </w:r>
                </w:p>
              </w:tc>
              <w:tc>
                <w:tcPr>
                  <w:tcW w:w="466" w:type="pct"/>
                  <w:shd w:val="clear" w:color="auto" w:fill="auto"/>
                  <w:vAlign w:val="bottom"/>
                </w:tcPr>
                <w:p w:rsidR="00AC2131" w:rsidRDefault="00AC2131" w:rsidP="00AC2131">
                  <w:pPr>
                    <w:pStyle w:val="TableBodyText"/>
                    <w:spacing w:after="0"/>
                    <w:ind w:left="0" w:right="57"/>
                  </w:pPr>
                  <w:r>
                    <w:t>3.9</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sidRPr="005C1C04">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3.8</w:t>
                  </w:r>
                </w:p>
              </w:tc>
              <w:tc>
                <w:tcPr>
                  <w:tcW w:w="467" w:type="pct"/>
                  <w:vAlign w:val="bottom"/>
                </w:tcPr>
                <w:p w:rsidR="00AC2131" w:rsidRDefault="00AC2131" w:rsidP="00AC2131">
                  <w:pPr>
                    <w:pStyle w:val="TableBodyText"/>
                    <w:spacing w:after="0"/>
                    <w:ind w:left="0" w:right="57"/>
                  </w:pPr>
                  <w:r>
                    <w:t>10.5</w:t>
                  </w:r>
                </w:p>
              </w:tc>
              <w:tc>
                <w:tcPr>
                  <w:tcW w:w="467" w:type="pct"/>
                  <w:vAlign w:val="bottom"/>
                </w:tcPr>
                <w:p w:rsidR="00AC2131" w:rsidRDefault="00AC2131" w:rsidP="00AC2131">
                  <w:pPr>
                    <w:pStyle w:val="TableBodyText"/>
                    <w:spacing w:after="0"/>
                    <w:ind w:left="0" w:right="57"/>
                  </w:pPr>
                  <w:r>
                    <w:t>9.0</w:t>
                  </w:r>
                </w:p>
              </w:tc>
              <w:tc>
                <w:tcPr>
                  <w:tcW w:w="467" w:type="pct"/>
                  <w:vAlign w:val="bottom"/>
                </w:tcPr>
                <w:p w:rsidR="00AC2131" w:rsidRDefault="00AC2131" w:rsidP="00AC2131">
                  <w:pPr>
                    <w:pStyle w:val="TableBodyText"/>
                    <w:spacing w:after="0"/>
                    <w:ind w:left="0" w:right="57"/>
                  </w:pPr>
                  <w:r>
                    <w:t>13.5</w:t>
                  </w:r>
                </w:p>
              </w:tc>
              <w:tc>
                <w:tcPr>
                  <w:tcW w:w="466" w:type="pct"/>
                  <w:shd w:val="clear" w:color="auto" w:fill="auto"/>
                  <w:vAlign w:val="bottom"/>
                </w:tcPr>
                <w:p w:rsidR="00AC2131" w:rsidRDefault="00AC2131" w:rsidP="00AC2131">
                  <w:pPr>
                    <w:pStyle w:val="TableBodyText"/>
                    <w:spacing w:after="0"/>
                    <w:ind w:left="0" w:right="57"/>
                  </w:pPr>
                  <w:r>
                    <w:t>3.7</w:t>
                  </w:r>
                </w:p>
              </w:tc>
              <w:tc>
                <w:tcPr>
                  <w:tcW w:w="466" w:type="pct"/>
                  <w:shd w:val="clear" w:color="auto" w:fill="auto"/>
                  <w:vAlign w:val="bottom"/>
                </w:tcPr>
                <w:p w:rsidR="00AC2131" w:rsidRDefault="00AC2131" w:rsidP="00AC2131">
                  <w:pPr>
                    <w:pStyle w:val="TableBodyText"/>
                    <w:spacing w:after="0"/>
                    <w:ind w:left="0" w:right="57"/>
                  </w:pPr>
                  <w:r>
                    <w:t>1.5</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sidRPr="005C1C04">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8.5</w:t>
                  </w:r>
                </w:p>
              </w:tc>
              <w:tc>
                <w:tcPr>
                  <w:tcW w:w="467" w:type="pct"/>
                  <w:vAlign w:val="bottom"/>
                </w:tcPr>
                <w:p w:rsidR="00AC2131" w:rsidRDefault="00AC2131" w:rsidP="00AC2131">
                  <w:pPr>
                    <w:pStyle w:val="TableBodyText"/>
                    <w:spacing w:after="0"/>
                    <w:ind w:left="0" w:right="57"/>
                  </w:pPr>
                  <w:r>
                    <w:t>17.7</w:t>
                  </w:r>
                </w:p>
              </w:tc>
              <w:tc>
                <w:tcPr>
                  <w:tcW w:w="467" w:type="pct"/>
                  <w:vAlign w:val="bottom"/>
                </w:tcPr>
                <w:p w:rsidR="00AC2131" w:rsidRDefault="00AC2131" w:rsidP="00AC2131">
                  <w:pPr>
                    <w:pStyle w:val="TableBodyText"/>
                    <w:spacing w:after="0"/>
                    <w:ind w:left="0" w:right="57"/>
                  </w:pPr>
                  <w:r>
                    <w:t>17.7</w:t>
                  </w:r>
                </w:p>
              </w:tc>
              <w:tc>
                <w:tcPr>
                  <w:tcW w:w="467" w:type="pct"/>
                  <w:vAlign w:val="bottom"/>
                </w:tcPr>
                <w:p w:rsidR="00AC2131" w:rsidRDefault="00AC2131" w:rsidP="00AC2131">
                  <w:pPr>
                    <w:pStyle w:val="TableBodyText"/>
                    <w:spacing w:after="0"/>
                    <w:ind w:left="0" w:right="57"/>
                  </w:pPr>
                  <w:r>
                    <w:t>19.3</w:t>
                  </w:r>
                </w:p>
              </w:tc>
              <w:tc>
                <w:tcPr>
                  <w:tcW w:w="466" w:type="pct"/>
                  <w:shd w:val="clear" w:color="auto" w:fill="auto"/>
                  <w:vAlign w:val="bottom"/>
                </w:tcPr>
                <w:p w:rsidR="00AC2131" w:rsidRDefault="00AC2131" w:rsidP="00AC2131">
                  <w:pPr>
                    <w:pStyle w:val="TableBodyText"/>
                    <w:spacing w:after="0"/>
                    <w:ind w:left="0" w:right="57"/>
                  </w:pPr>
                  <w:r>
                    <w:t>8.6</w:t>
                  </w:r>
                </w:p>
              </w:tc>
              <w:tc>
                <w:tcPr>
                  <w:tcW w:w="466" w:type="pct"/>
                  <w:shd w:val="clear" w:color="auto" w:fill="auto"/>
                  <w:vAlign w:val="bottom"/>
                </w:tcPr>
                <w:p w:rsidR="00AC2131" w:rsidRDefault="00AC2131" w:rsidP="00AC2131">
                  <w:pPr>
                    <w:pStyle w:val="TableBodyText"/>
                    <w:spacing w:after="0"/>
                    <w:ind w:left="0" w:right="57"/>
                  </w:pPr>
                  <w:r>
                    <w:t>2.9</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-3.6</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17.8</w:t>
                  </w:r>
                </w:p>
              </w:tc>
              <w:tc>
                <w:tcPr>
                  <w:tcW w:w="466" w:type="pct"/>
                  <w:shd w:val="clear" w:color="auto" w:fill="auto"/>
                  <w:vAlign w:val="bottom"/>
                </w:tcPr>
                <w:p w:rsidR="00AC2131" w:rsidRDefault="00AC2131" w:rsidP="00AC2131">
                  <w:pPr>
                    <w:pStyle w:val="TableBodyText"/>
                    <w:spacing w:after="0"/>
                    <w:ind w:left="0" w:right="57"/>
                  </w:pPr>
                  <w:r>
                    <w:t>24.2</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6.7</w:t>
                  </w:r>
                </w:p>
              </w:tc>
              <w:tc>
                <w:tcPr>
                  <w:tcW w:w="466" w:type="pct"/>
                  <w:shd w:val="clear" w:color="auto" w:fill="auto"/>
                  <w:vAlign w:val="bottom"/>
                </w:tcPr>
                <w:p w:rsidR="00AC2131" w:rsidRDefault="00AC2131" w:rsidP="00AC2131">
                  <w:pPr>
                    <w:pStyle w:val="TableBodyText"/>
                    <w:spacing w:after="0"/>
                    <w:ind w:left="0" w:right="57"/>
                  </w:pPr>
                  <w:r>
                    <w:t>12.0</w:t>
                  </w:r>
                </w:p>
              </w:tc>
            </w:tr>
            <w:tr w:rsidR="00AC2131" w:rsidTr="00AC2131">
              <w:tc>
                <w:tcPr>
                  <w:tcW w:w="2200" w:type="pct"/>
                  <w:shd w:val="clear" w:color="auto" w:fill="auto"/>
                  <w:vAlign w:val="bottom"/>
                </w:tcPr>
                <w:p w:rsidR="00AC2131" w:rsidRPr="005C1C04"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7.1</w:t>
                  </w:r>
                </w:p>
              </w:tc>
              <w:tc>
                <w:tcPr>
                  <w:tcW w:w="467" w:type="pct"/>
                  <w:vAlign w:val="bottom"/>
                </w:tcPr>
                <w:p w:rsidR="00AC2131" w:rsidRDefault="00AC2131" w:rsidP="00AC2131">
                  <w:pPr>
                    <w:pStyle w:val="TableBodyText"/>
                    <w:spacing w:after="0"/>
                    <w:ind w:left="0" w:right="57"/>
                  </w:pPr>
                  <w:r>
                    <w:t>9.6</w:t>
                  </w:r>
                </w:p>
              </w:tc>
              <w:tc>
                <w:tcPr>
                  <w:tcW w:w="467" w:type="pct"/>
                  <w:vAlign w:val="bottom"/>
                </w:tcPr>
                <w:p w:rsidR="00AC2131" w:rsidRDefault="00AC2131" w:rsidP="00AC2131">
                  <w:pPr>
                    <w:pStyle w:val="TableBodyText"/>
                    <w:spacing w:after="0"/>
                    <w:ind w:left="0" w:right="57"/>
                  </w:pPr>
                  <w:r>
                    <w:t>7.7</w:t>
                  </w:r>
                </w:p>
              </w:tc>
              <w:tc>
                <w:tcPr>
                  <w:tcW w:w="467" w:type="pct"/>
                  <w:vAlign w:val="bottom"/>
                </w:tcPr>
                <w:p w:rsidR="00AC2131" w:rsidRDefault="00AC2131" w:rsidP="00AC2131">
                  <w:pPr>
                    <w:pStyle w:val="TableBodyText"/>
                    <w:spacing w:after="0"/>
                    <w:ind w:left="0" w:right="57"/>
                  </w:pPr>
                  <w:r>
                    <w:t>8.6</w:t>
                  </w:r>
                </w:p>
              </w:tc>
              <w:tc>
                <w:tcPr>
                  <w:tcW w:w="466"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tcBorders>
                    <w:bottom w:val="single" w:sz="6" w:space="0" w:color="BFBFBF"/>
                  </w:tcBorders>
                  <w:shd w:val="clear" w:color="auto" w:fill="auto"/>
                </w:tcPr>
                <w:p w:rsidR="00AC2131" w:rsidRPr="005C1C04" w:rsidRDefault="00AC2131" w:rsidP="00AC2131">
                  <w:pPr>
                    <w:ind w:left="227"/>
                    <w:rPr>
                      <w:rFonts w:ascii="Arial" w:hAnsi="Arial" w:cs="Arial"/>
                      <w:sz w:val="18"/>
                      <w:szCs w:val="18"/>
                    </w:rPr>
                  </w:pPr>
                  <w:r w:rsidRPr="005C1C04">
                    <w:rPr>
                      <w:rFonts w:ascii="Arial" w:hAnsi="Arial" w:cs="Arial"/>
                      <w:sz w:val="18"/>
                      <w:szCs w:val="18"/>
                    </w:rPr>
                    <w:t>Renewable Energy Development Initiative</w:t>
                  </w:r>
                </w:p>
              </w:tc>
              <w:tc>
                <w:tcPr>
                  <w:tcW w:w="467" w:type="pct"/>
                  <w:tcBorders>
                    <w:bottom w:val="single" w:sz="6" w:space="0" w:color="BFBFBF"/>
                  </w:tcBorders>
                  <w:vAlign w:val="bottom"/>
                </w:tcPr>
                <w:p w:rsidR="00AC2131" w:rsidRDefault="00AC2131" w:rsidP="00AC2131">
                  <w:pPr>
                    <w:pStyle w:val="TableBodyText"/>
                    <w:spacing w:after="0"/>
                    <w:ind w:left="0" w:right="57"/>
                  </w:pPr>
                  <w:r>
                    <w:t>6.1</w:t>
                  </w:r>
                </w:p>
              </w:tc>
              <w:tc>
                <w:tcPr>
                  <w:tcW w:w="467" w:type="pct"/>
                  <w:tcBorders>
                    <w:bottom w:val="single" w:sz="6" w:space="0" w:color="BFBFBF"/>
                  </w:tcBorders>
                  <w:vAlign w:val="bottom"/>
                </w:tcPr>
                <w:p w:rsidR="00AC2131" w:rsidRDefault="00AC2131" w:rsidP="00AC2131">
                  <w:pPr>
                    <w:pStyle w:val="TableBodyText"/>
                    <w:spacing w:after="0"/>
                    <w:ind w:left="0" w:right="57"/>
                  </w:pPr>
                  <w:r>
                    <w:t>2.3</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6"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6"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499"/>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8"/>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4" w:type="dxa"/>
              <w:tblCellMar>
                <w:top w:w="28" w:type="dxa"/>
                <w:left w:w="0" w:type="dxa"/>
                <w:right w:w="0" w:type="dxa"/>
              </w:tblCellMar>
              <w:tblLook w:val="0000" w:firstRow="0" w:lastRow="0" w:firstColumn="0" w:lastColumn="0" w:noHBand="0" w:noVBand="0"/>
            </w:tblPr>
            <w:tblGrid>
              <w:gridCol w:w="3742"/>
              <w:gridCol w:w="793"/>
              <w:gridCol w:w="794"/>
              <w:gridCol w:w="794"/>
              <w:gridCol w:w="794"/>
              <w:gridCol w:w="794"/>
              <w:gridCol w:w="793"/>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6"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6"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C62010" w:rsidRDefault="00AC2131" w:rsidP="00AC2131">
                  <w:pPr>
                    <w:pStyle w:val="TableUnitsRow"/>
                    <w:spacing w:after="0"/>
                    <w:ind w:left="113"/>
                    <w:jc w:val="left"/>
                    <w:rPr>
                      <w:i/>
                    </w:rPr>
                  </w:pPr>
                  <w:r w:rsidRPr="00C62010">
                    <w:rPr>
                      <w:i/>
                    </w:rPr>
                    <w:t>Other measures</w:t>
                  </w:r>
                </w:p>
              </w:tc>
              <w:tc>
                <w:tcPr>
                  <w:tcW w:w="466"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6"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vAlign w:val="bottom"/>
                </w:tcPr>
                <w:p w:rsidR="00AC2131" w:rsidRPr="00C62010" w:rsidRDefault="00AC2131" w:rsidP="00AC2131">
                  <w:pPr>
                    <w:ind w:left="227"/>
                    <w:rPr>
                      <w:rFonts w:ascii="Arial" w:hAnsi="Arial" w:cs="Arial"/>
                      <w:color w:val="000000"/>
                      <w:sz w:val="18"/>
                      <w:szCs w:val="18"/>
                    </w:rPr>
                  </w:pPr>
                  <w:r w:rsidRPr="00C62010">
                    <w:rPr>
                      <w:rFonts w:ascii="Arial" w:hAnsi="Arial" w:cs="Arial"/>
                      <w:color w:val="000000"/>
                      <w:sz w:val="18"/>
                      <w:szCs w:val="18"/>
                    </w:rPr>
                    <w:t>25 per cent entrepreneurs' tax offset</w:t>
                  </w:r>
                </w:p>
              </w:tc>
              <w:tc>
                <w:tcPr>
                  <w:tcW w:w="466"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0.4</w:t>
                  </w:r>
                </w:p>
              </w:tc>
              <w:tc>
                <w:tcPr>
                  <w:tcW w:w="466" w:type="pct"/>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C62010" w:rsidRDefault="00AC2131" w:rsidP="00AC2131">
                  <w:pPr>
                    <w:ind w:left="227"/>
                    <w:rPr>
                      <w:rFonts w:ascii="Arial" w:hAnsi="Arial" w:cs="Arial"/>
                      <w:color w:val="000000"/>
                      <w:sz w:val="18"/>
                      <w:szCs w:val="18"/>
                    </w:rPr>
                  </w:pPr>
                  <w:r w:rsidRPr="00C62010">
                    <w:rPr>
                      <w:rFonts w:ascii="Arial" w:hAnsi="Arial" w:cs="Arial"/>
                      <w:color w:val="000000"/>
                      <w:sz w:val="18"/>
                      <w:szCs w:val="18"/>
                    </w:rPr>
                    <w:t>Enterprise Connect Innovation Centres</w:t>
                  </w:r>
                </w:p>
              </w:tc>
              <w:tc>
                <w:tcPr>
                  <w:tcW w:w="466"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0.2</w:t>
                  </w:r>
                </w:p>
              </w:tc>
              <w:tc>
                <w:tcPr>
                  <w:tcW w:w="466"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C62010" w:rsidRDefault="00AC2131" w:rsidP="00AC2131">
                  <w:pPr>
                    <w:ind w:left="227"/>
                    <w:rPr>
                      <w:rFonts w:ascii="Arial" w:hAnsi="Arial" w:cs="Arial"/>
                      <w:color w:val="000000"/>
                      <w:sz w:val="18"/>
                      <w:szCs w:val="18"/>
                    </w:rPr>
                  </w:pPr>
                  <w:r w:rsidRPr="00C62010">
                    <w:rPr>
                      <w:rFonts w:ascii="Arial" w:hAnsi="Arial" w:cs="Arial"/>
                      <w:color w:val="000000"/>
                      <w:sz w:val="18"/>
                      <w:szCs w:val="18"/>
                    </w:rPr>
                    <w:t>Illawarra Region Innovation and Investment Fund</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1.2</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C62010" w:rsidRDefault="00AC2131" w:rsidP="00AC2131">
                  <w:pPr>
                    <w:ind w:left="227"/>
                    <w:rPr>
                      <w:rFonts w:ascii="Arial" w:hAnsi="Arial" w:cs="Arial"/>
                      <w:color w:val="000000"/>
                      <w:sz w:val="18"/>
                      <w:szCs w:val="18"/>
                    </w:rPr>
                  </w:pPr>
                  <w:r w:rsidRPr="00C62010">
                    <w:rPr>
                      <w:rFonts w:ascii="Arial" w:hAnsi="Arial" w:cs="Arial"/>
                      <w:color w:val="000000"/>
                      <w:sz w:val="18"/>
                      <w:szCs w:val="18"/>
                    </w:rPr>
                    <w:t>Industry Cooperative Innovation Program</w:t>
                  </w:r>
                </w:p>
              </w:tc>
              <w:tc>
                <w:tcPr>
                  <w:tcW w:w="466"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C62010" w:rsidRDefault="00AC2131" w:rsidP="00AC2131">
                  <w:pPr>
                    <w:ind w:left="227"/>
                    <w:rPr>
                      <w:rFonts w:ascii="Arial" w:hAnsi="Arial" w:cs="Arial"/>
                      <w:color w:val="000000"/>
                      <w:sz w:val="18"/>
                      <w:szCs w:val="18"/>
                    </w:rPr>
                  </w:pPr>
                  <w:r w:rsidRPr="00C62010">
                    <w:rPr>
                      <w:rFonts w:ascii="Arial" w:hAnsi="Arial" w:cs="Arial"/>
                      <w:color w:val="000000"/>
                      <w:sz w:val="18"/>
                      <w:szCs w:val="18"/>
                    </w:rPr>
                    <w:t>Innovation Investment Fund for South Australia</w:t>
                  </w:r>
                </w:p>
              </w:tc>
              <w:tc>
                <w:tcPr>
                  <w:tcW w:w="466"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C62010"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6"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-0.1</w:t>
                  </w:r>
                </w:p>
              </w:tc>
              <w:tc>
                <w:tcPr>
                  <w:tcW w:w="466" w:type="pct"/>
                  <w:shd w:val="clear" w:color="auto" w:fill="auto"/>
                  <w:vAlign w:val="bottom"/>
                </w:tcPr>
                <w:p w:rsidR="00AC2131" w:rsidRDefault="00AC2131" w:rsidP="00AC2131">
                  <w:pPr>
                    <w:pStyle w:val="TableBodyText"/>
                    <w:spacing w:after="0"/>
                    <w:ind w:left="0" w:right="57"/>
                  </w:pPr>
                  <w:r>
                    <w:t>3.6</w:t>
                  </w:r>
                </w:p>
              </w:tc>
            </w:tr>
            <w:tr w:rsidR="00AC2131" w:rsidTr="00AC2131">
              <w:tc>
                <w:tcPr>
                  <w:tcW w:w="2200" w:type="pct"/>
                  <w:shd w:val="clear" w:color="auto" w:fill="auto"/>
                  <w:vAlign w:val="bottom"/>
                </w:tcPr>
                <w:p w:rsidR="00AC2131" w:rsidRPr="00C62010" w:rsidRDefault="00AC2131" w:rsidP="00AC2131">
                  <w:pPr>
                    <w:ind w:left="227"/>
                    <w:rPr>
                      <w:rFonts w:ascii="Arial" w:hAnsi="Arial" w:cs="Arial"/>
                      <w:color w:val="000000"/>
                      <w:sz w:val="18"/>
                      <w:szCs w:val="18"/>
                    </w:rPr>
                  </w:pPr>
                  <w:r w:rsidRPr="00C62010">
                    <w:rPr>
                      <w:rFonts w:ascii="Arial" w:hAnsi="Arial" w:cs="Arial"/>
                      <w:color w:val="000000"/>
                      <w:sz w:val="18"/>
                      <w:szCs w:val="18"/>
                    </w:rPr>
                    <w:t xml:space="preserve">Small business </w:t>
                  </w:r>
                  <w:r>
                    <w:rPr>
                      <w:rFonts w:ascii="Arial" w:hAnsi="Arial" w:cs="Arial"/>
                      <w:color w:val="000000"/>
                      <w:sz w:val="18"/>
                      <w:szCs w:val="18"/>
                    </w:rPr>
                    <w:t>capital gains tax</w:t>
                  </w:r>
                  <w:r w:rsidRPr="00C62010">
                    <w:rPr>
                      <w:rFonts w:ascii="Arial" w:hAnsi="Arial" w:cs="Arial"/>
                      <w:color w:val="000000"/>
                      <w:sz w:val="18"/>
                      <w:szCs w:val="18"/>
                    </w:rPr>
                    <w:t xml:space="preserve"> 50 per cent reduction</w:t>
                  </w:r>
                </w:p>
              </w:tc>
              <w:tc>
                <w:tcPr>
                  <w:tcW w:w="466"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2.7</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0.5</w:t>
                  </w:r>
                </w:p>
              </w:tc>
              <w:tc>
                <w:tcPr>
                  <w:tcW w:w="466" w:type="pct"/>
                  <w:shd w:val="clear" w:color="auto" w:fill="auto"/>
                  <w:vAlign w:val="bottom"/>
                </w:tcPr>
                <w:p w:rsidR="00AC2131" w:rsidRDefault="00AC2131" w:rsidP="00AC2131">
                  <w:pPr>
                    <w:pStyle w:val="TableBodyText"/>
                    <w:spacing w:after="0"/>
                    <w:ind w:left="0" w:right="57"/>
                  </w:pPr>
                  <w:r>
                    <w:t>0.5</w:t>
                  </w:r>
                </w:p>
              </w:tc>
            </w:tr>
            <w:tr w:rsidR="00AC2131" w:rsidTr="00AC2131">
              <w:tc>
                <w:tcPr>
                  <w:tcW w:w="2200" w:type="pct"/>
                  <w:shd w:val="clear" w:color="auto" w:fill="auto"/>
                  <w:vAlign w:val="bottom"/>
                </w:tcPr>
                <w:p w:rsidR="00AC2131" w:rsidRPr="00C62010" w:rsidRDefault="00AC2131" w:rsidP="00AC2131">
                  <w:pPr>
                    <w:ind w:left="227"/>
                    <w:rPr>
                      <w:rFonts w:ascii="Arial" w:hAnsi="Arial" w:cs="Arial"/>
                      <w:color w:val="000000"/>
                      <w:sz w:val="18"/>
                      <w:szCs w:val="18"/>
                    </w:rPr>
                  </w:pPr>
                  <w:r w:rsidRPr="00C62010">
                    <w:rPr>
                      <w:rFonts w:ascii="Arial" w:hAnsi="Arial" w:cs="Arial"/>
                      <w:color w:val="000000"/>
                      <w:sz w:val="18"/>
                      <w:szCs w:val="18"/>
                    </w:rPr>
                    <w:t xml:space="preserve">Small business </w:t>
                  </w:r>
                  <w:r>
                    <w:rPr>
                      <w:rFonts w:ascii="Arial" w:hAnsi="Arial" w:cs="Arial"/>
                      <w:color w:val="000000"/>
                      <w:sz w:val="18"/>
                      <w:szCs w:val="18"/>
                    </w:rPr>
                    <w:t>capital gains tax</w:t>
                  </w:r>
                  <w:r w:rsidRPr="00C62010">
                    <w:rPr>
                      <w:rFonts w:ascii="Arial" w:hAnsi="Arial" w:cs="Arial"/>
                      <w:color w:val="000000"/>
                      <w:sz w:val="18"/>
                      <w:szCs w:val="18"/>
                    </w:rPr>
                    <w:t xml:space="preserve"> retirement exemption</w:t>
                  </w:r>
                </w:p>
              </w:tc>
              <w:tc>
                <w:tcPr>
                  <w:tcW w:w="466"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1.5</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C62010" w:rsidRDefault="00AC2131" w:rsidP="00AC2131">
                  <w:pPr>
                    <w:ind w:left="227"/>
                    <w:rPr>
                      <w:rFonts w:ascii="Arial" w:hAnsi="Arial" w:cs="Arial"/>
                      <w:color w:val="000000"/>
                      <w:sz w:val="18"/>
                      <w:szCs w:val="18"/>
                    </w:rPr>
                  </w:pPr>
                  <w:r w:rsidRPr="00C62010">
                    <w:rPr>
                      <w:rFonts w:ascii="Arial" w:hAnsi="Arial" w:cs="Arial"/>
                      <w:color w:val="000000"/>
                      <w:sz w:val="18"/>
                      <w:szCs w:val="18"/>
                    </w:rPr>
                    <w:t>South East South Australia Innovation and Investment Fund</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0.1</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C62010" w:rsidRDefault="00AC2131" w:rsidP="00AC2131">
                  <w:pPr>
                    <w:ind w:left="227"/>
                    <w:rPr>
                      <w:rFonts w:ascii="Arial" w:hAnsi="Arial" w:cs="Arial"/>
                      <w:color w:val="000000"/>
                      <w:sz w:val="18"/>
                      <w:szCs w:val="18"/>
                    </w:rPr>
                  </w:pPr>
                  <w:r w:rsidRPr="00C62010">
                    <w:rPr>
                      <w:rFonts w:ascii="Arial" w:hAnsi="Arial" w:cs="Arial"/>
                      <w:color w:val="000000"/>
                      <w:sz w:val="18"/>
                      <w:szCs w:val="18"/>
                    </w:rPr>
                    <w:t>The Small Business and General Business Tax Break</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22.8</w:t>
                  </w:r>
                </w:p>
              </w:tc>
              <w:tc>
                <w:tcPr>
                  <w:tcW w:w="467" w:type="pct"/>
                  <w:vAlign w:val="bottom"/>
                </w:tcPr>
                <w:p w:rsidR="00AC2131" w:rsidRDefault="00AC2131" w:rsidP="00AC2131">
                  <w:pPr>
                    <w:pStyle w:val="TableBodyText"/>
                    <w:spacing w:after="0"/>
                    <w:ind w:left="0" w:right="57"/>
                  </w:pPr>
                  <w:r>
                    <w:t>358.3</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9B05D9" w:rsidRDefault="00AC2131" w:rsidP="00AC2131">
                  <w:pPr>
                    <w:pStyle w:val="TableBodyText"/>
                    <w:spacing w:before="20" w:after="20"/>
                    <w:jc w:val="left"/>
                    <w:rPr>
                      <w:i/>
                    </w:rPr>
                  </w:pPr>
                  <w:r w:rsidRPr="009B05D9">
                    <w:rPr>
                      <w:i/>
                    </w:rPr>
                    <w:t>Total</w:t>
                  </w:r>
                </w:p>
              </w:tc>
              <w:tc>
                <w:tcPr>
                  <w:tcW w:w="466" w:type="pct"/>
                  <w:vAlign w:val="bottom"/>
                </w:tcPr>
                <w:p w:rsidR="00AC2131" w:rsidRPr="000507F8" w:rsidRDefault="00AC2131" w:rsidP="00AC2131">
                  <w:pPr>
                    <w:pStyle w:val="TableBodyText"/>
                    <w:spacing w:before="20" w:after="20"/>
                    <w:ind w:left="0" w:right="57"/>
                    <w:rPr>
                      <w:i/>
                    </w:rPr>
                  </w:pPr>
                  <w:r w:rsidRPr="000507F8">
                    <w:rPr>
                      <w:i/>
                    </w:rPr>
                    <w:t>107.5</w:t>
                  </w:r>
                </w:p>
              </w:tc>
              <w:tc>
                <w:tcPr>
                  <w:tcW w:w="467" w:type="pct"/>
                  <w:vAlign w:val="bottom"/>
                </w:tcPr>
                <w:p w:rsidR="00AC2131" w:rsidRPr="000507F8" w:rsidRDefault="00AC2131" w:rsidP="00AC2131">
                  <w:pPr>
                    <w:pStyle w:val="TableBodyText"/>
                    <w:spacing w:before="20" w:after="20"/>
                    <w:ind w:left="0" w:right="57"/>
                    <w:rPr>
                      <w:i/>
                    </w:rPr>
                  </w:pPr>
                  <w:r w:rsidRPr="000507F8">
                    <w:rPr>
                      <w:i/>
                    </w:rPr>
                    <w:t>174.3</w:t>
                  </w:r>
                </w:p>
              </w:tc>
              <w:tc>
                <w:tcPr>
                  <w:tcW w:w="467" w:type="pct"/>
                  <w:vAlign w:val="bottom"/>
                </w:tcPr>
                <w:p w:rsidR="00AC2131" w:rsidRPr="000507F8" w:rsidRDefault="00AC2131" w:rsidP="00AC2131">
                  <w:pPr>
                    <w:pStyle w:val="TableBodyText"/>
                    <w:spacing w:before="20" w:after="20"/>
                    <w:ind w:left="0" w:right="57"/>
                    <w:rPr>
                      <w:i/>
                    </w:rPr>
                  </w:pPr>
                  <w:r w:rsidRPr="000507F8">
                    <w:rPr>
                      <w:i/>
                    </w:rPr>
                    <w:t>460.2</w:t>
                  </w:r>
                </w:p>
              </w:tc>
              <w:tc>
                <w:tcPr>
                  <w:tcW w:w="467" w:type="pct"/>
                  <w:vAlign w:val="bottom"/>
                </w:tcPr>
                <w:p w:rsidR="00AC2131" w:rsidRPr="000507F8" w:rsidRDefault="00AC2131" w:rsidP="00AC2131">
                  <w:pPr>
                    <w:pStyle w:val="TableBodyText"/>
                    <w:spacing w:before="20" w:after="20"/>
                    <w:ind w:left="0" w:right="57"/>
                    <w:rPr>
                      <w:i/>
                    </w:rPr>
                  </w:pPr>
                  <w:r w:rsidRPr="000507F8">
                    <w:rPr>
                      <w:i/>
                    </w:rPr>
                    <w:t>1106.1</w:t>
                  </w:r>
                </w:p>
              </w:tc>
              <w:tc>
                <w:tcPr>
                  <w:tcW w:w="467" w:type="pct"/>
                  <w:shd w:val="clear" w:color="auto" w:fill="auto"/>
                  <w:vAlign w:val="bottom"/>
                </w:tcPr>
                <w:p w:rsidR="00AC2131" w:rsidRPr="000507F8" w:rsidRDefault="00AC2131" w:rsidP="00AC2131">
                  <w:pPr>
                    <w:pStyle w:val="TableBodyText"/>
                    <w:spacing w:before="20" w:after="20"/>
                    <w:ind w:left="0" w:right="57"/>
                    <w:rPr>
                      <w:i/>
                    </w:rPr>
                  </w:pPr>
                  <w:r w:rsidRPr="000507F8">
                    <w:rPr>
                      <w:i/>
                    </w:rPr>
                    <w:t>118.2</w:t>
                  </w:r>
                </w:p>
              </w:tc>
              <w:tc>
                <w:tcPr>
                  <w:tcW w:w="466" w:type="pct"/>
                  <w:shd w:val="clear" w:color="auto" w:fill="auto"/>
                  <w:vAlign w:val="bottom"/>
                </w:tcPr>
                <w:p w:rsidR="00AC2131" w:rsidRPr="000507F8" w:rsidRDefault="00AC2131" w:rsidP="00AC2131">
                  <w:pPr>
                    <w:pStyle w:val="TableBodyText"/>
                    <w:spacing w:before="20" w:after="20"/>
                    <w:ind w:left="0" w:right="57"/>
                    <w:rPr>
                      <w:i/>
                    </w:rPr>
                  </w:pPr>
                  <w:r w:rsidRPr="000507F8">
                    <w:rPr>
                      <w:i/>
                    </w:rPr>
                    <w:t>230.4</w:t>
                  </w:r>
                </w:p>
              </w:tc>
            </w:tr>
            <w:tr w:rsidR="00AC2131" w:rsidTr="00AC2131">
              <w:tc>
                <w:tcPr>
                  <w:tcW w:w="2200" w:type="pct"/>
                  <w:shd w:val="clear" w:color="auto" w:fill="auto"/>
                </w:tcPr>
                <w:p w:rsidR="00AC2131" w:rsidRPr="009B05D9" w:rsidRDefault="00AC2131" w:rsidP="00AC2131">
                  <w:pPr>
                    <w:pStyle w:val="TableBodyText"/>
                    <w:spacing w:before="40"/>
                    <w:jc w:val="left"/>
                    <w:rPr>
                      <w:b/>
                    </w:rPr>
                  </w:pPr>
                  <w:r w:rsidRPr="009B05D9">
                    <w:rPr>
                      <w:b/>
                    </w:rPr>
                    <w:t>Construction</w:t>
                  </w:r>
                </w:p>
              </w:tc>
              <w:tc>
                <w:tcPr>
                  <w:tcW w:w="466"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6" w:type="pct"/>
                  <w:shd w:val="clear" w:color="auto" w:fill="auto"/>
                </w:tcPr>
                <w:p w:rsidR="00AC2131" w:rsidRDefault="00AC2131" w:rsidP="00AC2131">
                  <w:pPr>
                    <w:pStyle w:val="TableBodyText"/>
                    <w:spacing w:before="40"/>
                    <w:ind w:right="28"/>
                  </w:pPr>
                </w:p>
              </w:tc>
            </w:tr>
            <w:tr w:rsidR="00AC2131" w:rsidTr="00AC2131">
              <w:tc>
                <w:tcPr>
                  <w:tcW w:w="2200" w:type="pct"/>
                  <w:shd w:val="clear" w:color="auto" w:fill="auto"/>
                </w:tcPr>
                <w:p w:rsidR="00AC2131" w:rsidRPr="009B05D9" w:rsidRDefault="00AC2131" w:rsidP="00AC2131">
                  <w:pPr>
                    <w:pStyle w:val="TableBodyText"/>
                    <w:spacing w:before="40" w:after="0"/>
                    <w:ind w:left="113"/>
                    <w:jc w:val="left"/>
                    <w:rPr>
                      <w:i/>
                    </w:rPr>
                  </w:pPr>
                  <w:r w:rsidRPr="009B05D9">
                    <w:rPr>
                      <w:i/>
                    </w:rPr>
                    <w:t>Sector-specific measures</w:t>
                  </w:r>
                </w:p>
              </w:tc>
              <w:tc>
                <w:tcPr>
                  <w:tcW w:w="466"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spacing w:after="0"/>
                    <w:ind w:left="227" w:right="0"/>
                    <w:jc w:val="left"/>
                  </w:pPr>
                  <w:r w:rsidRPr="009B05D9">
                    <w:t xml:space="preserve">Clean Technology Investment </w:t>
                  </w:r>
                  <w:r>
                    <w:t>–</w:t>
                  </w:r>
                  <w:r w:rsidRPr="009B05D9">
                    <w:t xml:space="preserve"> General Program</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4.0</w:t>
                  </w:r>
                </w:p>
              </w:tc>
              <w:tc>
                <w:tcPr>
                  <w:tcW w:w="466" w:type="pct"/>
                  <w:shd w:val="clear" w:color="auto" w:fill="auto"/>
                  <w:vAlign w:val="bottom"/>
                </w:tcPr>
                <w:p w:rsidR="00AC2131" w:rsidRDefault="00AC2131" w:rsidP="00AC2131">
                  <w:pPr>
                    <w:pStyle w:val="TableBodyText"/>
                    <w:spacing w:after="0"/>
                    <w:ind w:left="0" w:right="57"/>
                  </w:pPr>
                  <w:r>
                    <w:t>1.8</w:t>
                  </w:r>
                </w:p>
              </w:tc>
            </w:tr>
            <w:tr w:rsidR="00AC2131" w:rsidTr="00AC2131">
              <w:tc>
                <w:tcPr>
                  <w:tcW w:w="2200" w:type="pct"/>
                  <w:shd w:val="clear" w:color="auto" w:fill="auto"/>
                </w:tcPr>
                <w:p w:rsidR="00AC2131" w:rsidRPr="009B05D9" w:rsidRDefault="00AC2131" w:rsidP="00AC2131">
                  <w:pPr>
                    <w:pStyle w:val="TableBodyText"/>
                    <w:spacing w:before="40" w:after="0"/>
                    <w:ind w:left="113"/>
                    <w:jc w:val="left"/>
                    <w:rPr>
                      <w:i/>
                    </w:rPr>
                  </w:pPr>
                  <w:r w:rsidRPr="009B05D9">
                    <w:rPr>
                      <w:i/>
                    </w:rPr>
                    <w:t>General export measures</w:t>
                  </w:r>
                </w:p>
              </w:tc>
              <w:tc>
                <w:tcPr>
                  <w:tcW w:w="466"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Export Market Development Grants Scheme</w:t>
                  </w:r>
                </w:p>
              </w:tc>
              <w:tc>
                <w:tcPr>
                  <w:tcW w:w="466"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0.3</w:t>
                  </w:r>
                </w:p>
              </w:tc>
              <w:tc>
                <w:tcPr>
                  <w:tcW w:w="466" w:type="pct"/>
                  <w:shd w:val="clear" w:color="auto" w:fill="auto"/>
                  <w:vAlign w:val="bottom"/>
                </w:tcPr>
                <w:p w:rsidR="00AC2131" w:rsidRDefault="00AC2131" w:rsidP="00AC2131">
                  <w:pPr>
                    <w:pStyle w:val="TableBodyText"/>
                    <w:spacing w:after="0"/>
                    <w:ind w:left="0" w:right="57"/>
                  </w:pPr>
                  <w:r>
                    <w:t>0.9</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TRADEX</w:t>
                  </w:r>
                </w:p>
              </w:tc>
              <w:tc>
                <w:tcPr>
                  <w:tcW w:w="466"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&lt;0.1</w:t>
                  </w:r>
                </w:p>
              </w:tc>
              <w:tc>
                <w:tcPr>
                  <w:tcW w:w="466"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tcPr>
                <w:p w:rsidR="00AC2131" w:rsidRPr="009B05D9" w:rsidRDefault="00AC2131" w:rsidP="00AC2131">
                  <w:pPr>
                    <w:pStyle w:val="TableBodyText"/>
                    <w:spacing w:before="40" w:after="0"/>
                    <w:ind w:left="113"/>
                    <w:jc w:val="left"/>
                    <w:rPr>
                      <w:i/>
                    </w:rPr>
                  </w:pPr>
                  <w:r w:rsidRPr="009B05D9">
                    <w:rPr>
                      <w:i/>
                    </w:rPr>
                    <w:t>General R&amp;D measures</w:t>
                  </w:r>
                </w:p>
              </w:tc>
              <w:tc>
                <w:tcPr>
                  <w:tcW w:w="466"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 xml:space="preserve">Clean Business Australia </w:t>
                  </w:r>
                  <w:r>
                    <w:rPr>
                      <w:rFonts w:ascii="Arial" w:hAnsi="Arial" w:cs="Arial"/>
                      <w:color w:val="000000"/>
                      <w:sz w:val="18"/>
                      <w:szCs w:val="18"/>
                    </w:rPr>
                    <w:t>–</w:t>
                  </w:r>
                  <w:r w:rsidRPr="009B05D9">
                    <w:rPr>
                      <w:rFonts w:ascii="Arial" w:hAnsi="Arial" w:cs="Arial"/>
                      <w:color w:val="000000"/>
                      <w:sz w:val="18"/>
                      <w:szCs w:val="18"/>
                    </w:rPr>
                    <w:t xml:space="preserve"> Climate Ready Program</w:t>
                  </w:r>
                </w:p>
              </w:tc>
              <w:tc>
                <w:tcPr>
                  <w:tcW w:w="466"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Clean Technology Innovation Program</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COMET Program</w:t>
                  </w:r>
                </w:p>
              </w:tc>
              <w:tc>
                <w:tcPr>
                  <w:tcW w:w="466"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Commercial Ready Program</w:t>
                  </w:r>
                </w:p>
              </w:tc>
              <w:tc>
                <w:tcPr>
                  <w:tcW w:w="466"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Commercialisation Australia</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0.3</w:t>
                  </w:r>
                </w:p>
              </w:tc>
              <w:tc>
                <w:tcPr>
                  <w:tcW w:w="466" w:type="pct"/>
                  <w:shd w:val="clear" w:color="auto" w:fill="auto"/>
                  <w:vAlign w:val="bottom"/>
                </w:tcPr>
                <w:p w:rsidR="00AC2131" w:rsidRDefault="00AC2131" w:rsidP="00AC2131">
                  <w:pPr>
                    <w:pStyle w:val="TableBodyText"/>
                    <w:spacing w:after="0"/>
                    <w:ind w:left="0" w:right="57"/>
                  </w:pPr>
                  <w:r>
                    <w:t>2.9</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Cooperative Research Centres</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2.0</w:t>
                  </w:r>
                </w:p>
              </w:tc>
              <w:tc>
                <w:tcPr>
                  <w:tcW w:w="466" w:type="pct"/>
                  <w:shd w:val="clear" w:color="auto" w:fill="auto"/>
                  <w:vAlign w:val="bottom"/>
                </w:tcPr>
                <w:p w:rsidR="00AC2131" w:rsidRDefault="00AC2131" w:rsidP="00AC2131">
                  <w:pPr>
                    <w:pStyle w:val="TableBodyText"/>
                    <w:spacing w:after="0"/>
                    <w:ind w:left="0" w:right="57"/>
                  </w:pPr>
                  <w:r>
                    <w:t>2.8</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CSIRO</w:t>
                  </w:r>
                </w:p>
              </w:tc>
              <w:tc>
                <w:tcPr>
                  <w:tcW w:w="466"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2.8</w:t>
                  </w:r>
                </w:p>
              </w:tc>
              <w:tc>
                <w:tcPr>
                  <w:tcW w:w="467" w:type="pct"/>
                  <w:shd w:val="clear" w:color="auto" w:fill="auto"/>
                  <w:vAlign w:val="bottom"/>
                </w:tcPr>
                <w:p w:rsidR="00AC2131" w:rsidRDefault="00AC2131" w:rsidP="00AC2131">
                  <w:pPr>
                    <w:pStyle w:val="TableBodyText"/>
                    <w:spacing w:after="0"/>
                    <w:ind w:left="0" w:right="57"/>
                  </w:pPr>
                  <w:r>
                    <w:t>2.6</w:t>
                  </w:r>
                </w:p>
              </w:tc>
              <w:tc>
                <w:tcPr>
                  <w:tcW w:w="466" w:type="pct"/>
                  <w:shd w:val="clear" w:color="auto" w:fill="auto"/>
                  <w:vAlign w:val="bottom"/>
                </w:tcPr>
                <w:p w:rsidR="00AC2131" w:rsidRDefault="00AC2131" w:rsidP="00AC2131">
                  <w:pPr>
                    <w:pStyle w:val="TableBodyText"/>
                    <w:spacing w:after="0"/>
                    <w:ind w:left="0" w:right="57"/>
                  </w:pPr>
                  <w:r>
                    <w:t>3.0</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Premium R&amp;D tax concession</w:t>
                  </w:r>
                </w:p>
              </w:tc>
              <w:tc>
                <w:tcPr>
                  <w:tcW w:w="466" w:type="pct"/>
                  <w:vAlign w:val="bottom"/>
                </w:tcPr>
                <w:p w:rsidR="00AC2131" w:rsidRDefault="00AC2131" w:rsidP="00AC2131">
                  <w:pPr>
                    <w:pStyle w:val="TableBodyText"/>
                    <w:spacing w:after="0"/>
                    <w:ind w:left="0" w:right="57"/>
                  </w:pPr>
                  <w:r>
                    <w:t>5.9</w:t>
                  </w:r>
                </w:p>
              </w:tc>
              <w:tc>
                <w:tcPr>
                  <w:tcW w:w="467" w:type="pct"/>
                  <w:vAlign w:val="bottom"/>
                </w:tcPr>
                <w:p w:rsidR="00AC2131" w:rsidRDefault="00AC2131" w:rsidP="00AC2131">
                  <w:pPr>
                    <w:pStyle w:val="TableBodyText"/>
                    <w:spacing w:after="0"/>
                    <w:ind w:left="0" w:right="57"/>
                  </w:pPr>
                  <w:r>
                    <w:t>12.5</w:t>
                  </w:r>
                </w:p>
              </w:tc>
              <w:tc>
                <w:tcPr>
                  <w:tcW w:w="467" w:type="pct"/>
                  <w:vAlign w:val="bottom"/>
                </w:tcPr>
                <w:p w:rsidR="00AC2131" w:rsidRDefault="00AC2131" w:rsidP="00AC2131">
                  <w:pPr>
                    <w:pStyle w:val="TableBodyText"/>
                    <w:spacing w:after="0"/>
                    <w:ind w:left="0" w:right="57"/>
                  </w:pPr>
                  <w:r>
                    <w:t>10.8</w:t>
                  </w:r>
                </w:p>
              </w:tc>
              <w:tc>
                <w:tcPr>
                  <w:tcW w:w="467" w:type="pct"/>
                  <w:vAlign w:val="bottom"/>
                </w:tcPr>
                <w:p w:rsidR="00AC2131" w:rsidRDefault="00AC2131" w:rsidP="00AC2131">
                  <w:pPr>
                    <w:pStyle w:val="TableBodyText"/>
                    <w:spacing w:after="0"/>
                    <w:ind w:left="0" w:right="57"/>
                  </w:pPr>
                  <w:r>
                    <w:t>15.0</w:t>
                  </w:r>
                </w:p>
              </w:tc>
              <w:tc>
                <w:tcPr>
                  <w:tcW w:w="467" w:type="pct"/>
                  <w:shd w:val="clear" w:color="auto" w:fill="auto"/>
                  <w:vAlign w:val="bottom"/>
                </w:tcPr>
                <w:p w:rsidR="00AC2131" w:rsidRDefault="00AC2131" w:rsidP="00AC2131">
                  <w:pPr>
                    <w:pStyle w:val="TableBodyText"/>
                    <w:spacing w:after="0"/>
                    <w:ind w:left="0" w:right="57"/>
                  </w:pPr>
                  <w:r>
                    <w:t>4.1</w:t>
                  </w:r>
                </w:p>
              </w:tc>
              <w:tc>
                <w:tcPr>
                  <w:tcW w:w="466" w:type="pct"/>
                  <w:shd w:val="clear" w:color="auto" w:fill="auto"/>
                  <w:vAlign w:val="bottom"/>
                </w:tcPr>
                <w:p w:rsidR="00AC2131" w:rsidRDefault="00AC2131" w:rsidP="00AC2131">
                  <w:pPr>
                    <w:pStyle w:val="TableBodyText"/>
                    <w:spacing w:after="0"/>
                    <w:ind w:left="0" w:right="57"/>
                  </w:pPr>
                  <w:r>
                    <w:t>1.7</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R&amp;D Start</w:t>
                  </w:r>
                </w:p>
              </w:tc>
              <w:tc>
                <w:tcPr>
                  <w:tcW w:w="466"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sidRPr="009B05D9">
                    <w:rPr>
                      <w:rFonts w:ascii="Arial" w:hAnsi="Arial" w:cs="Arial"/>
                      <w:color w:val="000000"/>
                      <w:sz w:val="18"/>
                      <w:szCs w:val="18"/>
                    </w:rPr>
                    <w:t>R&amp;D tax concession</w:t>
                  </w:r>
                </w:p>
              </w:tc>
              <w:tc>
                <w:tcPr>
                  <w:tcW w:w="466" w:type="pct"/>
                  <w:vAlign w:val="bottom"/>
                </w:tcPr>
                <w:p w:rsidR="00AC2131" w:rsidRDefault="00AC2131" w:rsidP="00AC2131">
                  <w:pPr>
                    <w:pStyle w:val="TableBodyText"/>
                    <w:spacing w:after="0"/>
                    <w:ind w:left="0" w:right="57"/>
                  </w:pPr>
                  <w:r>
                    <w:t>13.1</w:t>
                  </w:r>
                </w:p>
              </w:tc>
              <w:tc>
                <w:tcPr>
                  <w:tcW w:w="467" w:type="pct"/>
                  <w:vAlign w:val="bottom"/>
                </w:tcPr>
                <w:p w:rsidR="00AC2131" w:rsidRDefault="00AC2131" w:rsidP="00AC2131">
                  <w:pPr>
                    <w:pStyle w:val="TableBodyText"/>
                    <w:spacing w:after="0"/>
                    <w:ind w:left="0" w:right="57"/>
                  </w:pPr>
                  <w:r>
                    <w:t>20.0</w:t>
                  </w:r>
                </w:p>
              </w:tc>
              <w:tc>
                <w:tcPr>
                  <w:tcW w:w="467" w:type="pct"/>
                  <w:vAlign w:val="bottom"/>
                </w:tcPr>
                <w:p w:rsidR="00AC2131" w:rsidRDefault="00AC2131" w:rsidP="00AC2131">
                  <w:pPr>
                    <w:pStyle w:val="TableBodyText"/>
                    <w:spacing w:after="0"/>
                    <w:ind w:left="0" w:right="57"/>
                  </w:pPr>
                  <w:r>
                    <w:t>20.0</w:t>
                  </w:r>
                </w:p>
              </w:tc>
              <w:tc>
                <w:tcPr>
                  <w:tcW w:w="467" w:type="pct"/>
                  <w:vAlign w:val="bottom"/>
                </w:tcPr>
                <w:p w:rsidR="00AC2131" w:rsidRDefault="00AC2131" w:rsidP="00AC2131">
                  <w:pPr>
                    <w:pStyle w:val="TableBodyText"/>
                    <w:spacing w:after="0"/>
                    <w:ind w:left="0" w:right="57"/>
                  </w:pPr>
                  <w:r>
                    <w:t>41.2</w:t>
                  </w:r>
                </w:p>
              </w:tc>
              <w:tc>
                <w:tcPr>
                  <w:tcW w:w="467" w:type="pct"/>
                  <w:shd w:val="clear" w:color="auto" w:fill="auto"/>
                  <w:vAlign w:val="bottom"/>
                </w:tcPr>
                <w:p w:rsidR="00AC2131" w:rsidRDefault="00AC2131" w:rsidP="00AC2131">
                  <w:pPr>
                    <w:pStyle w:val="TableBodyText"/>
                    <w:spacing w:after="0"/>
                    <w:ind w:left="0" w:right="57"/>
                  </w:pPr>
                  <w:r>
                    <w:t>18.4</w:t>
                  </w:r>
                </w:p>
              </w:tc>
              <w:tc>
                <w:tcPr>
                  <w:tcW w:w="466" w:type="pct"/>
                  <w:shd w:val="clear" w:color="auto" w:fill="auto"/>
                  <w:vAlign w:val="bottom"/>
                </w:tcPr>
                <w:p w:rsidR="00AC2131" w:rsidRDefault="00AC2131" w:rsidP="00AC2131">
                  <w:pPr>
                    <w:pStyle w:val="TableBodyText"/>
                    <w:spacing w:after="0"/>
                    <w:ind w:left="0" w:right="57"/>
                  </w:pPr>
                  <w:r>
                    <w:t>6.3</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-5.8</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20.7</w:t>
                  </w:r>
                </w:p>
              </w:tc>
              <w:tc>
                <w:tcPr>
                  <w:tcW w:w="466" w:type="pct"/>
                  <w:shd w:val="clear" w:color="auto" w:fill="auto"/>
                  <w:vAlign w:val="bottom"/>
                </w:tcPr>
                <w:p w:rsidR="00AC2131" w:rsidRDefault="00AC2131" w:rsidP="00AC2131">
                  <w:pPr>
                    <w:pStyle w:val="TableBodyText"/>
                    <w:spacing w:after="0"/>
                    <w:ind w:left="0" w:right="57"/>
                  </w:pPr>
                  <w:r>
                    <w:t>44.4</w:t>
                  </w:r>
                </w:p>
              </w:tc>
            </w:tr>
            <w:tr w:rsidR="00AC2131" w:rsidTr="00AC2131">
              <w:tc>
                <w:tcPr>
                  <w:tcW w:w="2200" w:type="pct"/>
                  <w:shd w:val="clear" w:color="auto" w:fill="auto"/>
                  <w:vAlign w:val="bottom"/>
                </w:tcPr>
                <w:p w:rsidR="00AC2131" w:rsidRPr="009B05D9"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10.6</w:t>
                  </w:r>
                </w:p>
              </w:tc>
              <w:tc>
                <w:tcPr>
                  <w:tcW w:w="466" w:type="pct"/>
                  <w:shd w:val="clear" w:color="auto" w:fill="auto"/>
                  <w:vAlign w:val="bottom"/>
                </w:tcPr>
                <w:p w:rsidR="00AC2131" w:rsidRDefault="00AC2131" w:rsidP="00AC2131">
                  <w:pPr>
                    <w:pStyle w:val="TableBodyText"/>
                    <w:spacing w:after="0"/>
                    <w:ind w:left="0" w:right="57"/>
                  </w:pPr>
                  <w:r>
                    <w:t>19.1</w:t>
                  </w:r>
                </w:p>
              </w:tc>
            </w:tr>
            <w:tr w:rsidR="00AC2131" w:rsidTr="00AC2131">
              <w:tc>
                <w:tcPr>
                  <w:tcW w:w="2200" w:type="pct"/>
                  <w:tcBorders>
                    <w:bottom w:val="single" w:sz="6" w:space="0" w:color="BFBFBF"/>
                  </w:tcBorders>
                  <w:shd w:val="clear" w:color="auto" w:fill="auto"/>
                </w:tcPr>
                <w:p w:rsidR="00AC2131" w:rsidRPr="00FD665E" w:rsidRDefault="00AC2131" w:rsidP="00AC2131">
                  <w:pPr>
                    <w:ind w:left="227"/>
                    <w:rPr>
                      <w:rFonts w:ascii="Arial" w:hAnsi="Arial" w:cs="Arial"/>
                      <w:sz w:val="18"/>
                      <w:szCs w:val="18"/>
                    </w:rPr>
                  </w:pPr>
                  <w:r>
                    <w:rPr>
                      <w:rFonts w:ascii="Arial" w:hAnsi="Arial" w:cs="Arial"/>
                      <w:sz w:val="18"/>
                      <w:szCs w:val="18"/>
                    </w:rPr>
                    <w:t>R&amp;D tax offsets – Refundable</w:t>
                  </w:r>
                </w:p>
              </w:tc>
              <w:tc>
                <w:tcPr>
                  <w:tcW w:w="466" w:type="pct"/>
                  <w:tcBorders>
                    <w:bottom w:val="single" w:sz="6" w:space="0" w:color="BFBFBF"/>
                  </w:tcBorders>
                  <w:vAlign w:val="bottom"/>
                </w:tcPr>
                <w:p w:rsidR="00AC2131" w:rsidRDefault="00AC2131" w:rsidP="00AC2131">
                  <w:pPr>
                    <w:pStyle w:val="TableBodyText"/>
                    <w:spacing w:after="0"/>
                    <w:ind w:left="0" w:right="57"/>
                  </w:pPr>
                  <w:r>
                    <w:t>14.9</w:t>
                  </w:r>
                </w:p>
              </w:tc>
              <w:tc>
                <w:tcPr>
                  <w:tcW w:w="467" w:type="pct"/>
                  <w:tcBorders>
                    <w:bottom w:val="single" w:sz="6" w:space="0" w:color="BFBFBF"/>
                  </w:tcBorders>
                  <w:vAlign w:val="bottom"/>
                </w:tcPr>
                <w:p w:rsidR="00AC2131" w:rsidRDefault="00AC2131" w:rsidP="00AC2131">
                  <w:pPr>
                    <w:pStyle w:val="TableBodyText"/>
                    <w:spacing w:after="0"/>
                    <w:ind w:left="0" w:right="57"/>
                  </w:pPr>
                  <w:r>
                    <w:t>17.4</w:t>
                  </w:r>
                </w:p>
              </w:tc>
              <w:tc>
                <w:tcPr>
                  <w:tcW w:w="467" w:type="pct"/>
                  <w:tcBorders>
                    <w:bottom w:val="single" w:sz="6" w:space="0" w:color="BFBFBF"/>
                  </w:tcBorders>
                  <w:vAlign w:val="bottom"/>
                </w:tcPr>
                <w:p w:rsidR="00AC2131" w:rsidRDefault="00AC2131" w:rsidP="00AC2131">
                  <w:pPr>
                    <w:pStyle w:val="TableBodyText"/>
                    <w:spacing w:after="0"/>
                    <w:ind w:left="0" w:right="57"/>
                  </w:pPr>
                  <w:r>
                    <w:t>12.1</w:t>
                  </w:r>
                </w:p>
              </w:tc>
              <w:tc>
                <w:tcPr>
                  <w:tcW w:w="467" w:type="pct"/>
                  <w:tcBorders>
                    <w:bottom w:val="single" w:sz="6" w:space="0" w:color="BFBFBF"/>
                  </w:tcBorders>
                  <w:vAlign w:val="bottom"/>
                </w:tcPr>
                <w:p w:rsidR="00AC2131" w:rsidRDefault="00AC2131" w:rsidP="00AC2131">
                  <w:pPr>
                    <w:pStyle w:val="TableBodyText"/>
                    <w:spacing w:after="0"/>
                    <w:ind w:left="0" w:right="57"/>
                  </w:pPr>
                  <w:r>
                    <w:t>13.7</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6"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640"/>
            </w:pPr>
            <w:r>
              <w:t>(continued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8"/>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4" w:type="dxa"/>
              <w:tblCellMar>
                <w:top w:w="28" w:type="dxa"/>
                <w:left w:w="0" w:type="dxa"/>
                <w:right w:w="0" w:type="dxa"/>
              </w:tblCellMar>
              <w:tblLook w:val="0000" w:firstRow="0" w:lastRow="0" w:firstColumn="0" w:lastColumn="0" w:noHBand="0" w:noVBand="0"/>
            </w:tblPr>
            <w:tblGrid>
              <w:gridCol w:w="3742"/>
              <w:gridCol w:w="793"/>
              <w:gridCol w:w="794"/>
              <w:gridCol w:w="794"/>
              <w:gridCol w:w="794"/>
              <w:gridCol w:w="794"/>
              <w:gridCol w:w="793"/>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6"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6"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300DC2" w:rsidRDefault="00AC2131" w:rsidP="00AC2131">
                  <w:pPr>
                    <w:pStyle w:val="TableUnitsRow"/>
                    <w:spacing w:after="0"/>
                    <w:ind w:left="113"/>
                    <w:jc w:val="left"/>
                    <w:rPr>
                      <w:i/>
                    </w:rPr>
                  </w:pPr>
                  <w:r w:rsidRPr="00300DC2">
                    <w:rPr>
                      <w:i/>
                    </w:rPr>
                    <w:t>Other measures</w:t>
                  </w:r>
                </w:p>
              </w:tc>
              <w:tc>
                <w:tcPr>
                  <w:tcW w:w="466"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6"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vAlign w:val="bottom"/>
                </w:tcPr>
                <w:p w:rsidR="00AC2131" w:rsidRPr="00300DC2" w:rsidRDefault="00AC2131" w:rsidP="00AC2131">
                  <w:pPr>
                    <w:ind w:left="227"/>
                    <w:rPr>
                      <w:rFonts w:ascii="Arial" w:hAnsi="Arial" w:cs="Arial"/>
                      <w:color w:val="000000"/>
                      <w:sz w:val="18"/>
                      <w:szCs w:val="18"/>
                    </w:rPr>
                  </w:pPr>
                  <w:r w:rsidRPr="00300DC2">
                    <w:rPr>
                      <w:rFonts w:ascii="Arial" w:hAnsi="Arial" w:cs="Arial"/>
                      <w:color w:val="000000"/>
                      <w:sz w:val="18"/>
                      <w:szCs w:val="18"/>
                    </w:rPr>
                    <w:t>25 per cent entrepreneurs' tax offset</w:t>
                  </w:r>
                </w:p>
              </w:tc>
              <w:tc>
                <w:tcPr>
                  <w:tcW w:w="466" w:type="pct"/>
                  <w:vAlign w:val="bottom"/>
                </w:tcPr>
                <w:p w:rsidR="00AC2131" w:rsidRDefault="00AC2131" w:rsidP="00AC2131">
                  <w:pPr>
                    <w:pStyle w:val="TableBodyText"/>
                    <w:spacing w:after="0"/>
                    <w:ind w:left="0" w:right="57"/>
                  </w:pPr>
                  <w:r>
                    <w:t>50.4</w:t>
                  </w:r>
                </w:p>
              </w:tc>
              <w:tc>
                <w:tcPr>
                  <w:tcW w:w="467" w:type="pct"/>
                  <w:vAlign w:val="bottom"/>
                </w:tcPr>
                <w:p w:rsidR="00AC2131" w:rsidRDefault="00AC2131" w:rsidP="00AC2131">
                  <w:pPr>
                    <w:pStyle w:val="TableBodyText"/>
                    <w:spacing w:after="0"/>
                    <w:ind w:left="0" w:right="57"/>
                  </w:pPr>
                  <w:r>
                    <w:t>52.1</w:t>
                  </w:r>
                </w:p>
              </w:tc>
              <w:tc>
                <w:tcPr>
                  <w:tcW w:w="467" w:type="pct"/>
                  <w:vAlign w:val="bottom"/>
                </w:tcPr>
                <w:p w:rsidR="00AC2131" w:rsidRDefault="00AC2131" w:rsidP="00AC2131">
                  <w:pPr>
                    <w:pStyle w:val="TableBodyText"/>
                    <w:spacing w:after="0"/>
                    <w:ind w:left="0" w:right="57"/>
                  </w:pPr>
                  <w:r>
                    <w:t>50.8</w:t>
                  </w:r>
                </w:p>
              </w:tc>
              <w:tc>
                <w:tcPr>
                  <w:tcW w:w="467" w:type="pct"/>
                  <w:vAlign w:val="bottom"/>
                </w:tcPr>
                <w:p w:rsidR="00AC2131" w:rsidRDefault="00AC2131" w:rsidP="00AC2131">
                  <w:pPr>
                    <w:pStyle w:val="TableBodyText"/>
                    <w:spacing w:after="0"/>
                    <w:ind w:left="0" w:right="57"/>
                  </w:pPr>
                  <w:r>
                    <w:t>50.8</w:t>
                  </w:r>
                </w:p>
              </w:tc>
              <w:tc>
                <w:tcPr>
                  <w:tcW w:w="467" w:type="pct"/>
                  <w:vAlign w:val="bottom"/>
                </w:tcPr>
                <w:p w:rsidR="00AC2131" w:rsidRDefault="00AC2131" w:rsidP="00AC2131">
                  <w:pPr>
                    <w:pStyle w:val="TableBodyText"/>
                    <w:spacing w:after="0"/>
                    <w:ind w:left="0" w:right="57"/>
                  </w:pPr>
                  <w:r>
                    <w:t>52.0</w:t>
                  </w:r>
                </w:p>
              </w:tc>
              <w:tc>
                <w:tcPr>
                  <w:tcW w:w="466" w:type="pct"/>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sidRPr="00300DC2">
                    <w:rPr>
                      <w:rFonts w:ascii="Arial" w:hAnsi="Arial" w:cs="Arial"/>
                      <w:color w:val="000000"/>
                      <w:sz w:val="18"/>
                      <w:szCs w:val="18"/>
                    </w:rPr>
                    <w:t>Enterprise Connect Innovation Centres</w:t>
                  </w:r>
                </w:p>
              </w:tc>
              <w:tc>
                <w:tcPr>
                  <w:tcW w:w="466"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0.5</w:t>
                  </w:r>
                </w:p>
              </w:tc>
              <w:tc>
                <w:tcPr>
                  <w:tcW w:w="466" w:type="pct"/>
                  <w:shd w:val="clear" w:color="auto" w:fill="auto"/>
                  <w:vAlign w:val="bottom"/>
                </w:tcPr>
                <w:p w:rsidR="00AC2131" w:rsidRDefault="00AC2131" w:rsidP="00AC2131">
                  <w:pPr>
                    <w:pStyle w:val="TableBodyText"/>
                    <w:spacing w:after="0"/>
                    <w:ind w:left="0" w:right="57"/>
                  </w:pPr>
                  <w:r>
                    <w:t>0.5</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sidRPr="00300DC2">
                    <w:rPr>
                      <w:rFonts w:ascii="Arial" w:hAnsi="Arial" w:cs="Arial"/>
                      <w:color w:val="000000"/>
                      <w:sz w:val="18"/>
                      <w:szCs w:val="18"/>
                    </w:rPr>
                    <w:t>North East Tasmania Innovation and Investment Fund</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sidRPr="00300DC2">
                    <w:rPr>
                      <w:rFonts w:ascii="Arial" w:hAnsi="Arial" w:cs="Arial"/>
                      <w:color w:val="000000"/>
                      <w:sz w:val="18"/>
                      <w:szCs w:val="18"/>
                    </w:rPr>
                    <w:t>North West and Northern Tasmania Innovation and Investment Fund</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6" w:type="pct"/>
                  <w:vAlign w:val="bottom"/>
                </w:tcPr>
                <w:p w:rsidR="00AC2131" w:rsidRDefault="00AC2131" w:rsidP="00AC2131">
                  <w:pPr>
                    <w:pStyle w:val="TableBodyText"/>
                    <w:spacing w:after="0"/>
                    <w:ind w:left="0" w:right="57"/>
                  </w:pPr>
                  <w:r>
                    <w:t>9.9</w:t>
                  </w:r>
                </w:p>
              </w:tc>
              <w:tc>
                <w:tcPr>
                  <w:tcW w:w="467" w:type="pct"/>
                  <w:vAlign w:val="bottom"/>
                </w:tcPr>
                <w:p w:rsidR="00AC2131" w:rsidRDefault="00AC2131" w:rsidP="00AC2131">
                  <w:pPr>
                    <w:pStyle w:val="TableBodyText"/>
                    <w:spacing w:after="0"/>
                    <w:ind w:left="0" w:right="57"/>
                  </w:pPr>
                  <w:r>
                    <w:t>13.2</w:t>
                  </w:r>
                </w:p>
              </w:tc>
              <w:tc>
                <w:tcPr>
                  <w:tcW w:w="467" w:type="pct"/>
                  <w:vAlign w:val="bottom"/>
                </w:tcPr>
                <w:p w:rsidR="00AC2131" w:rsidRDefault="00AC2131" w:rsidP="00AC2131">
                  <w:pPr>
                    <w:pStyle w:val="TableBodyText"/>
                    <w:spacing w:after="0"/>
                    <w:ind w:left="0" w:right="57"/>
                  </w:pPr>
                  <w:r>
                    <w:t>21.4</w:t>
                  </w:r>
                </w:p>
              </w:tc>
              <w:tc>
                <w:tcPr>
                  <w:tcW w:w="467" w:type="pct"/>
                  <w:vAlign w:val="bottom"/>
                </w:tcPr>
                <w:p w:rsidR="00AC2131" w:rsidRDefault="00AC2131" w:rsidP="00AC2131">
                  <w:pPr>
                    <w:pStyle w:val="TableBodyText"/>
                    <w:spacing w:after="0"/>
                    <w:ind w:left="0" w:right="57"/>
                  </w:pPr>
                  <w:r>
                    <w:t>1.6</w:t>
                  </w:r>
                </w:p>
              </w:tc>
              <w:tc>
                <w:tcPr>
                  <w:tcW w:w="467" w:type="pct"/>
                  <w:shd w:val="clear" w:color="auto" w:fill="auto"/>
                  <w:vAlign w:val="bottom"/>
                </w:tcPr>
                <w:p w:rsidR="00AC2131" w:rsidRDefault="00AC2131" w:rsidP="00AC2131">
                  <w:pPr>
                    <w:pStyle w:val="TableBodyText"/>
                    <w:spacing w:after="0"/>
                    <w:ind w:left="0" w:right="57"/>
                  </w:pPr>
                  <w:r>
                    <w:t>-6.6</w:t>
                  </w:r>
                </w:p>
              </w:tc>
              <w:tc>
                <w:tcPr>
                  <w:tcW w:w="466" w:type="pct"/>
                  <w:shd w:val="clear" w:color="auto" w:fill="auto"/>
                  <w:vAlign w:val="bottom"/>
                </w:tcPr>
                <w:p w:rsidR="00AC2131" w:rsidRDefault="00AC2131" w:rsidP="00AC2131">
                  <w:pPr>
                    <w:pStyle w:val="TableBodyText"/>
                    <w:spacing w:after="0"/>
                    <w:ind w:left="0" w:right="57"/>
                  </w:pPr>
                  <w:r>
                    <w:t>234.0</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6" w:type="pct"/>
                  <w:vAlign w:val="bottom"/>
                </w:tcPr>
                <w:p w:rsidR="00AC2131" w:rsidRDefault="00AC2131" w:rsidP="00AC2131">
                  <w:pPr>
                    <w:pStyle w:val="TableBodyText"/>
                    <w:spacing w:after="0"/>
                    <w:ind w:left="0" w:right="57"/>
                  </w:pPr>
                  <w:r>
                    <w:t>4.3</w:t>
                  </w:r>
                </w:p>
              </w:tc>
              <w:tc>
                <w:tcPr>
                  <w:tcW w:w="467"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2.8</w:t>
                  </w:r>
                </w:p>
              </w:tc>
              <w:tc>
                <w:tcPr>
                  <w:tcW w:w="467" w:type="pct"/>
                  <w:shd w:val="clear" w:color="auto" w:fill="auto"/>
                  <w:vAlign w:val="bottom"/>
                </w:tcPr>
                <w:p w:rsidR="00AC2131" w:rsidRDefault="00AC2131" w:rsidP="00AC2131">
                  <w:pPr>
                    <w:pStyle w:val="TableBodyText"/>
                    <w:spacing w:after="0"/>
                    <w:ind w:left="0" w:right="57"/>
                  </w:pPr>
                  <w:r>
                    <w:t>2.9</w:t>
                  </w:r>
                </w:p>
              </w:tc>
              <w:tc>
                <w:tcPr>
                  <w:tcW w:w="466" w:type="pct"/>
                  <w:shd w:val="clear" w:color="auto" w:fill="auto"/>
                  <w:vAlign w:val="bottom"/>
                </w:tcPr>
                <w:p w:rsidR="00AC2131" w:rsidRDefault="00AC2131" w:rsidP="00AC2131">
                  <w:pPr>
                    <w:pStyle w:val="TableBodyText"/>
                    <w:spacing w:after="0"/>
                    <w:ind w:left="0" w:right="57"/>
                  </w:pPr>
                  <w:r>
                    <w:t>3.5</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sidRPr="00300DC2">
                    <w:rPr>
                      <w:rFonts w:ascii="Arial" w:hAnsi="Arial" w:cs="Arial"/>
                      <w:color w:val="000000"/>
                      <w:sz w:val="18"/>
                      <w:szCs w:val="18"/>
                    </w:rPr>
                    <w:t xml:space="preserve">Small business </w:t>
                  </w:r>
                  <w:r>
                    <w:rPr>
                      <w:rFonts w:ascii="Arial" w:hAnsi="Arial" w:cs="Arial"/>
                      <w:color w:val="000000"/>
                      <w:sz w:val="18"/>
                      <w:szCs w:val="18"/>
                    </w:rPr>
                    <w:t>capital gains tax</w:t>
                  </w:r>
                  <w:r w:rsidRPr="00300DC2">
                    <w:rPr>
                      <w:rFonts w:ascii="Arial" w:hAnsi="Arial" w:cs="Arial"/>
                      <w:color w:val="000000"/>
                      <w:sz w:val="18"/>
                      <w:szCs w:val="18"/>
                    </w:rPr>
                    <w:t xml:space="preserve"> 50 per cent reduction</w:t>
                  </w:r>
                </w:p>
              </w:tc>
              <w:tc>
                <w:tcPr>
                  <w:tcW w:w="466" w:type="pct"/>
                  <w:vAlign w:val="bottom"/>
                </w:tcPr>
                <w:p w:rsidR="00AC2131" w:rsidRDefault="00AC2131" w:rsidP="00AC2131">
                  <w:pPr>
                    <w:pStyle w:val="TableBodyText"/>
                    <w:spacing w:after="0"/>
                    <w:ind w:left="0" w:right="57"/>
                  </w:pPr>
                  <w:r>
                    <w:t>30.4</w:t>
                  </w:r>
                </w:p>
              </w:tc>
              <w:tc>
                <w:tcPr>
                  <w:tcW w:w="467" w:type="pct"/>
                  <w:vAlign w:val="bottom"/>
                </w:tcPr>
                <w:p w:rsidR="00AC2131" w:rsidRDefault="00AC2131" w:rsidP="00AC2131">
                  <w:pPr>
                    <w:pStyle w:val="TableBodyText"/>
                    <w:spacing w:after="0"/>
                    <w:ind w:left="0" w:right="57"/>
                  </w:pPr>
                  <w:r>
                    <w:t>16.4</w:t>
                  </w:r>
                </w:p>
              </w:tc>
              <w:tc>
                <w:tcPr>
                  <w:tcW w:w="467" w:type="pct"/>
                  <w:vAlign w:val="bottom"/>
                </w:tcPr>
                <w:p w:rsidR="00AC2131" w:rsidRDefault="00AC2131" w:rsidP="00AC2131">
                  <w:pPr>
                    <w:pStyle w:val="TableBodyText"/>
                    <w:spacing w:after="0"/>
                    <w:ind w:left="0" w:right="57"/>
                  </w:pPr>
                  <w:r>
                    <w:t>11.2</w:t>
                  </w:r>
                </w:p>
              </w:tc>
              <w:tc>
                <w:tcPr>
                  <w:tcW w:w="467" w:type="pct"/>
                  <w:vAlign w:val="bottom"/>
                </w:tcPr>
                <w:p w:rsidR="00AC2131" w:rsidRDefault="00AC2131" w:rsidP="00AC2131">
                  <w:pPr>
                    <w:pStyle w:val="TableBodyText"/>
                    <w:spacing w:after="0"/>
                    <w:ind w:left="0" w:right="57"/>
                  </w:pPr>
                  <w:r>
                    <w:t>15.1</w:t>
                  </w:r>
                </w:p>
              </w:tc>
              <w:tc>
                <w:tcPr>
                  <w:tcW w:w="467" w:type="pct"/>
                  <w:shd w:val="clear" w:color="auto" w:fill="auto"/>
                  <w:vAlign w:val="bottom"/>
                </w:tcPr>
                <w:p w:rsidR="00AC2131" w:rsidRDefault="00AC2131" w:rsidP="00AC2131">
                  <w:pPr>
                    <w:pStyle w:val="TableBodyText"/>
                    <w:spacing w:after="0"/>
                    <w:ind w:left="0" w:right="57"/>
                  </w:pPr>
                  <w:r>
                    <w:t>15.7</w:t>
                  </w:r>
                </w:p>
              </w:tc>
              <w:tc>
                <w:tcPr>
                  <w:tcW w:w="466" w:type="pct"/>
                  <w:shd w:val="clear" w:color="auto" w:fill="auto"/>
                  <w:vAlign w:val="bottom"/>
                </w:tcPr>
                <w:p w:rsidR="00AC2131" w:rsidRDefault="00AC2131" w:rsidP="00AC2131">
                  <w:pPr>
                    <w:pStyle w:val="TableBodyText"/>
                    <w:spacing w:after="0"/>
                    <w:ind w:left="0" w:right="57"/>
                  </w:pPr>
                  <w:r>
                    <w:t>16.5</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sidRPr="00300DC2">
                    <w:rPr>
                      <w:rFonts w:ascii="Arial" w:hAnsi="Arial" w:cs="Arial"/>
                      <w:color w:val="000000"/>
                      <w:sz w:val="18"/>
                      <w:szCs w:val="18"/>
                    </w:rPr>
                    <w:t xml:space="preserve">Small business </w:t>
                  </w:r>
                  <w:r>
                    <w:rPr>
                      <w:rFonts w:ascii="Arial" w:hAnsi="Arial" w:cs="Arial"/>
                      <w:color w:val="000000"/>
                      <w:sz w:val="18"/>
                      <w:szCs w:val="18"/>
                    </w:rPr>
                    <w:t>capital gains tax</w:t>
                  </w:r>
                  <w:r w:rsidRPr="00300DC2">
                    <w:rPr>
                      <w:rFonts w:ascii="Arial" w:hAnsi="Arial" w:cs="Arial"/>
                      <w:color w:val="000000"/>
                      <w:sz w:val="18"/>
                      <w:szCs w:val="18"/>
                    </w:rPr>
                    <w:t xml:space="preserve"> retirement exemption</w:t>
                  </w:r>
                </w:p>
              </w:tc>
              <w:tc>
                <w:tcPr>
                  <w:tcW w:w="466" w:type="pct"/>
                  <w:vAlign w:val="bottom"/>
                </w:tcPr>
                <w:p w:rsidR="00AC2131" w:rsidRDefault="00AC2131" w:rsidP="00AC2131">
                  <w:pPr>
                    <w:pStyle w:val="TableBodyText"/>
                    <w:spacing w:after="0"/>
                    <w:ind w:left="0" w:right="57"/>
                  </w:pPr>
                  <w:r>
                    <w:t>16.0</w:t>
                  </w:r>
                </w:p>
              </w:tc>
              <w:tc>
                <w:tcPr>
                  <w:tcW w:w="467" w:type="pct"/>
                  <w:vAlign w:val="bottom"/>
                </w:tcPr>
                <w:p w:rsidR="00AC2131" w:rsidRDefault="00AC2131" w:rsidP="00AC2131">
                  <w:pPr>
                    <w:pStyle w:val="TableBodyText"/>
                    <w:spacing w:after="0"/>
                    <w:ind w:left="0" w:right="57"/>
                  </w:pPr>
                  <w:r>
                    <w:t>8.9</w:t>
                  </w:r>
                </w:p>
              </w:tc>
              <w:tc>
                <w:tcPr>
                  <w:tcW w:w="467" w:type="pct"/>
                  <w:vAlign w:val="bottom"/>
                </w:tcPr>
                <w:p w:rsidR="00AC2131" w:rsidRDefault="00AC2131" w:rsidP="00AC2131">
                  <w:pPr>
                    <w:pStyle w:val="TableBodyText"/>
                    <w:spacing w:after="0"/>
                    <w:ind w:left="0" w:right="57"/>
                  </w:pPr>
                  <w:r>
                    <w:t>8.7</w:t>
                  </w:r>
                </w:p>
              </w:tc>
              <w:tc>
                <w:tcPr>
                  <w:tcW w:w="467" w:type="pct"/>
                  <w:vAlign w:val="bottom"/>
                </w:tcPr>
                <w:p w:rsidR="00AC2131" w:rsidRDefault="00AC2131" w:rsidP="00AC2131">
                  <w:pPr>
                    <w:pStyle w:val="TableBodyText"/>
                    <w:spacing w:after="0"/>
                    <w:ind w:left="0" w:right="57"/>
                  </w:pPr>
                  <w:r>
                    <w:t>6.2</w:t>
                  </w:r>
                </w:p>
              </w:tc>
              <w:tc>
                <w:tcPr>
                  <w:tcW w:w="467" w:type="pct"/>
                  <w:shd w:val="clear" w:color="auto" w:fill="auto"/>
                  <w:vAlign w:val="bottom"/>
                </w:tcPr>
                <w:p w:rsidR="00AC2131" w:rsidRDefault="00AC2131" w:rsidP="00AC2131">
                  <w:pPr>
                    <w:pStyle w:val="TableBodyText"/>
                    <w:spacing w:after="0"/>
                    <w:ind w:left="0" w:right="57"/>
                  </w:pPr>
                  <w:r>
                    <w:t>6.2</w:t>
                  </w:r>
                </w:p>
              </w:tc>
              <w:tc>
                <w:tcPr>
                  <w:tcW w:w="466" w:type="pct"/>
                  <w:shd w:val="clear" w:color="auto" w:fill="auto"/>
                  <w:vAlign w:val="bottom"/>
                </w:tcPr>
                <w:p w:rsidR="00AC2131" w:rsidRDefault="00AC2131" w:rsidP="00AC2131">
                  <w:pPr>
                    <w:pStyle w:val="TableBodyText"/>
                    <w:spacing w:after="0"/>
                    <w:ind w:left="0" w:right="57"/>
                  </w:pPr>
                  <w:r>
                    <w:t>6.6</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sidRPr="00300DC2">
                    <w:rPr>
                      <w:rFonts w:ascii="Arial" w:hAnsi="Arial" w:cs="Arial"/>
                      <w:color w:val="000000"/>
                      <w:sz w:val="18"/>
                      <w:szCs w:val="18"/>
                    </w:rPr>
                    <w:t xml:space="preserve">Small business </w:t>
                  </w:r>
                  <w:r>
                    <w:rPr>
                      <w:rFonts w:ascii="Arial" w:hAnsi="Arial" w:cs="Arial"/>
                      <w:color w:val="000000"/>
                      <w:sz w:val="18"/>
                      <w:szCs w:val="18"/>
                    </w:rPr>
                    <w:t>capital gains tax</w:t>
                  </w:r>
                  <w:r w:rsidRPr="00300DC2">
                    <w:rPr>
                      <w:rFonts w:ascii="Arial" w:hAnsi="Arial" w:cs="Arial"/>
                      <w:color w:val="000000"/>
                      <w:sz w:val="18"/>
                      <w:szCs w:val="18"/>
                    </w:rPr>
                    <w:t xml:space="preserve"> rollover deferral</w:t>
                  </w:r>
                </w:p>
              </w:tc>
              <w:tc>
                <w:tcPr>
                  <w:tcW w:w="466" w:type="pct"/>
                  <w:vAlign w:val="bottom"/>
                </w:tcPr>
                <w:p w:rsidR="00AC2131" w:rsidRDefault="00AC2131" w:rsidP="00AC2131">
                  <w:pPr>
                    <w:pStyle w:val="TableBodyText"/>
                    <w:spacing w:after="0"/>
                    <w:ind w:left="0" w:right="57"/>
                  </w:pPr>
                  <w:r>
                    <w:t>9.5</w:t>
                  </w:r>
                </w:p>
              </w:tc>
              <w:tc>
                <w:tcPr>
                  <w:tcW w:w="467" w:type="pct"/>
                  <w:vAlign w:val="bottom"/>
                </w:tcPr>
                <w:p w:rsidR="00AC2131" w:rsidRDefault="00AC2131" w:rsidP="00AC2131">
                  <w:pPr>
                    <w:pStyle w:val="TableBodyText"/>
                    <w:spacing w:after="0"/>
                    <w:ind w:left="0" w:right="57"/>
                  </w:pPr>
                  <w:r>
                    <w:t>5.0</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1.2</w:t>
                  </w:r>
                </w:p>
              </w:tc>
              <w:tc>
                <w:tcPr>
                  <w:tcW w:w="467" w:type="pct"/>
                  <w:shd w:val="clear" w:color="auto" w:fill="auto"/>
                  <w:vAlign w:val="bottom"/>
                </w:tcPr>
                <w:p w:rsidR="00AC2131" w:rsidRDefault="00AC2131" w:rsidP="00AC2131">
                  <w:pPr>
                    <w:pStyle w:val="TableBodyText"/>
                    <w:spacing w:after="0"/>
                    <w:ind w:left="0" w:right="57"/>
                  </w:pPr>
                  <w:r>
                    <w:t>1.5</w:t>
                  </w:r>
                </w:p>
              </w:tc>
              <w:tc>
                <w:tcPr>
                  <w:tcW w:w="466" w:type="pct"/>
                  <w:shd w:val="clear" w:color="auto" w:fill="auto"/>
                  <w:vAlign w:val="bottom"/>
                </w:tcPr>
                <w:p w:rsidR="00AC2131" w:rsidRDefault="00AC2131" w:rsidP="00AC2131">
                  <w:pPr>
                    <w:pStyle w:val="TableBodyText"/>
                    <w:spacing w:after="0"/>
                    <w:ind w:left="0" w:right="57"/>
                  </w:pPr>
                  <w:r>
                    <w:t>1.6</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sidRPr="00300DC2">
                    <w:rPr>
                      <w:rFonts w:ascii="Arial" w:hAnsi="Arial" w:cs="Arial"/>
                      <w:color w:val="000000"/>
                      <w:sz w:val="18"/>
                      <w:szCs w:val="18"/>
                    </w:rPr>
                    <w:t>Small business programs</w:t>
                  </w:r>
                </w:p>
              </w:tc>
              <w:tc>
                <w:tcPr>
                  <w:tcW w:w="466"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sidRPr="00300DC2">
                    <w:rPr>
                      <w:rFonts w:ascii="Arial" w:hAnsi="Arial" w:cs="Arial"/>
                      <w:color w:val="000000"/>
                      <w:sz w:val="18"/>
                      <w:szCs w:val="18"/>
                    </w:rPr>
                    <w:t>South Australia Innovation and Investment Fund and Labour Assistance Package</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sidRPr="00300DC2">
                    <w:rPr>
                      <w:rFonts w:ascii="Arial" w:hAnsi="Arial" w:cs="Arial"/>
                      <w:color w:val="000000"/>
                      <w:sz w:val="18"/>
                      <w:szCs w:val="18"/>
                    </w:rPr>
                    <w:t>South East South Australia Innovation and Investment Fund</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&lt;0.1</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00DC2" w:rsidRDefault="00AC2131" w:rsidP="00AC2131">
                  <w:pPr>
                    <w:ind w:left="227"/>
                    <w:rPr>
                      <w:rFonts w:ascii="Arial" w:hAnsi="Arial" w:cs="Arial"/>
                      <w:color w:val="000000"/>
                      <w:sz w:val="18"/>
                      <w:szCs w:val="18"/>
                    </w:rPr>
                  </w:pPr>
                  <w:r w:rsidRPr="00300DC2">
                    <w:rPr>
                      <w:rFonts w:ascii="Arial" w:hAnsi="Arial" w:cs="Arial"/>
                      <w:color w:val="000000"/>
                      <w:sz w:val="18"/>
                      <w:szCs w:val="18"/>
                    </w:rPr>
                    <w:t>The Small Business and General Business Tax Break</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147.9</w:t>
                  </w:r>
                </w:p>
              </w:tc>
              <w:tc>
                <w:tcPr>
                  <w:tcW w:w="467" w:type="pct"/>
                  <w:vAlign w:val="bottom"/>
                </w:tcPr>
                <w:p w:rsidR="00AC2131" w:rsidRDefault="00AC2131" w:rsidP="00AC2131">
                  <w:pPr>
                    <w:pStyle w:val="TableBodyText"/>
                    <w:spacing w:after="0"/>
                    <w:ind w:left="0" w:right="57"/>
                  </w:pPr>
                  <w:r>
                    <w:t>66.8</w:t>
                  </w:r>
                </w:p>
              </w:tc>
              <w:tc>
                <w:tcPr>
                  <w:tcW w:w="467" w:type="pct"/>
                  <w:vAlign w:val="bottom"/>
                </w:tcPr>
                <w:p w:rsidR="00AC2131" w:rsidRDefault="00AC2131" w:rsidP="00AC2131">
                  <w:pPr>
                    <w:pStyle w:val="TableBodyText"/>
                    <w:spacing w:after="0"/>
                    <w:ind w:left="0" w:right="57"/>
                  </w:pPr>
                  <w:r>
                    <w:t>58.2</w:t>
                  </w:r>
                </w:p>
              </w:tc>
              <w:tc>
                <w:tcPr>
                  <w:tcW w:w="467" w:type="pct"/>
                  <w:shd w:val="clear" w:color="auto" w:fill="auto"/>
                  <w:vAlign w:val="bottom"/>
                </w:tcPr>
                <w:p w:rsidR="00AC2131" w:rsidRDefault="00AC2131" w:rsidP="00AC2131">
                  <w:pPr>
                    <w:pStyle w:val="TableBodyText"/>
                    <w:spacing w:after="0"/>
                    <w:ind w:left="0" w:right="57"/>
                  </w:pPr>
                  <w:r>
                    <w:t>20.2</w:t>
                  </w:r>
                </w:p>
              </w:tc>
              <w:tc>
                <w:tcPr>
                  <w:tcW w:w="466" w:type="pct"/>
                  <w:shd w:val="clear" w:color="auto" w:fill="auto"/>
                  <w:vAlign w:val="bottom"/>
                </w:tcPr>
                <w:p w:rsidR="00AC2131" w:rsidRDefault="00AC2131" w:rsidP="00AC2131">
                  <w:pPr>
                    <w:pStyle w:val="TableBodyText"/>
                    <w:spacing w:after="0"/>
                    <w:ind w:left="0" w:right="57"/>
                  </w:pPr>
                  <w:r>
                    <w:t>2.4</w:t>
                  </w:r>
                </w:p>
              </w:tc>
            </w:tr>
            <w:tr w:rsidR="00AC2131" w:rsidTr="00AC2131">
              <w:tc>
                <w:tcPr>
                  <w:tcW w:w="2200" w:type="pct"/>
                  <w:shd w:val="clear" w:color="auto" w:fill="auto"/>
                </w:tcPr>
                <w:p w:rsidR="00AC2131" w:rsidRPr="00300DC2" w:rsidRDefault="00AC2131" w:rsidP="00AC2131">
                  <w:pPr>
                    <w:pStyle w:val="TableBodyText"/>
                    <w:spacing w:before="20" w:after="20"/>
                    <w:jc w:val="left"/>
                    <w:rPr>
                      <w:i/>
                    </w:rPr>
                  </w:pPr>
                  <w:r w:rsidRPr="00300DC2">
                    <w:rPr>
                      <w:i/>
                    </w:rPr>
                    <w:t>Total</w:t>
                  </w:r>
                </w:p>
              </w:tc>
              <w:tc>
                <w:tcPr>
                  <w:tcW w:w="466" w:type="pct"/>
                  <w:vAlign w:val="bottom"/>
                </w:tcPr>
                <w:p w:rsidR="00AC2131" w:rsidRPr="000507F8" w:rsidRDefault="00AC2131" w:rsidP="00AC2131">
                  <w:pPr>
                    <w:pStyle w:val="TableBodyText"/>
                    <w:spacing w:before="20" w:after="20"/>
                    <w:ind w:left="0" w:right="57"/>
                    <w:rPr>
                      <w:i/>
                    </w:rPr>
                  </w:pPr>
                  <w:r w:rsidRPr="000507F8">
                    <w:rPr>
                      <w:i/>
                    </w:rPr>
                    <w:t>160.1</w:t>
                  </w:r>
                </w:p>
              </w:tc>
              <w:tc>
                <w:tcPr>
                  <w:tcW w:w="467" w:type="pct"/>
                  <w:vAlign w:val="bottom"/>
                </w:tcPr>
                <w:p w:rsidR="00AC2131" w:rsidRPr="000507F8" w:rsidRDefault="00AC2131" w:rsidP="00AC2131">
                  <w:pPr>
                    <w:pStyle w:val="TableBodyText"/>
                    <w:spacing w:before="20" w:after="20"/>
                    <w:ind w:left="0" w:right="57"/>
                    <w:rPr>
                      <w:i/>
                    </w:rPr>
                  </w:pPr>
                  <w:r w:rsidRPr="000507F8">
                    <w:rPr>
                      <w:i/>
                    </w:rPr>
                    <w:t>301.2</w:t>
                  </w:r>
                </w:p>
              </w:tc>
              <w:tc>
                <w:tcPr>
                  <w:tcW w:w="467" w:type="pct"/>
                  <w:vAlign w:val="bottom"/>
                </w:tcPr>
                <w:p w:rsidR="00AC2131" w:rsidRPr="000507F8" w:rsidRDefault="00AC2131" w:rsidP="00AC2131">
                  <w:pPr>
                    <w:pStyle w:val="TableBodyText"/>
                    <w:spacing w:before="20" w:after="20"/>
                    <w:ind w:left="0" w:right="57"/>
                    <w:rPr>
                      <w:i/>
                    </w:rPr>
                  </w:pPr>
                  <w:r w:rsidRPr="000507F8">
                    <w:rPr>
                      <w:i/>
                    </w:rPr>
                    <w:t>208.9</w:t>
                  </w:r>
                </w:p>
              </w:tc>
              <w:tc>
                <w:tcPr>
                  <w:tcW w:w="467" w:type="pct"/>
                  <w:vAlign w:val="bottom"/>
                </w:tcPr>
                <w:p w:rsidR="00AC2131" w:rsidRPr="000507F8" w:rsidRDefault="00AC2131" w:rsidP="00AC2131">
                  <w:pPr>
                    <w:pStyle w:val="TableBodyText"/>
                    <w:spacing w:before="20" w:after="20"/>
                    <w:ind w:left="0" w:right="57"/>
                    <w:rPr>
                      <w:i/>
                    </w:rPr>
                  </w:pPr>
                  <w:r w:rsidRPr="000507F8">
                    <w:rPr>
                      <w:i/>
                    </w:rPr>
                    <w:t>210.5</w:t>
                  </w:r>
                </w:p>
              </w:tc>
              <w:tc>
                <w:tcPr>
                  <w:tcW w:w="467" w:type="pct"/>
                  <w:shd w:val="clear" w:color="auto" w:fill="auto"/>
                  <w:vAlign w:val="bottom"/>
                </w:tcPr>
                <w:p w:rsidR="00AC2131" w:rsidRPr="000507F8" w:rsidRDefault="00AC2131" w:rsidP="00AC2131">
                  <w:pPr>
                    <w:pStyle w:val="TableBodyText"/>
                    <w:spacing w:before="20" w:after="20"/>
                    <w:ind w:left="0" w:right="57"/>
                    <w:rPr>
                      <w:i/>
                    </w:rPr>
                  </w:pPr>
                  <w:r w:rsidRPr="000507F8">
                    <w:rPr>
                      <w:i/>
                    </w:rPr>
                    <w:t>155.5</w:t>
                  </w:r>
                </w:p>
              </w:tc>
              <w:tc>
                <w:tcPr>
                  <w:tcW w:w="466" w:type="pct"/>
                  <w:shd w:val="clear" w:color="auto" w:fill="auto"/>
                  <w:vAlign w:val="bottom"/>
                </w:tcPr>
                <w:p w:rsidR="00AC2131" w:rsidRPr="000507F8" w:rsidRDefault="00AC2131" w:rsidP="00AC2131">
                  <w:pPr>
                    <w:pStyle w:val="TableBodyText"/>
                    <w:spacing w:before="20" w:after="20"/>
                    <w:ind w:left="0" w:right="57"/>
                    <w:rPr>
                      <w:i/>
                    </w:rPr>
                  </w:pPr>
                  <w:r w:rsidRPr="000507F8">
                    <w:rPr>
                      <w:i/>
                    </w:rPr>
                    <w:t>342.4</w:t>
                  </w:r>
                </w:p>
              </w:tc>
            </w:tr>
            <w:tr w:rsidR="00AC2131" w:rsidTr="00AC2131">
              <w:tc>
                <w:tcPr>
                  <w:tcW w:w="2200" w:type="pct"/>
                  <w:shd w:val="clear" w:color="auto" w:fill="auto"/>
                </w:tcPr>
                <w:p w:rsidR="00AC2131" w:rsidRPr="005F55A9" w:rsidRDefault="00AC2131" w:rsidP="00AC2131">
                  <w:pPr>
                    <w:pStyle w:val="TableBodyText"/>
                    <w:spacing w:before="40"/>
                    <w:jc w:val="left"/>
                    <w:rPr>
                      <w:b/>
                    </w:rPr>
                  </w:pPr>
                  <w:r w:rsidRPr="005F55A9">
                    <w:rPr>
                      <w:b/>
                    </w:rPr>
                    <w:t>Wholesale trade</w:t>
                  </w:r>
                </w:p>
              </w:tc>
              <w:tc>
                <w:tcPr>
                  <w:tcW w:w="466"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6" w:type="pct"/>
                  <w:shd w:val="clear" w:color="auto" w:fill="auto"/>
                </w:tcPr>
                <w:p w:rsidR="00AC2131" w:rsidRDefault="00AC2131" w:rsidP="00AC2131">
                  <w:pPr>
                    <w:pStyle w:val="TableBodyText"/>
                    <w:spacing w:before="40"/>
                    <w:ind w:right="28"/>
                  </w:pPr>
                </w:p>
              </w:tc>
            </w:tr>
            <w:tr w:rsidR="00AC2131" w:rsidTr="00AC2131">
              <w:tc>
                <w:tcPr>
                  <w:tcW w:w="2200" w:type="pct"/>
                  <w:shd w:val="clear" w:color="auto" w:fill="auto"/>
                </w:tcPr>
                <w:p w:rsidR="00AC2131" w:rsidRPr="005F55A9" w:rsidRDefault="00AC2131" w:rsidP="00AC2131">
                  <w:pPr>
                    <w:pStyle w:val="TableBodyText"/>
                    <w:spacing w:before="40" w:after="0"/>
                    <w:ind w:left="113"/>
                    <w:jc w:val="left"/>
                    <w:rPr>
                      <w:rFonts w:cs="Arial"/>
                      <w:i/>
                      <w:szCs w:val="18"/>
                    </w:rPr>
                  </w:pPr>
                  <w:r w:rsidRPr="005F55A9">
                    <w:rPr>
                      <w:rFonts w:cs="Arial"/>
                      <w:i/>
                      <w:szCs w:val="18"/>
                    </w:rPr>
                    <w:t>Industry-specific measures</w:t>
                  </w:r>
                </w:p>
              </w:tc>
              <w:tc>
                <w:tcPr>
                  <w:tcW w:w="466"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5F55A9" w:rsidRDefault="00AC2131" w:rsidP="00AC2131">
                  <w:pPr>
                    <w:ind w:left="227"/>
                    <w:rPr>
                      <w:rFonts w:ascii="Arial" w:hAnsi="Arial" w:cs="Arial"/>
                      <w:color w:val="000000"/>
                      <w:sz w:val="18"/>
                      <w:szCs w:val="18"/>
                    </w:rPr>
                  </w:pPr>
                  <w:r w:rsidRPr="005F55A9">
                    <w:rPr>
                      <w:rFonts w:ascii="Arial" w:hAnsi="Arial" w:cs="Arial"/>
                      <w:color w:val="000000"/>
                      <w:sz w:val="18"/>
                      <w:szCs w:val="18"/>
                    </w:rPr>
                    <w:t>Ethanol Distribution Program</w:t>
                  </w:r>
                </w:p>
              </w:tc>
              <w:tc>
                <w:tcPr>
                  <w:tcW w:w="466"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F55A9" w:rsidRDefault="00AC2131" w:rsidP="00AC2131">
                  <w:pPr>
                    <w:ind w:left="227"/>
                    <w:rPr>
                      <w:rFonts w:ascii="Arial" w:hAnsi="Arial" w:cs="Arial"/>
                      <w:color w:val="000000"/>
                      <w:sz w:val="18"/>
                      <w:szCs w:val="18"/>
                    </w:rPr>
                  </w:pPr>
                  <w:r w:rsidRPr="005F55A9">
                    <w:rPr>
                      <w:rFonts w:ascii="Arial" w:hAnsi="Arial" w:cs="Arial"/>
                      <w:color w:val="000000"/>
                      <w:sz w:val="18"/>
                      <w:szCs w:val="18"/>
                    </w:rPr>
                    <w:t>TCF Small Business Program</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&lt;0.1</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5F55A9" w:rsidRDefault="00AC2131" w:rsidP="00AC2131">
                  <w:pPr>
                    <w:pStyle w:val="TableBodyText"/>
                    <w:spacing w:before="40" w:after="0"/>
                    <w:ind w:left="113"/>
                    <w:jc w:val="left"/>
                    <w:rPr>
                      <w:i/>
                    </w:rPr>
                  </w:pPr>
                  <w:r w:rsidRPr="005F55A9">
                    <w:rPr>
                      <w:i/>
                    </w:rPr>
                    <w:t>Sector-specific measures</w:t>
                  </w:r>
                </w:p>
              </w:tc>
              <w:tc>
                <w:tcPr>
                  <w:tcW w:w="466"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RPr="000C3BED" w:rsidTr="00AC2131">
              <w:tc>
                <w:tcPr>
                  <w:tcW w:w="2200" w:type="pct"/>
                  <w:shd w:val="clear" w:color="auto" w:fill="auto"/>
                </w:tcPr>
                <w:p w:rsidR="00AC2131" w:rsidRPr="000C3BED" w:rsidRDefault="00AC2131" w:rsidP="00AC2131">
                  <w:pPr>
                    <w:pStyle w:val="TableBodyText"/>
                    <w:spacing w:after="0"/>
                    <w:ind w:left="227" w:right="0"/>
                    <w:jc w:val="left"/>
                  </w:pPr>
                  <w:r w:rsidRPr="000C3BED">
                    <w:t>Exceptional Circumstances – interest rate subsidies</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5F55A9" w:rsidRDefault="00AC2131" w:rsidP="00AC2131">
                  <w:pPr>
                    <w:pStyle w:val="TableBodyText"/>
                    <w:spacing w:before="40" w:after="0"/>
                    <w:ind w:left="113"/>
                    <w:jc w:val="left"/>
                    <w:rPr>
                      <w:i/>
                    </w:rPr>
                  </w:pPr>
                  <w:r w:rsidRPr="005F55A9">
                    <w:rPr>
                      <w:i/>
                    </w:rPr>
                    <w:t>General export measures</w:t>
                  </w:r>
                </w:p>
              </w:tc>
              <w:tc>
                <w:tcPr>
                  <w:tcW w:w="466"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5F55A9" w:rsidRDefault="00AC2131" w:rsidP="00AC2131">
                  <w:pPr>
                    <w:ind w:left="227"/>
                    <w:rPr>
                      <w:rFonts w:ascii="Arial" w:hAnsi="Arial" w:cs="Arial"/>
                      <w:color w:val="000000"/>
                      <w:sz w:val="18"/>
                      <w:szCs w:val="18"/>
                    </w:rPr>
                  </w:pPr>
                  <w:r w:rsidRPr="005F55A9">
                    <w:rPr>
                      <w:rFonts w:ascii="Arial" w:hAnsi="Arial" w:cs="Arial"/>
                      <w:color w:val="000000"/>
                      <w:sz w:val="18"/>
                      <w:szCs w:val="18"/>
                    </w:rPr>
                    <w:t>Export Market Development Grants Scheme</w:t>
                  </w:r>
                </w:p>
              </w:tc>
              <w:tc>
                <w:tcPr>
                  <w:tcW w:w="466" w:type="pct"/>
                  <w:vAlign w:val="bottom"/>
                </w:tcPr>
                <w:p w:rsidR="00AC2131" w:rsidRDefault="00AC2131" w:rsidP="00AC2131">
                  <w:pPr>
                    <w:pStyle w:val="TableBodyText"/>
                    <w:spacing w:after="0"/>
                    <w:ind w:left="0" w:right="57"/>
                  </w:pPr>
                  <w:r>
                    <w:t>14.3</w:t>
                  </w:r>
                </w:p>
              </w:tc>
              <w:tc>
                <w:tcPr>
                  <w:tcW w:w="467" w:type="pct"/>
                  <w:vAlign w:val="bottom"/>
                </w:tcPr>
                <w:p w:rsidR="00AC2131" w:rsidRDefault="00AC2131" w:rsidP="00AC2131">
                  <w:pPr>
                    <w:pStyle w:val="TableBodyText"/>
                    <w:spacing w:after="0"/>
                    <w:ind w:left="0" w:right="57"/>
                  </w:pPr>
                  <w:r>
                    <w:t>13.8</w:t>
                  </w:r>
                </w:p>
              </w:tc>
              <w:tc>
                <w:tcPr>
                  <w:tcW w:w="467" w:type="pct"/>
                  <w:vAlign w:val="bottom"/>
                </w:tcPr>
                <w:p w:rsidR="00AC2131" w:rsidRDefault="00AC2131" w:rsidP="00AC2131">
                  <w:pPr>
                    <w:pStyle w:val="TableBodyText"/>
                    <w:spacing w:after="0"/>
                    <w:ind w:left="0" w:right="57"/>
                  </w:pPr>
                  <w:r>
                    <w:t>11.1</w:t>
                  </w:r>
                </w:p>
              </w:tc>
              <w:tc>
                <w:tcPr>
                  <w:tcW w:w="467" w:type="pct"/>
                  <w:vAlign w:val="bottom"/>
                </w:tcPr>
                <w:p w:rsidR="00AC2131" w:rsidRDefault="00AC2131" w:rsidP="00AC2131">
                  <w:pPr>
                    <w:pStyle w:val="TableBodyText"/>
                    <w:spacing w:after="0"/>
                    <w:ind w:left="0" w:right="57"/>
                  </w:pPr>
                  <w:r>
                    <w:t>10.3</w:t>
                  </w:r>
                </w:p>
              </w:tc>
              <w:tc>
                <w:tcPr>
                  <w:tcW w:w="467" w:type="pct"/>
                  <w:shd w:val="clear" w:color="auto" w:fill="auto"/>
                  <w:vAlign w:val="bottom"/>
                </w:tcPr>
                <w:p w:rsidR="00AC2131" w:rsidRDefault="00AC2131" w:rsidP="00AC2131">
                  <w:pPr>
                    <w:pStyle w:val="TableBodyText"/>
                    <w:spacing w:after="0"/>
                    <w:ind w:left="0" w:right="57"/>
                  </w:pPr>
                  <w:r>
                    <w:t>10.6</w:t>
                  </w:r>
                </w:p>
              </w:tc>
              <w:tc>
                <w:tcPr>
                  <w:tcW w:w="466" w:type="pct"/>
                  <w:shd w:val="clear" w:color="auto" w:fill="auto"/>
                  <w:vAlign w:val="bottom"/>
                </w:tcPr>
                <w:p w:rsidR="00AC2131" w:rsidRDefault="00AC2131" w:rsidP="00AC2131">
                  <w:pPr>
                    <w:pStyle w:val="TableBodyText"/>
                    <w:spacing w:after="0"/>
                    <w:ind w:left="0" w:right="57"/>
                  </w:pPr>
                  <w:r>
                    <w:t>8.6</w:t>
                  </w:r>
                </w:p>
              </w:tc>
            </w:tr>
            <w:tr w:rsidR="00AC2131" w:rsidTr="00AC2131">
              <w:tc>
                <w:tcPr>
                  <w:tcW w:w="2200" w:type="pct"/>
                  <w:shd w:val="clear" w:color="auto" w:fill="auto"/>
                  <w:vAlign w:val="bottom"/>
                </w:tcPr>
                <w:p w:rsidR="00AC2131" w:rsidRPr="005F55A9" w:rsidRDefault="00AC2131" w:rsidP="00AC2131">
                  <w:pPr>
                    <w:ind w:left="227"/>
                    <w:rPr>
                      <w:rFonts w:ascii="Arial" w:hAnsi="Arial" w:cs="Arial"/>
                      <w:color w:val="000000"/>
                      <w:sz w:val="18"/>
                      <w:szCs w:val="18"/>
                    </w:rPr>
                  </w:pPr>
                  <w:r w:rsidRPr="005F55A9">
                    <w:rPr>
                      <w:rFonts w:ascii="Arial" w:hAnsi="Arial" w:cs="Arial"/>
                      <w:color w:val="000000"/>
                      <w:sz w:val="18"/>
                      <w:szCs w:val="18"/>
                    </w:rPr>
                    <w:t>TRADEX</w:t>
                  </w:r>
                </w:p>
              </w:tc>
              <w:tc>
                <w:tcPr>
                  <w:tcW w:w="466" w:type="pct"/>
                  <w:vAlign w:val="bottom"/>
                </w:tcPr>
                <w:p w:rsidR="00AC2131" w:rsidRDefault="00AC2131" w:rsidP="00AC2131">
                  <w:pPr>
                    <w:pStyle w:val="TableBodyText"/>
                    <w:spacing w:after="0"/>
                    <w:ind w:left="0" w:right="57"/>
                  </w:pPr>
                  <w:r>
                    <w:t>2.9</w:t>
                  </w:r>
                </w:p>
              </w:tc>
              <w:tc>
                <w:tcPr>
                  <w:tcW w:w="467" w:type="pct"/>
                  <w:vAlign w:val="bottom"/>
                </w:tcPr>
                <w:p w:rsidR="00AC2131" w:rsidRDefault="00AC2131" w:rsidP="00AC2131">
                  <w:pPr>
                    <w:pStyle w:val="TableBodyText"/>
                    <w:spacing w:after="0"/>
                    <w:ind w:left="0" w:right="57"/>
                  </w:pPr>
                  <w:r>
                    <w:t>2.6</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1.8</w:t>
                  </w:r>
                </w:p>
              </w:tc>
              <w:tc>
                <w:tcPr>
                  <w:tcW w:w="467" w:type="pct"/>
                  <w:shd w:val="clear" w:color="auto" w:fill="auto"/>
                  <w:vAlign w:val="bottom"/>
                </w:tcPr>
                <w:p w:rsidR="00AC2131" w:rsidRDefault="00AC2131" w:rsidP="00AC2131">
                  <w:pPr>
                    <w:pStyle w:val="TableBodyText"/>
                    <w:spacing w:after="0"/>
                    <w:ind w:left="0" w:right="57"/>
                  </w:pPr>
                  <w:r>
                    <w:t>1.9</w:t>
                  </w:r>
                </w:p>
              </w:tc>
              <w:tc>
                <w:tcPr>
                  <w:tcW w:w="466" w:type="pct"/>
                  <w:shd w:val="clear" w:color="auto" w:fill="auto"/>
                  <w:vAlign w:val="bottom"/>
                </w:tcPr>
                <w:p w:rsidR="00AC2131" w:rsidRDefault="00AC2131" w:rsidP="00AC2131">
                  <w:pPr>
                    <w:pStyle w:val="TableBodyText"/>
                    <w:spacing w:after="0"/>
                    <w:ind w:left="0" w:right="57"/>
                  </w:pPr>
                  <w:r>
                    <w:t>1.9</w:t>
                  </w:r>
                </w:p>
              </w:tc>
            </w:tr>
            <w:tr w:rsidR="00AC2131" w:rsidTr="00AC2131">
              <w:tc>
                <w:tcPr>
                  <w:tcW w:w="2200" w:type="pct"/>
                  <w:shd w:val="clear" w:color="auto" w:fill="auto"/>
                </w:tcPr>
                <w:p w:rsidR="00AC2131" w:rsidRPr="005F55A9" w:rsidRDefault="00AC2131" w:rsidP="00AC2131">
                  <w:pPr>
                    <w:pStyle w:val="TableBodyText"/>
                    <w:spacing w:before="40" w:after="0"/>
                    <w:ind w:left="113"/>
                    <w:jc w:val="left"/>
                    <w:rPr>
                      <w:i/>
                    </w:rPr>
                  </w:pPr>
                  <w:r w:rsidRPr="005F55A9">
                    <w:rPr>
                      <w:i/>
                    </w:rPr>
                    <w:t>General R&amp;D measures</w:t>
                  </w:r>
                </w:p>
              </w:tc>
              <w:tc>
                <w:tcPr>
                  <w:tcW w:w="466"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7C7B9D" w:rsidRDefault="00AC2131" w:rsidP="00AC2131">
                  <w:pPr>
                    <w:ind w:left="227"/>
                    <w:rPr>
                      <w:rFonts w:ascii="Arial" w:hAnsi="Arial" w:cs="Arial"/>
                      <w:color w:val="000000"/>
                      <w:sz w:val="18"/>
                      <w:szCs w:val="18"/>
                    </w:rPr>
                  </w:pPr>
                  <w:r w:rsidRPr="007C7B9D">
                    <w:rPr>
                      <w:rFonts w:ascii="Arial" w:hAnsi="Arial" w:cs="Arial"/>
                      <w:color w:val="000000"/>
                      <w:sz w:val="18"/>
                      <w:szCs w:val="18"/>
                    </w:rPr>
                    <w:t xml:space="preserve">Clean Business Australia </w:t>
                  </w:r>
                  <w:r>
                    <w:rPr>
                      <w:rFonts w:ascii="Arial" w:hAnsi="Arial" w:cs="Arial"/>
                      <w:color w:val="000000"/>
                      <w:sz w:val="18"/>
                      <w:szCs w:val="18"/>
                    </w:rPr>
                    <w:t>–</w:t>
                  </w:r>
                  <w:r w:rsidRPr="007C7B9D">
                    <w:rPr>
                      <w:rFonts w:ascii="Arial" w:hAnsi="Arial" w:cs="Arial"/>
                      <w:color w:val="000000"/>
                      <w:sz w:val="18"/>
                      <w:szCs w:val="18"/>
                    </w:rPr>
                    <w:t xml:space="preserve"> Climate Ready Program</w:t>
                  </w:r>
                </w:p>
              </w:tc>
              <w:tc>
                <w:tcPr>
                  <w:tcW w:w="466"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7C7B9D" w:rsidRDefault="00AC2131" w:rsidP="00AC2131">
                  <w:pPr>
                    <w:ind w:left="227"/>
                    <w:rPr>
                      <w:rFonts w:ascii="Arial" w:hAnsi="Arial" w:cs="Arial"/>
                      <w:color w:val="000000"/>
                      <w:sz w:val="18"/>
                      <w:szCs w:val="18"/>
                    </w:rPr>
                  </w:pPr>
                  <w:r w:rsidRPr="007C7B9D">
                    <w:rPr>
                      <w:rFonts w:ascii="Arial" w:hAnsi="Arial" w:cs="Arial"/>
                      <w:color w:val="000000"/>
                      <w:sz w:val="18"/>
                      <w:szCs w:val="18"/>
                    </w:rPr>
                    <w:t>COMET Program</w:t>
                  </w:r>
                </w:p>
              </w:tc>
              <w:tc>
                <w:tcPr>
                  <w:tcW w:w="466"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7C7B9D" w:rsidRDefault="00AC2131" w:rsidP="00AC2131">
                  <w:pPr>
                    <w:ind w:left="227"/>
                    <w:rPr>
                      <w:rFonts w:ascii="Arial" w:hAnsi="Arial" w:cs="Arial"/>
                      <w:color w:val="000000"/>
                      <w:sz w:val="18"/>
                      <w:szCs w:val="18"/>
                    </w:rPr>
                  </w:pPr>
                  <w:r w:rsidRPr="007C7B9D">
                    <w:rPr>
                      <w:rFonts w:ascii="Arial" w:hAnsi="Arial" w:cs="Arial"/>
                      <w:color w:val="000000"/>
                      <w:sz w:val="18"/>
                      <w:szCs w:val="18"/>
                    </w:rPr>
                    <w:t>Commercial Ready Program</w:t>
                  </w:r>
                </w:p>
              </w:tc>
              <w:tc>
                <w:tcPr>
                  <w:tcW w:w="466"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7C7B9D" w:rsidRDefault="00AC2131" w:rsidP="00AC2131">
                  <w:pPr>
                    <w:ind w:left="227"/>
                    <w:rPr>
                      <w:rFonts w:ascii="Arial" w:hAnsi="Arial" w:cs="Arial"/>
                      <w:color w:val="000000"/>
                      <w:sz w:val="18"/>
                      <w:szCs w:val="18"/>
                    </w:rPr>
                  </w:pPr>
                  <w:r w:rsidRPr="007C7B9D">
                    <w:rPr>
                      <w:rFonts w:ascii="Arial" w:hAnsi="Arial" w:cs="Arial"/>
                      <w:color w:val="000000"/>
                      <w:sz w:val="18"/>
                      <w:szCs w:val="18"/>
                    </w:rPr>
                    <w:t>Commercialisation Australia</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1.8</w:t>
                  </w:r>
                </w:p>
              </w:tc>
              <w:tc>
                <w:tcPr>
                  <w:tcW w:w="467" w:type="pct"/>
                  <w:shd w:val="clear" w:color="auto" w:fill="auto"/>
                  <w:vAlign w:val="bottom"/>
                </w:tcPr>
                <w:p w:rsidR="00AC2131" w:rsidRDefault="00AC2131" w:rsidP="00AC2131">
                  <w:pPr>
                    <w:pStyle w:val="TableBodyText"/>
                    <w:spacing w:after="0"/>
                    <w:ind w:left="0" w:right="57"/>
                  </w:pPr>
                  <w:r>
                    <w:t>0.8</w:t>
                  </w:r>
                </w:p>
              </w:tc>
              <w:tc>
                <w:tcPr>
                  <w:tcW w:w="466" w:type="pct"/>
                  <w:shd w:val="clear" w:color="auto" w:fill="auto"/>
                  <w:vAlign w:val="bottom"/>
                </w:tcPr>
                <w:p w:rsidR="00AC2131" w:rsidRDefault="00AC2131" w:rsidP="00AC2131">
                  <w:pPr>
                    <w:pStyle w:val="TableBodyText"/>
                    <w:spacing w:after="0"/>
                    <w:ind w:left="0" w:right="57"/>
                  </w:pPr>
                  <w:r>
                    <w:t>0.5</w:t>
                  </w:r>
                </w:p>
              </w:tc>
            </w:tr>
            <w:tr w:rsidR="00AC2131" w:rsidTr="00AC2131">
              <w:tc>
                <w:tcPr>
                  <w:tcW w:w="2200" w:type="pct"/>
                  <w:shd w:val="clear" w:color="auto" w:fill="auto"/>
                  <w:vAlign w:val="bottom"/>
                </w:tcPr>
                <w:p w:rsidR="00AC2131" w:rsidRPr="007C7B9D" w:rsidRDefault="00AC2131" w:rsidP="00AC2131">
                  <w:pPr>
                    <w:ind w:left="227"/>
                    <w:rPr>
                      <w:rFonts w:ascii="Arial" w:hAnsi="Arial" w:cs="Arial"/>
                      <w:color w:val="000000"/>
                      <w:sz w:val="18"/>
                      <w:szCs w:val="18"/>
                    </w:rPr>
                  </w:pPr>
                  <w:r w:rsidRPr="007C7B9D">
                    <w:rPr>
                      <w:rFonts w:ascii="Arial" w:hAnsi="Arial" w:cs="Arial"/>
                      <w:color w:val="000000"/>
                      <w:sz w:val="18"/>
                      <w:szCs w:val="18"/>
                    </w:rPr>
                    <w:t>Premium R&amp;D tax concession</w:t>
                  </w:r>
                </w:p>
              </w:tc>
              <w:tc>
                <w:tcPr>
                  <w:tcW w:w="466" w:type="pct"/>
                  <w:vAlign w:val="bottom"/>
                </w:tcPr>
                <w:p w:rsidR="00AC2131" w:rsidRDefault="00AC2131" w:rsidP="00AC2131">
                  <w:pPr>
                    <w:pStyle w:val="TableBodyText"/>
                    <w:spacing w:after="0"/>
                    <w:ind w:left="0" w:right="57"/>
                  </w:pPr>
                  <w:r>
                    <w:t>27.7</w:t>
                  </w:r>
                </w:p>
              </w:tc>
              <w:tc>
                <w:tcPr>
                  <w:tcW w:w="467" w:type="pct"/>
                  <w:vAlign w:val="bottom"/>
                </w:tcPr>
                <w:p w:rsidR="00AC2131" w:rsidRDefault="00AC2131" w:rsidP="00AC2131">
                  <w:pPr>
                    <w:pStyle w:val="TableBodyText"/>
                    <w:spacing w:after="0"/>
                    <w:ind w:left="0" w:right="57"/>
                  </w:pPr>
                  <w:r>
                    <w:t>63.9</w:t>
                  </w:r>
                </w:p>
              </w:tc>
              <w:tc>
                <w:tcPr>
                  <w:tcW w:w="467" w:type="pct"/>
                  <w:vAlign w:val="bottom"/>
                </w:tcPr>
                <w:p w:rsidR="00AC2131" w:rsidRDefault="00AC2131" w:rsidP="00AC2131">
                  <w:pPr>
                    <w:pStyle w:val="TableBodyText"/>
                    <w:spacing w:after="0"/>
                    <w:ind w:left="0" w:right="57"/>
                  </w:pPr>
                  <w:r>
                    <w:t>55.0</w:t>
                  </w:r>
                </w:p>
              </w:tc>
              <w:tc>
                <w:tcPr>
                  <w:tcW w:w="467" w:type="pct"/>
                  <w:vAlign w:val="bottom"/>
                </w:tcPr>
                <w:p w:rsidR="00AC2131" w:rsidRDefault="00AC2131" w:rsidP="00AC2131">
                  <w:pPr>
                    <w:pStyle w:val="TableBodyText"/>
                    <w:spacing w:after="0"/>
                    <w:ind w:left="0" w:right="57"/>
                  </w:pPr>
                  <w:r>
                    <w:t>31.5</w:t>
                  </w:r>
                </w:p>
              </w:tc>
              <w:tc>
                <w:tcPr>
                  <w:tcW w:w="467" w:type="pct"/>
                  <w:shd w:val="clear" w:color="auto" w:fill="auto"/>
                  <w:vAlign w:val="bottom"/>
                </w:tcPr>
                <w:p w:rsidR="00AC2131" w:rsidRDefault="00AC2131" w:rsidP="00AC2131">
                  <w:pPr>
                    <w:pStyle w:val="TableBodyText"/>
                    <w:spacing w:after="0"/>
                    <w:ind w:left="0" w:right="57"/>
                  </w:pPr>
                  <w:r>
                    <w:t>8.6</w:t>
                  </w:r>
                </w:p>
              </w:tc>
              <w:tc>
                <w:tcPr>
                  <w:tcW w:w="466" w:type="pct"/>
                  <w:shd w:val="clear" w:color="auto" w:fill="auto"/>
                  <w:vAlign w:val="bottom"/>
                </w:tcPr>
                <w:p w:rsidR="00AC2131" w:rsidRDefault="00AC2131" w:rsidP="00AC2131">
                  <w:pPr>
                    <w:pStyle w:val="TableBodyText"/>
                    <w:spacing w:after="0"/>
                    <w:ind w:left="0" w:right="57"/>
                  </w:pPr>
                  <w:r>
                    <w:t>3.6</w:t>
                  </w:r>
                </w:p>
              </w:tc>
            </w:tr>
            <w:tr w:rsidR="00AC2131" w:rsidTr="00AC2131">
              <w:tc>
                <w:tcPr>
                  <w:tcW w:w="2200" w:type="pct"/>
                  <w:shd w:val="clear" w:color="auto" w:fill="auto"/>
                  <w:vAlign w:val="bottom"/>
                </w:tcPr>
                <w:p w:rsidR="00AC2131" w:rsidRPr="007C7B9D" w:rsidRDefault="00AC2131" w:rsidP="00AC2131">
                  <w:pPr>
                    <w:ind w:left="227"/>
                    <w:rPr>
                      <w:rFonts w:ascii="Arial" w:hAnsi="Arial" w:cs="Arial"/>
                      <w:color w:val="000000"/>
                      <w:sz w:val="18"/>
                      <w:szCs w:val="18"/>
                    </w:rPr>
                  </w:pPr>
                  <w:r w:rsidRPr="007C7B9D">
                    <w:rPr>
                      <w:rFonts w:ascii="Arial" w:hAnsi="Arial" w:cs="Arial"/>
                      <w:color w:val="000000"/>
                      <w:sz w:val="18"/>
                      <w:szCs w:val="18"/>
                    </w:rPr>
                    <w:t>R&amp;D tax concession</w:t>
                  </w:r>
                </w:p>
              </w:tc>
              <w:tc>
                <w:tcPr>
                  <w:tcW w:w="466" w:type="pct"/>
                  <w:vAlign w:val="bottom"/>
                </w:tcPr>
                <w:p w:rsidR="00AC2131" w:rsidRDefault="00AC2131" w:rsidP="00AC2131">
                  <w:pPr>
                    <w:pStyle w:val="TableBodyText"/>
                    <w:spacing w:after="0"/>
                    <w:ind w:left="0" w:right="57"/>
                  </w:pPr>
                  <w:r>
                    <w:t>62.2</w:t>
                  </w:r>
                </w:p>
              </w:tc>
              <w:tc>
                <w:tcPr>
                  <w:tcW w:w="467" w:type="pct"/>
                  <w:vAlign w:val="bottom"/>
                </w:tcPr>
                <w:p w:rsidR="00AC2131" w:rsidRDefault="00AC2131" w:rsidP="00AC2131">
                  <w:pPr>
                    <w:pStyle w:val="TableBodyText"/>
                    <w:spacing w:after="0"/>
                    <w:ind w:left="0" w:right="57"/>
                  </w:pPr>
                  <w:r>
                    <w:t>99.3</w:t>
                  </w:r>
                </w:p>
              </w:tc>
              <w:tc>
                <w:tcPr>
                  <w:tcW w:w="467" w:type="pct"/>
                  <w:vAlign w:val="bottom"/>
                </w:tcPr>
                <w:p w:rsidR="00AC2131" w:rsidRDefault="00AC2131" w:rsidP="00AC2131">
                  <w:pPr>
                    <w:pStyle w:val="TableBodyText"/>
                    <w:spacing w:after="0"/>
                    <w:ind w:left="0" w:right="57"/>
                  </w:pPr>
                  <w:r>
                    <w:t>99.3</w:t>
                  </w:r>
                </w:p>
              </w:tc>
              <w:tc>
                <w:tcPr>
                  <w:tcW w:w="467" w:type="pct"/>
                  <w:vAlign w:val="bottom"/>
                </w:tcPr>
                <w:p w:rsidR="00AC2131" w:rsidRDefault="00AC2131" w:rsidP="00AC2131">
                  <w:pPr>
                    <w:pStyle w:val="TableBodyText"/>
                    <w:spacing w:after="0"/>
                    <w:ind w:left="0" w:right="57"/>
                  </w:pPr>
                  <w:r>
                    <w:t>91.7</w:t>
                  </w:r>
                </w:p>
              </w:tc>
              <w:tc>
                <w:tcPr>
                  <w:tcW w:w="467" w:type="pct"/>
                  <w:shd w:val="clear" w:color="auto" w:fill="auto"/>
                  <w:vAlign w:val="bottom"/>
                </w:tcPr>
                <w:p w:rsidR="00AC2131" w:rsidRDefault="00AC2131" w:rsidP="00AC2131">
                  <w:pPr>
                    <w:pStyle w:val="TableBodyText"/>
                    <w:spacing w:after="0"/>
                    <w:ind w:left="0" w:right="57"/>
                  </w:pPr>
                  <w:r>
                    <w:t>41.0</w:t>
                  </w:r>
                </w:p>
              </w:tc>
              <w:tc>
                <w:tcPr>
                  <w:tcW w:w="466" w:type="pct"/>
                  <w:shd w:val="clear" w:color="auto" w:fill="auto"/>
                  <w:vAlign w:val="bottom"/>
                </w:tcPr>
                <w:p w:rsidR="00AC2131" w:rsidRDefault="00AC2131" w:rsidP="00AC2131">
                  <w:pPr>
                    <w:pStyle w:val="TableBodyText"/>
                    <w:spacing w:after="0"/>
                    <w:ind w:left="0" w:right="57"/>
                  </w:pPr>
                  <w:r>
                    <w:t>13.9</w:t>
                  </w:r>
                </w:p>
              </w:tc>
            </w:tr>
            <w:tr w:rsidR="00AC2131" w:rsidTr="00AC2131">
              <w:tc>
                <w:tcPr>
                  <w:tcW w:w="2200" w:type="pct"/>
                  <w:shd w:val="clear" w:color="auto" w:fill="auto"/>
                  <w:vAlign w:val="bottom"/>
                </w:tcPr>
                <w:p w:rsidR="00AC2131" w:rsidRPr="007C7B9D"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-10.9</w:t>
                  </w:r>
                </w:p>
              </w:tc>
            </w:tr>
            <w:tr w:rsidR="00AC2131" w:rsidTr="00AC2131">
              <w:tc>
                <w:tcPr>
                  <w:tcW w:w="2200" w:type="pct"/>
                  <w:shd w:val="clear" w:color="auto" w:fill="auto"/>
                  <w:vAlign w:val="bottom"/>
                </w:tcPr>
                <w:p w:rsidR="00AC2131" w:rsidRPr="007C7B9D"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71.9</w:t>
                  </w:r>
                </w:p>
              </w:tc>
              <w:tc>
                <w:tcPr>
                  <w:tcW w:w="466" w:type="pct"/>
                  <w:shd w:val="clear" w:color="auto" w:fill="auto"/>
                  <w:vAlign w:val="bottom"/>
                </w:tcPr>
                <w:p w:rsidR="00AC2131" w:rsidRDefault="00AC2131" w:rsidP="00AC2131">
                  <w:pPr>
                    <w:pStyle w:val="TableBodyText"/>
                    <w:spacing w:after="0"/>
                    <w:ind w:left="0" w:right="57"/>
                  </w:pPr>
                  <w:r>
                    <w:t>30.1</w:t>
                  </w:r>
                </w:p>
              </w:tc>
            </w:tr>
            <w:tr w:rsidR="00AC2131" w:rsidTr="00AC2131">
              <w:tc>
                <w:tcPr>
                  <w:tcW w:w="2200" w:type="pct"/>
                  <w:shd w:val="clear" w:color="auto" w:fill="auto"/>
                  <w:vAlign w:val="bottom"/>
                </w:tcPr>
                <w:p w:rsidR="00AC2131" w:rsidRPr="007C7B9D"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6"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20.2</w:t>
                  </w:r>
                </w:p>
              </w:tc>
              <w:tc>
                <w:tcPr>
                  <w:tcW w:w="466" w:type="pct"/>
                  <w:shd w:val="clear" w:color="auto" w:fill="auto"/>
                  <w:vAlign w:val="bottom"/>
                </w:tcPr>
                <w:p w:rsidR="00AC2131" w:rsidRDefault="00AC2131" w:rsidP="00AC2131">
                  <w:pPr>
                    <w:pStyle w:val="TableBodyText"/>
                    <w:spacing w:after="0"/>
                    <w:ind w:left="0" w:right="57"/>
                  </w:pPr>
                  <w:r>
                    <w:t>36.1</w:t>
                  </w:r>
                </w:p>
              </w:tc>
            </w:tr>
            <w:tr w:rsidR="00AC2131" w:rsidTr="00AC2131">
              <w:tc>
                <w:tcPr>
                  <w:tcW w:w="2200" w:type="pct"/>
                  <w:tcBorders>
                    <w:bottom w:val="single" w:sz="6" w:space="0" w:color="BFBFBF"/>
                  </w:tcBorders>
                  <w:shd w:val="clear" w:color="auto" w:fill="auto"/>
                </w:tcPr>
                <w:p w:rsidR="00AC2131" w:rsidRPr="007C7B9D" w:rsidRDefault="00AC2131" w:rsidP="00AC2131">
                  <w:pPr>
                    <w:ind w:left="227"/>
                    <w:rPr>
                      <w:rFonts w:ascii="Arial" w:hAnsi="Arial" w:cs="Arial"/>
                      <w:sz w:val="18"/>
                      <w:szCs w:val="18"/>
                    </w:rPr>
                  </w:pPr>
                  <w:r>
                    <w:rPr>
                      <w:rFonts w:ascii="Arial" w:hAnsi="Arial" w:cs="Arial"/>
                      <w:sz w:val="18"/>
                      <w:szCs w:val="18"/>
                    </w:rPr>
                    <w:t>R&amp;D tax offsets – Refundable</w:t>
                  </w:r>
                </w:p>
              </w:tc>
              <w:tc>
                <w:tcPr>
                  <w:tcW w:w="466" w:type="pct"/>
                  <w:tcBorders>
                    <w:bottom w:val="single" w:sz="6" w:space="0" w:color="BFBFBF"/>
                  </w:tcBorders>
                  <w:vAlign w:val="bottom"/>
                </w:tcPr>
                <w:p w:rsidR="00AC2131" w:rsidRDefault="00AC2131" w:rsidP="00AC2131">
                  <w:pPr>
                    <w:pStyle w:val="TableBodyText"/>
                    <w:spacing w:after="0"/>
                    <w:ind w:left="0" w:right="57"/>
                  </w:pPr>
                  <w:r>
                    <w:t>36.2</w:t>
                  </w:r>
                </w:p>
              </w:tc>
              <w:tc>
                <w:tcPr>
                  <w:tcW w:w="467" w:type="pct"/>
                  <w:tcBorders>
                    <w:bottom w:val="single" w:sz="6" w:space="0" w:color="BFBFBF"/>
                  </w:tcBorders>
                  <w:vAlign w:val="bottom"/>
                </w:tcPr>
                <w:p w:rsidR="00AC2131" w:rsidRDefault="00AC2131" w:rsidP="00AC2131">
                  <w:pPr>
                    <w:pStyle w:val="TableBodyText"/>
                    <w:spacing w:after="0"/>
                    <w:ind w:left="0" w:right="57"/>
                  </w:pPr>
                  <w:r>
                    <w:t>41.6</w:t>
                  </w:r>
                </w:p>
              </w:tc>
              <w:tc>
                <w:tcPr>
                  <w:tcW w:w="467" w:type="pct"/>
                  <w:tcBorders>
                    <w:bottom w:val="single" w:sz="6" w:space="0" w:color="BFBFBF"/>
                  </w:tcBorders>
                  <w:vAlign w:val="bottom"/>
                </w:tcPr>
                <w:p w:rsidR="00AC2131" w:rsidRDefault="00AC2131" w:rsidP="00AC2131">
                  <w:pPr>
                    <w:pStyle w:val="TableBodyText"/>
                    <w:spacing w:after="0"/>
                    <w:ind w:left="0" w:right="57"/>
                  </w:pPr>
                  <w:r>
                    <w:t>23.0</w:t>
                  </w:r>
                </w:p>
              </w:tc>
              <w:tc>
                <w:tcPr>
                  <w:tcW w:w="467" w:type="pct"/>
                  <w:tcBorders>
                    <w:bottom w:val="single" w:sz="6" w:space="0" w:color="BFBFBF"/>
                  </w:tcBorders>
                  <w:vAlign w:val="bottom"/>
                </w:tcPr>
                <w:p w:rsidR="00AC2131" w:rsidRDefault="00AC2131" w:rsidP="00AC2131">
                  <w:pPr>
                    <w:pStyle w:val="TableBodyText"/>
                    <w:spacing w:after="0"/>
                    <w:ind w:left="0" w:right="57"/>
                  </w:pPr>
                  <w:r>
                    <w:t>25.9</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6"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640"/>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8"/>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4" w:type="dxa"/>
              <w:tblCellMar>
                <w:top w:w="28" w:type="dxa"/>
                <w:left w:w="0" w:type="dxa"/>
                <w:right w:w="0" w:type="dxa"/>
              </w:tblCellMar>
              <w:tblLook w:val="0000" w:firstRow="0" w:lastRow="0" w:firstColumn="0" w:lastColumn="0" w:noHBand="0" w:noVBand="0"/>
            </w:tblPr>
            <w:tblGrid>
              <w:gridCol w:w="3744"/>
              <w:gridCol w:w="795"/>
              <w:gridCol w:w="794"/>
              <w:gridCol w:w="794"/>
              <w:gridCol w:w="794"/>
              <w:gridCol w:w="794"/>
              <w:gridCol w:w="789"/>
            </w:tblGrid>
            <w:tr w:rsidR="00AC2131" w:rsidTr="00AC2131">
              <w:tc>
                <w:tcPr>
                  <w:tcW w:w="2201"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4"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RPr="00527B68" w:rsidTr="00AC2131">
              <w:tc>
                <w:tcPr>
                  <w:tcW w:w="2201" w:type="pct"/>
                  <w:tcBorders>
                    <w:top w:val="single" w:sz="6" w:space="0" w:color="BFBFBF"/>
                  </w:tcBorders>
                </w:tcPr>
                <w:p w:rsidR="00AC2131" w:rsidRPr="00527B68" w:rsidRDefault="00AC2131" w:rsidP="00AC2131">
                  <w:pPr>
                    <w:pStyle w:val="TableUnitsRow"/>
                    <w:spacing w:after="0"/>
                    <w:ind w:left="113"/>
                    <w:jc w:val="left"/>
                    <w:rPr>
                      <w:i/>
                    </w:rPr>
                  </w:pPr>
                  <w:r w:rsidRPr="00527B68">
                    <w:rPr>
                      <w:i/>
                    </w:rPr>
                    <w:t>Other measures</w:t>
                  </w:r>
                </w:p>
              </w:tc>
              <w:tc>
                <w:tcPr>
                  <w:tcW w:w="467" w:type="pct"/>
                  <w:tcBorders>
                    <w:top w:val="single" w:sz="6" w:space="0" w:color="BFBFBF"/>
                  </w:tcBorders>
                </w:tcPr>
                <w:p w:rsidR="00AC2131" w:rsidRPr="00527B68" w:rsidRDefault="00AC2131" w:rsidP="00AC2131">
                  <w:pPr>
                    <w:pStyle w:val="TableUnitsRow"/>
                    <w:spacing w:after="0"/>
                    <w:ind w:left="113"/>
                    <w:rPr>
                      <w:i/>
                    </w:rPr>
                  </w:pPr>
                </w:p>
              </w:tc>
              <w:tc>
                <w:tcPr>
                  <w:tcW w:w="467" w:type="pct"/>
                  <w:tcBorders>
                    <w:top w:val="single" w:sz="6" w:space="0" w:color="BFBFBF"/>
                  </w:tcBorders>
                </w:tcPr>
                <w:p w:rsidR="00AC2131" w:rsidRPr="00527B68" w:rsidRDefault="00AC2131" w:rsidP="00AC2131">
                  <w:pPr>
                    <w:pStyle w:val="TableUnitsRow"/>
                    <w:spacing w:after="0"/>
                    <w:ind w:left="113"/>
                    <w:rPr>
                      <w:i/>
                    </w:rPr>
                  </w:pPr>
                </w:p>
              </w:tc>
              <w:tc>
                <w:tcPr>
                  <w:tcW w:w="467" w:type="pct"/>
                  <w:tcBorders>
                    <w:top w:val="single" w:sz="6" w:space="0" w:color="BFBFBF"/>
                  </w:tcBorders>
                </w:tcPr>
                <w:p w:rsidR="00AC2131" w:rsidRPr="00527B68" w:rsidRDefault="00AC2131" w:rsidP="00AC2131">
                  <w:pPr>
                    <w:pStyle w:val="TableUnitsRow"/>
                    <w:spacing w:after="0"/>
                    <w:ind w:left="113"/>
                    <w:rPr>
                      <w:i/>
                    </w:rPr>
                  </w:pPr>
                </w:p>
              </w:tc>
              <w:tc>
                <w:tcPr>
                  <w:tcW w:w="467" w:type="pct"/>
                  <w:tcBorders>
                    <w:top w:val="single" w:sz="6" w:space="0" w:color="BFBFBF"/>
                  </w:tcBorders>
                </w:tcPr>
                <w:p w:rsidR="00AC2131" w:rsidRPr="00527B68" w:rsidRDefault="00AC2131" w:rsidP="00AC2131">
                  <w:pPr>
                    <w:pStyle w:val="TableUnitsRow"/>
                    <w:spacing w:after="0"/>
                    <w:ind w:left="113"/>
                    <w:rPr>
                      <w:i/>
                    </w:rPr>
                  </w:pPr>
                </w:p>
              </w:tc>
              <w:tc>
                <w:tcPr>
                  <w:tcW w:w="467" w:type="pct"/>
                  <w:tcBorders>
                    <w:top w:val="single" w:sz="6" w:space="0" w:color="BFBFBF"/>
                  </w:tcBorders>
                </w:tcPr>
                <w:p w:rsidR="00AC2131" w:rsidRPr="00527B68" w:rsidRDefault="00AC2131" w:rsidP="00AC2131">
                  <w:pPr>
                    <w:pStyle w:val="TableUnitsRow"/>
                    <w:spacing w:after="0"/>
                    <w:ind w:left="113"/>
                    <w:rPr>
                      <w:i/>
                    </w:rPr>
                  </w:pPr>
                </w:p>
              </w:tc>
              <w:tc>
                <w:tcPr>
                  <w:tcW w:w="464" w:type="pct"/>
                  <w:tcBorders>
                    <w:top w:val="single" w:sz="6" w:space="0" w:color="BFBFBF"/>
                  </w:tcBorders>
                </w:tcPr>
                <w:p w:rsidR="00AC2131" w:rsidRPr="00527B68" w:rsidRDefault="00AC2131" w:rsidP="00AC2131">
                  <w:pPr>
                    <w:pStyle w:val="TableUnitsRow"/>
                    <w:spacing w:after="0"/>
                    <w:ind w:left="113" w:right="28"/>
                    <w:rPr>
                      <w:i/>
                    </w:rPr>
                  </w:pPr>
                </w:p>
              </w:tc>
            </w:tr>
            <w:tr w:rsidR="00AC2131" w:rsidTr="00AC2131">
              <w:tc>
                <w:tcPr>
                  <w:tcW w:w="2201" w:type="pct"/>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1.1</w:t>
                  </w:r>
                </w:p>
              </w:tc>
              <w:tc>
                <w:tcPr>
                  <w:tcW w:w="464" w:type="pct"/>
                  <w:vAlign w:val="bottom"/>
                </w:tcPr>
                <w:p w:rsidR="00AC2131" w:rsidRDefault="00AC2131" w:rsidP="00AC2131">
                  <w:pPr>
                    <w:pStyle w:val="TableBodyText"/>
                    <w:spacing w:after="0"/>
                    <w:ind w:left="0" w:right="57"/>
                  </w:pPr>
                  <w:r>
                    <w:t>–</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0.3</w:t>
                  </w:r>
                </w:p>
              </w:tc>
              <w:tc>
                <w:tcPr>
                  <w:tcW w:w="464" w:type="pct"/>
                  <w:shd w:val="clear" w:color="auto" w:fill="auto"/>
                  <w:vAlign w:val="bottom"/>
                </w:tcPr>
                <w:p w:rsidR="00AC2131" w:rsidRDefault="00AC2131" w:rsidP="00AC2131">
                  <w:pPr>
                    <w:pStyle w:val="TableBodyText"/>
                    <w:spacing w:after="0"/>
                    <w:ind w:left="0" w:right="57"/>
                  </w:pPr>
                  <w:r>
                    <w:t>0.3</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North West and Northern Tasmania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0" w:right="57"/>
                  </w:pPr>
                  <w:r>
                    <w:t>1.9</w:t>
                  </w:r>
                </w:p>
              </w:tc>
              <w:tc>
                <w:tcPr>
                  <w:tcW w:w="467" w:type="pct"/>
                  <w:vAlign w:val="bottom"/>
                </w:tcPr>
                <w:p w:rsidR="00AC2131" w:rsidRDefault="00AC2131" w:rsidP="00AC2131">
                  <w:pPr>
                    <w:pStyle w:val="TableBodyText"/>
                    <w:spacing w:after="0"/>
                    <w:ind w:left="0" w:right="57"/>
                  </w:pPr>
                  <w:r>
                    <w:t>2.5</w:t>
                  </w:r>
                </w:p>
              </w:tc>
              <w:tc>
                <w:tcPr>
                  <w:tcW w:w="467" w:type="pct"/>
                  <w:vAlign w:val="bottom"/>
                </w:tcPr>
                <w:p w:rsidR="00AC2131" w:rsidRDefault="00AC2131" w:rsidP="00AC2131">
                  <w:pPr>
                    <w:pStyle w:val="TableBodyText"/>
                    <w:spacing w:after="0"/>
                    <w:ind w:left="0" w:right="57"/>
                  </w:pPr>
                  <w:r>
                    <w:t>4.1</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-1.3</w:t>
                  </w:r>
                </w:p>
              </w:tc>
              <w:tc>
                <w:tcPr>
                  <w:tcW w:w="464" w:type="pct"/>
                  <w:shd w:val="clear" w:color="auto" w:fill="auto"/>
                  <w:vAlign w:val="bottom"/>
                </w:tcPr>
                <w:p w:rsidR="00AC2131" w:rsidRDefault="00AC2131" w:rsidP="00AC2131">
                  <w:pPr>
                    <w:pStyle w:val="TableBodyText"/>
                    <w:spacing w:after="0"/>
                    <w:ind w:left="0" w:right="57"/>
                  </w:pPr>
                  <w:r>
                    <w:t>45.2</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7" w:type="pct"/>
                  <w:vAlign w:val="bottom"/>
                </w:tcPr>
                <w:p w:rsidR="00AC2131" w:rsidRDefault="00AC2131" w:rsidP="00AC2131">
                  <w:pPr>
                    <w:pStyle w:val="TableBodyText"/>
                    <w:spacing w:after="0"/>
                    <w:ind w:left="0" w:right="57"/>
                  </w:pPr>
                  <w:r>
                    <w:t>2.6</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2.3</w:t>
                  </w:r>
                </w:p>
              </w:tc>
              <w:tc>
                <w:tcPr>
                  <w:tcW w:w="467" w:type="pct"/>
                  <w:vAlign w:val="bottom"/>
                </w:tcPr>
                <w:p w:rsidR="00AC2131" w:rsidRDefault="00AC2131" w:rsidP="00AC2131">
                  <w:pPr>
                    <w:pStyle w:val="TableBodyText"/>
                    <w:spacing w:after="0"/>
                    <w:ind w:left="0" w:right="57"/>
                  </w:pPr>
                  <w:r>
                    <w:t>3.0</w:t>
                  </w:r>
                </w:p>
              </w:tc>
              <w:tc>
                <w:tcPr>
                  <w:tcW w:w="467" w:type="pct"/>
                  <w:shd w:val="clear" w:color="auto" w:fill="auto"/>
                  <w:vAlign w:val="bottom"/>
                </w:tcPr>
                <w:p w:rsidR="00AC2131" w:rsidRDefault="00AC2131" w:rsidP="00AC2131">
                  <w:pPr>
                    <w:pStyle w:val="TableBodyText"/>
                    <w:spacing w:after="0"/>
                    <w:ind w:left="0" w:right="57"/>
                  </w:pPr>
                  <w:r>
                    <w:t>3.2</w:t>
                  </w:r>
                </w:p>
              </w:tc>
              <w:tc>
                <w:tcPr>
                  <w:tcW w:w="464" w:type="pct"/>
                  <w:shd w:val="clear" w:color="auto" w:fill="auto"/>
                  <w:vAlign w:val="bottom"/>
                </w:tcPr>
                <w:p w:rsidR="00AC2131" w:rsidRDefault="00AC2131" w:rsidP="00AC2131">
                  <w:pPr>
                    <w:pStyle w:val="TableBodyText"/>
                    <w:spacing w:after="0"/>
                    <w:ind w:left="0" w:right="57"/>
                  </w:pPr>
                  <w:r>
                    <w:t>3.9</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 xml:space="preserve">Small business </w:t>
                  </w:r>
                  <w:r>
                    <w:rPr>
                      <w:rFonts w:ascii="Arial" w:hAnsi="Arial" w:cs="Arial"/>
                      <w:color w:val="000000"/>
                      <w:sz w:val="18"/>
                      <w:szCs w:val="18"/>
                    </w:rPr>
                    <w:t>capital gains tax</w:t>
                  </w:r>
                  <w:r w:rsidRPr="00620235">
                    <w:rPr>
                      <w:rFonts w:ascii="Arial" w:hAnsi="Arial" w:cs="Arial"/>
                      <w:color w:val="000000"/>
                      <w:sz w:val="18"/>
                      <w:szCs w:val="18"/>
                    </w:rPr>
                    <w:t xml:space="preserve"> 50 per cent reduction</w:t>
                  </w:r>
                </w:p>
              </w:tc>
              <w:tc>
                <w:tcPr>
                  <w:tcW w:w="467" w:type="pct"/>
                  <w:vAlign w:val="bottom"/>
                </w:tcPr>
                <w:p w:rsidR="00AC2131" w:rsidRDefault="00AC2131" w:rsidP="00AC2131">
                  <w:pPr>
                    <w:pStyle w:val="TableBodyText"/>
                    <w:spacing w:after="0"/>
                    <w:ind w:left="0" w:right="57"/>
                  </w:pPr>
                  <w:r>
                    <w:t>21.8</w:t>
                  </w:r>
                </w:p>
              </w:tc>
              <w:tc>
                <w:tcPr>
                  <w:tcW w:w="467" w:type="pct"/>
                  <w:vAlign w:val="bottom"/>
                </w:tcPr>
                <w:p w:rsidR="00AC2131" w:rsidRDefault="00AC2131" w:rsidP="00AC2131">
                  <w:pPr>
                    <w:pStyle w:val="TableBodyText"/>
                    <w:spacing w:after="0"/>
                    <w:ind w:left="0" w:right="57"/>
                  </w:pPr>
                  <w:r>
                    <w:t>11.7</w:t>
                  </w:r>
                </w:p>
              </w:tc>
              <w:tc>
                <w:tcPr>
                  <w:tcW w:w="467" w:type="pct"/>
                  <w:vAlign w:val="bottom"/>
                </w:tcPr>
                <w:p w:rsidR="00AC2131" w:rsidRDefault="00AC2131" w:rsidP="00AC2131">
                  <w:pPr>
                    <w:pStyle w:val="TableBodyText"/>
                    <w:spacing w:after="0"/>
                    <w:ind w:left="0" w:right="57"/>
                  </w:pPr>
                  <w:r>
                    <w:t>16.4</w:t>
                  </w:r>
                </w:p>
              </w:tc>
              <w:tc>
                <w:tcPr>
                  <w:tcW w:w="467" w:type="pct"/>
                  <w:vAlign w:val="bottom"/>
                </w:tcPr>
                <w:p w:rsidR="00AC2131" w:rsidRDefault="00AC2131" w:rsidP="00AC2131">
                  <w:pPr>
                    <w:pStyle w:val="TableBodyText"/>
                    <w:spacing w:after="0"/>
                    <w:ind w:left="0" w:right="57"/>
                  </w:pPr>
                  <w:r>
                    <w:t>12.8</w:t>
                  </w:r>
                </w:p>
              </w:tc>
              <w:tc>
                <w:tcPr>
                  <w:tcW w:w="467" w:type="pct"/>
                  <w:shd w:val="clear" w:color="auto" w:fill="auto"/>
                  <w:vAlign w:val="bottom"/>
                </w:tcPr>
                <w:p w:rsidR="00AC2131" w:rsidRDefault="00AC2131" w:rsidP="00AC2131">
                  <w:pPr>
                    <w:pStyle w:val="TableBodyText"/>
                    <w:spacing w:after="0"/>
                    <w:ind w:left="0" w:right="57"/>
                  </w:pPr>
                  <w:r>
                    <w:t>13.3</w:t>
                  </w:r>
                </w:p>
              </w:tc>
              <w:tc>
                <w:tcPr>
                  <w:tcW w:w="464" w:type="pct"/>
                  <w:shd w:val="clear" w:color="auto" w:fill="auto"/>
                  <w:vAlign w:val="bottom"/>
                </w:tcPr>
                <w:p w:rsidR="00AC2131" w:rsidRDefault="00AC2131" w:rsidP="00AC2131">
                  <w:pPr>
                    <w:pStyle w:val="TableBodyText"/>
                    <w:spacing w:after="0"/>
                    <w:ind w:left="0" w:right="57"/>
                  </w:pPr>
                  <w:r>
                    <w:t>14.0</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 xml:space="preserve">Small business </w:t>
                  </w:r>
                  <w:r>
                    <w:rPr>
                      <w:rFonts w:ascii="Arial" w:hAnsi="Arial" w:cs="Arial"/>
                      <w:color w:val="000000"/>
                      <w:sz w:val="18"/>
                      <w:szCs w:val="18"/>
                    </w:rPr>
                    <w:t>capital gains tax</w:t>
                  </w:r>
                  <w:r w:rsidRPr="00620235">
                    <w:rPr>
                      <w:rFonts w:ascii="Arial" w:hAnsi="Arial" w:cs="Arial"/>
                      <w:color w:val="000000"/>
                      <w:sz w:val="18"/>
                      <w:szCs w:val="18"/>
                    </w:rPr>
                    <w:t xml:space="preserve"> retirement exemption</w:t>
                  </w:r>
                </w:p>
              </w:tc>
              <w:tc>
                <w:tcPr>
                  <w:tcW w:w="467" w:type="pct"/>
                  <w:vAlign w:val="bottom"/>
                </w:tcPr>
                <w:p w:rsidR="00AC2131" w:rsidRDefault="00AC2131" w:rsidP="00AC2131">
                  <w:pPr>
                    <w:pStyle w:val="TableBodyText"/>
                    <w:spacing w:after="0"/>
                    <w:ind w:left="0" w:right="57"/>
                  </w:pPr>
                  <w:r>
                    <w:t>15.4</w:t>
                  </w:r>
                </w:p>
              </w:tc>
              <w:tc>
                <w:tcPr>
                  <w:tcW w:w="467" w:type="pct"/>
                  <w:vAlign w:val="bottom"/>
                </w:tcPr>
                <w:p w:rsidR="00AC2131" w:rsidRDefault="00AC2131" w:rsidP="00AC2131">
                  <w:pPr>
                    <w:pStyle w:val="TableBodyText"/>
                    <w:spacing w:after="0"/>
                    <w:ind w:left="0" w:right="57"/>
                  </w:pPr>
                  <w:r>
                    <w:t>8.2</w:t>
                  </w:r>
                </w:p>
              </w:tc>
              <w:tc>
                <w:tcPr>
                  <w:tcW w:w="467" w:type="pct"/>
                  <w:vAlign w:val="bottom"/>
                </w:tcPr>
                <w:p w:rsidR="00AC2131" w:rsidRDefault="00AC2131" w:rsidP="00AC2131">
                  <w:pPr>
                    <w:pStyle w:val="TableBodyText"/>
                    <w:spacing w:after="0"/>
                    <w:ind w:left="0" w:right="57"/>
                  </w:pPr>
                  <w:r>
                    <w:t>4.9</w:t>
                  </w:r>
                </w:p>
              </w:tc>
              <w:tc>
                <w:tcPr>
                  <w:tcW w:w="467" w:type="pct"/>
                  <w:vAlign w:val="bottom"/>
                </w:tcPr>
                <w:p w:rsidR="00AC2131" w:rsidRDefault="00AC2131" w:rsidP="00AC2131">
                  <w:pPr>
                    <w:pStyle w:val="TableBodyText"/>
                    <w:spacing w:after="0"/>
                    <w:ind w:left="0" w:right="57"/>
                  </w:pPr>
                  <w:r>
                    <w:t>7.6</w:t>
                  </w:r>
                </w:p>
              </w:tc>
              <w:tc>
                <w:tcPr>
                  <w:tcW w:w="467" w:type="pct"/>
                  <w:shd w:val="clear" w:color="auto" w:fill="auto"/>
                  <w:vAlign w:val="bottom"/>
                </w:tcPr>
                <w:p w:rsidR="00AC2131" w:rsidRDefault="00AC2131" w:rsidP="00AC2131">
                  <w:pPr>
                    <w:pStyle w:val="TableBodyText"/>
                    <w:spacing w:after="0"/>
                    <w:ind w:left="0" w:right="57"/>
                  </w:pPr>
                  <w:r>
                    <w:t>7.6</w:t>
                  </w:r>
                </w:p>
              </w:tc>
              <w:tc>
                <w:tcPr>
                  <w:tcW w:w="464" w:type="pct"/>
                  <w:shd w:val="clear" w:color="auto" w:fill="auto"/>
                  <w:vAlign w:val="bottom"/>
                </w:tcPr>
                <w:p w:rsidR="00AC2131" w:rsidRDefault="00AC2131" w:rsidP="00AC2131">
                  <w:pPr>
                    <w:pStyle w:val="TableBodyText"/>
                    <w:spacing w:after="0"/>
                    <w:ind w:left="0" w:right="57"/>
                  </w:pPr>
                  <w:r>
                    <w:t>8.0</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 xml:space="preserve">Small business </w:t>
                  </w:r>
                  <w:r>
                    <w:rPr>
                      <w:rFonts w:ascii="Arial" w:hAnsi="Arial" w:cs="Arial"/>
                      <w:color w:val="000000"/>
                      <w:sz w:val="18"/>
                      <w:szCs w:val="18"/>
                    </w:rPr>
                    <w:t>capital gains tax</w:t>
                  </w:r>
                  <w:r w:rsidRPr="00620235">
                    <w:rPr>
                      <w:rFonts w:ascii="Arial" w:hAnsi="Arial" w:cs="Arial"/>
                      <w:color w:val="000000"/>
                      <w:sz w:val="18"/>
                      <w:szCs w:val="18"/>
                    </w:rPr>
                    <w:t xml:space="preserve"> rollover deferral</w:t>
                  </w:r>
                </w:p>
              </w:tc>
              <w:tc>
                <w:tcPr>
                  <w:tcW w:w="467" w:type="pct"/>
                  <w:vAlign w:val="bottom"/>
                </w:tcPr>
                <w:p w:rsidR="00AC2131" w:rsidRDefault="00AC2131" w:rsidP="00AC2131">
                  <w:pPr>
                    <w:pStyle w:val="TableBodyText"/>
                    <w:spacing w:after="0"/>
                    <w:ind w:left="0" w:right="57"/>
                  </w:pPr>
                  <w:r>
                    <w:t>5.3</w:t>
                  </w:r>
                </w:p>
              </w:tc>
              <w:tc>
                <w:tcPr>
                  <w:tcW w:w="467" w:type="pct"/>
                  <w:vAlign w:val="bottom"/>
                </w:tcPr>
                <w:p w:rsidR="00AC2131" w:rsidRDefault="00AC2131" w:rsidP="00AC2131">
                  <w:pPr>
                    <w:pStyle w:val="TableBodyText"/>
                    <w:spacing w:after="0"/>
                    <w:ind w:left="0" w:right="57"/>
                  </w:pPr>
                  <w:r>
                    <w:t>3.3</w:t>
                  </w:r>
                </w:p>
              </w:tc>
              <w:tc>
                <w:tcPr>
                  <w:tcW w:w="467" w:type="pct"/>
                  <w:vAlign w:val="bottom"/>
                </w:tcPr>
                <w:p w:rsidR="00AC2131" w:rsidRDefault="00AC2131" w:rsidP="00AC2131">
                  <w:pPr>
                    <w:pStyle w:val="TableBodyText"/>
                    <w:spacing w:after="0"/>
                    <w:ind w:left="0" w:right="57"/>
                  </w:pPr>
                  <w:r>
                    <w:t>8.0</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South Australia Innovation and Investment Fund and Labour Assistance Package</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rPr>
                <w:trHeight w:val="553"/>
              </w:trPr>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South East South Australia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1.5</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The Small Business and General Business Tax Break</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74.9</w:t>
                  </w:r>
                </w:p>
              </w:tc>
              <w:tc>
                <w:tcPr>
                  <w:tcW w:w="467" w:type="pct"/>
                  <w:vAlign w:val="bottom"/>
                </w:tcPr>
                <w:p w:rsidR="00AC2131" w:rsidRDefault="00AC2131" w:rsidP="00AC2131">
                  <w:pPr>
                    <w:pStyle w:val="TableBodyText"/>
                    <w:spacing w:after="0"/>
                    <w:ind w:left="0" w:right="57"/>
                  </w:pPr>
                  <w:r>
                    <w:t>211.2</w:t>
                  </w:r>
                </w:p>
              </w:tc>
              <w:tc>
                <w:tcPr>
                  <w:tcW w:w="467" w:type="pct"/>
                  <w:vAlign w:val="bottom"/>
                </w:tcPr>
                <w:p w:rsidR="00AC2131" w:rsidRDefault="00AC2131" w:rsidP="00AC2131">
                  <w:pPr>
                    <w:pStyle w:val="TableBodyText"/>
                    <w:spacing w:after="0"/>
                    <w:ind w:left="0" w:right="57"/>
                  </w:pPr>
                  <w:r>
                    <w:t>96.9</w:t>
                  </w:r>
                </w:p>
              </w:tc>
              <w:tc>
                <w:tcPr>
                  <w:tcW w:w="467" w:type="pct"/>
                  <w:shd w:val="clear" w:color="auto" w:fill="auto"/>
                  <w:vAlign w:val="bottom"/>
                </w:tcPr>
                <w:p w:rsidR="00AC2131" w:rsidRDefault="00AC2131" w:rsidP="00AC2131">
                  <w:pPr>
                    <w:pStyle w:val="TableBodyText"/>
                    <w:spacing w:after="0"/>
                    <w:ind w:left="0" w:right="57"/>
                  </w:pPr>
                  <w:r>
                    <w:t>33.7</w:t>
                  </w:r>
                </w:p>
              </w:tc>
              <w:tc>
                <w:tcPr>
                  <w:tcW w:w="464" w:type="pct"/>
                  <w:shd w:val="clear" w:color="auto" w:fill="auto"/>
                  <w:vAlign w:val="bottom"/>
                </w:tcPr>
                <w:p w:rsidR="00AC2131" w:rsidRDefault="00AC2131" w:rsidP="00AC2131">
                  <w:pPr>
                    <w:pStyle w:val="TableBodyText"/>
                    <w:spacing w:after="0"/>
                    <w:ind w:left="0" w:right="57"/>
                  </w:pPr>
                  <w:r>
                    <w:t>4.0</w:t>
                  </w:r>
                </w:p>
              </w:tc>
            </w:tr>
            <w:tr w:rsidR="00AC2131" w:rsidRPr="00620235" w:rsidTr="00AC2131">
              <w:tc>
                <w:tcPr>
                  <w:tcW w:w="2201" w:type="pct"/>
                  <w:shd w:val="clear" w:color="auto" w:fill="auto"/>
                </w:tcPr>
                <w:p w:rsidR="00AC2131" w:rsidRPr="00620235" w:rsidRDefault="00AC2131" w:rsidP="00AC2131">
                  <w:pPr>
                    <w:pStyle w:val="TableBodyText"/>
                    <w:spacing w:before="20" w:after="20"/>
                    <w:jc w:val="left"/>
                    <w:rPr>
                      <w:i/>
                    </w:rPr>
                  </w:pPr>
                  <w:r w:rsidRPr="00620235">
                    <w:rPr>
                      <w:i/>
                    </w:rPr>
                    <w:t>Total</w:t>
                  </w:r>
                </w:p>
              </w:tc>
              <w:tc>
                <w:tcPr>
                  <w:tcW w:w="467" w:type="pct"/>
                  <w:vAlign w:val="bottom"/>
                </w:tcPr>
                <w:p w:rsidR="00AC2131" w:rsidRPr="00D54521" w:rsidRDefault="00AC2131" w:rsidP="00AC2131">
                  <w:pPr>
                    <w:pStyle w:val="TableBodyText"/>
                    <w:spacing w:before="20" w:after="20"/>
                    <w:ind w:left="0" w:right="57"/>
                    <w:rPr>
                      <w:i/>
                    </w:rPr>
                  </w:pPr>
                  <w:r w:rsidRPr="00D54521">
                    <w:rPr>
                      <w:i/>
                    </w:rPr>
                    <w:t>195.6</w:t>
                  </w:r>
                </w:p>
              </w:tc>
              <w:tc>
                <w:tcPr>
                  <w:tcW w:w="467" w:type="pct"/>
                  <w:vAlign w:val="bottom"/>
                </w:tcPr>
                <w:p w:rsidR="00AC2131" w:rsidRPr="00D54521" w:rsidRDefault="00AC2131" w:rsidP="00AC2131">
                  <w:pPr>
                    <w:pStyle w:val="TableBodyText"/>
                    <w:spacing w:before="20" w:after="20"/>
                    <w:ind w:left="0" w:right="57"/>
                    <w:rPr>
                      <w:i/>
                    </w:rPr>
                  </w:pPr>
                  <w:r w:rsidRPr="00D54521">
                    <w:rPr>
                      <w:i/>
                    </w:rPr>
                    <w:t>328.0</w:t>
                  </w:r>
                </w:p>
              </w:tc>
              <w:tc>
                <w:tcPr>
                  <w:tcW w:w="467" w:type="pct"/>
                  <w:vAlign w:val="bottom"/>
                </w:tcPr>
                <w:p w:rsidR="00AC2131" w:rsidRPr="00D54521" w:rsidRDefault="00AC2131" w:rsidP="00AC2131">
                  <w:pPr>
                    <w:pStyle w:val="TableBodyText"/>
                    <w:spacing w:before="20" w:after="20"/>
                    <w:ind w:left="0" w:right="57"/>
                    <w:rPr>
                      <w:i/>
                    </w:rPr>
                  </w:pPr>
                  <w:r w:rsidRPr="00D54521">
                    <w:rPr>
                      <w:i/>
                    </w:rPr>
                    <w:t>439.1</w:t>
                  </w:r>
                </w:p>
              </w:tc>
              <w:tc>
                <w:tcPr>
                  <w:tcW w:w="467" w:type="pct"/>
                  <w:vAlign w:val="bottom"/>
                </w:tcPr>
                <w:p w:rsidR="00AC2131" w:rsidRPr="00D54521" w:rsidRDefault="00AC2131" w:rsidP="00AC2131">
                  <w:pPr>
                    <w:pStyle w:val="TableBodyText"/>
                    <w:spacing w:before="20" w:after="20"/>
                    <w:ind w:left="0" w:right="57"/>
                    <w:rPr>
                      <w:i/>
                    </w:rPr>
                  </w:pPr>
                  <w:r w:rsidRPr="00D54521">
                    <w:rPr>
                      <w:i/>
                    </w:rPr>
                    <w:t>285.4</w:t>
                  </w:r>
                </w:p>
              </w:tc>
              <w:tc>
                <w:tcPr>
                  <w:tcW w:w="467" w:type="pct"/>
                  <w:shd w:val="clear" w:color="auto" w:fill="auto"/>
                  <w:vAlign w:val="bottom"/>
                </w:tcPr>
                <w:p w:rsidR="00AC2131" w:rsidRPr="00D54521" w:rsidRDefault="00AC2131" w:rsidP="00AC2131">
                  <w:pPr>
                    <w:pStyle w:val="TableBodyText"/>
                    <w:spacing w:before="20" w:after="20"/>
                    <w:ind w:left="0" w:right="57"/>
                    <w:rPr>
                      <w:i/>
                    </w:rPr>
                  </w:pPr>
                  <w:r w:rsidRPr="00D54521">
                    <w:rPr>
                      <w:i/>
                    </w:rPr>
                    <w:t>214.2</w:t>
                  </w:r>
                </w:p>
              </w:tc>
              <w:tc>
                <w:tcPr>
                  <w:tcW w:w="464" w:type="pct"/>
                  <w:shd w:val="clear" w:color="auto" w:fill="auto"/>
                  <w:vAlign w:val="bottom"/>
                </w:tcPr>
                <w:p w:rsidR="00AC2131" w:rsidRPr="00D54521" w:rsidRDefault="00AC2131" w:rsidP="00AC2131">
                  <w:pPr>
                    <w:pStyle w:val="TableBodyText"/>
                    <w:spacing w:before="20" w:after="20"/>
                    <w:ind w:left="0" w:right="57"/>
                    <w:rPr>
                      <w:i/>
                    </w:rPr>
                  </w:pPr>
                  <w:r w:rsidRPr="00D54521">
                    <w:rPr>
                      <w:i/>
                    </w:rPr>
                    <w:t>159.2</w:t>
                  </w:r>
                </w:p>
              </w:tc>
            </w:tr>
            <w:tr w:rsidR="00AC2131" w:rsidTr="00AC2131">
              <w:tc>
                <w:tcPr>
                  <w:tcW w:w="2201" w:type="pct"/>
                  <w:shd w:val="clear" w:color="auto" w:fill="auto"/>
                </w:tcPr>
                <w:p w:rsidR="00AC2131" w:rsidRPr="00620235" w:rsidRDefault="00AC2131" w:rsidP="00AC2131">
                  <w:pPr>
                    <w:pStyle w:val="TableBodyText"/>
                    <w:spacing w:before="40"/>
                    <w:jc w:val="left"/>
                    <w:rPr>
                      <w:b/>
                    </w:rPr>
                  </w:pPr>
                  <w:r w:rsidRPr="00620235">
                    <w:rPr>
                      <w:b/>
                    </w:rPr>
                    <w:t>Retail trade</w:t>
                  </w: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4" w:type="pct"/>
                  <w:shd w:val="clear" w:color="auto" w:fill="auto"/>
                </w:tcPr>
                <w:p w:rsidR="00AC2131" w:rsidRDefault="00AC2131" w:rsidP="00AC2131">
                  <w:pPr>
                    <w:pStyle w:val="TableBodyText"/>
                    <w:spacing w:before="40"/>
                    <w:ind w:right="28"/>
                  </w:pPr>
                </w:p>
              </w:tc>
            </w:tr>
            <w:tr w:rsidR="00AC2131" w:rsidTr="00AC2131">
              <w:tc>
                <w:tcPr>
                  <w:tcW w:w="2201" w:type="pct"/>
                  <w:shd w:val="clear" w:color="auto" w:fill="auto"/>
                </w:tcPr>
                <w:p w:rsidR="00AC2131" w:rsidRPr="00620235" w:rsidRDefault="00AC2131" w:rsidP="00AC2131">
                  <w:pPr>
                    <w:pStyle w:val="TableBodyText"/>
                    <w:spacing w:before="40" w:after="0"/>
                    <w:ind w:left="113"/>
                    <w:jc w:val="left"/>
                    <w:rPr>
                      <w:i/>
                    </w:rPr>
                  </w:pPr>
                  <w:r w:rsidRPr="00620235">
                    <w:rPr>
                      <w:i/>
                    </w:rPr>
                    <w:t>Industry-specific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4" w:type="pct"/>
                  <w:shd w:val="clear" w:color="auto" w:fill="auto"/>
                </w:tcPr>
                <w:p w:rsidR="00AC2131" w:rsidRDefault="00AC2131" w:rsidP="00AC2131">
                  <w:pPr>
                    <w:pStyle w:val="TableBodyText"/>
                    <w:spacing w:before="40" w:after="0"/>
                    <w:ind w:left="113" w:right="28"/>
                  </w:pP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Ethanol Distribution Program</w:t>
                  </w:r>
                </w:p>
              </w:tc>
              <w:tc>
                <w:tcPr>
                  <w:tcW w:w="467" w:type="pct"/>
                  <w:vAlign w:val="bottom"/>
                </w:tcPr>
                <w:p w:rsidR="00AC2131" w:rsidRDefault="00AC2131" w:rsidP="00AC2131">
                  <w:pPr>
                    <w:pStyle w:val="TableBodyText"/>
                    <w:spacing w:after="0"/>
                    <w:ind w:left="0" w:right="57"/>
                  </w:pPr>
                  <w:r>
                    <w:t>5.0</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Greenhouse Gas Abatement Program</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LPG Vehicle Scheme</w:t>
                  </w:r>
                </w:p>
              </w:tc>
              <w:tc>
                <w:tcPr>
                  <w:tcW w:w="467" w:type="pct"/>
                  <w:vAlign w:val="bottom"/>
                </w:tcPr>
                <w:p w:rsidR="00AC2131" w:rsidRDefault="00AC2131" w:rsidP="00AC2131">
                  <w:pPr>
                    <w:pStyle w:val="TableBodyText"/>
                    <w:spacing w:after="0"/>
                    <w:ind w:left="0" w:right="57"/>
                  </w:pPr>
                  <w:r>
                    <w:t>175.8</w:t>
                  </w:r>
                </w:p>
              </w:tc>
              <w:tc>
                <w:tcPr>
                  <w:tcW w:w="467" w:type="pct"/>
                  <w:vAlign w:val="bottom"/>
                </w:tcPr>
                <w:p w:rsidR="00AC2131" w:rsidRDefault="00AC2131" w:rsidP="00AC2131">
                  <w:pPr>
                    <w:pStyle w:val="TableBodyText"/>
                    <w:spacing w:after="0"/>
                    <w:ind w:left="0" w:right="57"/>
                  </w:pPr>
                  <w:r>
                    <w:t>65.2</w:t>
                  </w:r>
                </w:p>
              </w:tc>
              <w:tc>
                <w:tcPr>
                  <w:tcW w:w="467" w:type="pct"/>
                  <w:vAlign w:val="bottom"/>
                </w:tcPr>
                <w:p w:rsidR="00AC2131" w:rsidRDefault="00AC2131" w:rsidP="00AC2131">
                  <w:pPr>
                    <w:pStyle w:val="TableBodyText"/>
                    <w:spacing w:after="0"/>
                    <w:ind w:left="0" w:right="57"/>
                  </w:pPr>
                  <w:r>
                    <w:t>40.9</w:t>
                  </w:r>
                </w:p>
              </w:tc>
              <w:tc>
                <w:tcPr>
                  <w:tcW w:w="467" w:type="pct"/>
                  <w:vAlign w:val="bottom"/>
                </w:tcPr>
                <w:p w:rsidR="00AC2131" w:rsidRDefault="00AC2131" w:rsidP="00AC2131">
                  <w:pPr>
                    <w:pStyle w:val="TableBodyText"/>
                    <w:spacing w:after="0"/>
                    <w:ind w:left="0" w:right="57"/>
                  </w:pPr>
                  <w:r>
                    <w:t>18.8</w:t>
                  </w:r>
                </w:p>
              </w:tc>
              <w:tc>
                <w:tcPr>
                  <w:tcW w:w="467" w:type="pct"/>
                  <w:shd w:val="clear" w:color="auto" w:fill="auto"/>
                  <w:vAlign w:val="bottom"/>
                </w:tcPr>
                <w:p w:rsidR="00AC2131" w:rsidRDefault="00AC2131" w:rsidP="00AC2131">
                  <w:pPr>
                    <w:pStyle w:val="TableBodyText"/>
                    <w:spacing w:after="0"/>
                    <w:ind w:left="0" w:right="57"/>
                  </w:pPr>
                  <w:r>
                    <w:t>5.2</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TCF Small Business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&lt;0.1</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shd w:val="clear" w:color="auto" w:fill="auto"/>
                </w:tcPr>
                <w:p w:rsidR="00AC2131" w:rsidRPr="00620235" w:rsidRDefault="00AC2131" w:rsidP="00AC2131">
                  <w:pPr>
                    <w:pStyle w:val="TableBodyText"/>
                    <w:spacing w:before="40" w:after="0"/>
                    <w:ind w:left="113"/>
                    <w:jc w:val="left"/>
                    <w:rPr>
                      <w:i/>
                    </w:rPr>
                  </w:pPr>
                  <w:r w:rsidRPr="00620235">
                    <w:rPr>
                      <w:i/>
                    </w:rPr>
                    <w:t>Sector-specific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4" w:type="pct"/>
                  <w:shd w:val="clear" w:color="auto" w:fill="auto"/>
                </w:tcPr>
                <w:p w:rsidR="00AC2131" w:rsidRDefault="00AC2131" w:rsidP="00AC2131">
                  <w:pPr>
                    <w:pStyle w:val="TableBodyText"/>
                    <w:spacing w:before="40" w:after="0"/>
                    <w:ind w:left="113" w:right="28"/>
                  </w:pPr>
                </w:p>
              </w:tc>
            </w:tr>
            <w:tr w:rsidR="00AC2131" w:rsidRPr="000C3BED" w:rsidTr="00AC2131">
              <w:tc>
                <w:tcPr>
                  <w:tcW w:w="2201" w:type="pct"/>
                  <w:shd w:val="clear" w:color="auto" w:fill="auto"/>
                </w:tcPr>
                <w:p w:rsidR="00AC2131" w:rsidRPr="000C3BED" w:rsidRDefault="00AC2131" w:rsidP="00AC2131">
                  <w:pPr>
                    <w:pStyle w:val="TableBodyText"/>
                    <w:spacing w:after="0"/>
                    <w:ind w:left="227" w:right="0"/>
                    <w:jc w:val="left"/>
                  </w:pPr>
                  <w:r w:rsidRPr="000C3BED">
                    <w:t>Exceptional Circumstances – interest rate subsidies</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shd w:val="clear" w:color="auto" w:fill="auto"/>
                </w:tcPr>
                <w:p w:rsidR="00AC2131" w:rsidRPr="00620235" w:rsidRDefault="00AC2131" w:rsidP="00AC2131">
                  <w:pPr>
                    <w:pStyle w:val="TableBodyText"/>
                    <w:spacing w:before="40" w:after="0"/>
                    <w:ind w:left="113"/>
                    <w:jc w:val="left"/>
                    <w:rPr>
                      <w:i/>
                    </w:rPr>
                  </w:pPr>
                  <w:r w:rsidRPr="00620235">
                    <w:rPr>
                      <w:i/>
                    </w:rPr>
                    <w:t>General export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4" w:type="pct"/>
                  <w:shd w:val="clear" w:color="auto" w:fill="auto"/>
                </w:tcPr>
                <w:p w:rsidR="00AC2131" w:rsidRDefault="00AC2131" w:rsidP="00AC2131">
                  <w:pPr>
                    <w:pStyle w:val="TableBodyText"/>
                    <w:spacing w:before="40" w:after="0"/>
                    <w:ind w:left="113" w:right="28"/>
                  </w:pP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1.2</w:t>
                  </w:r>
                </w:p>
              </w:tc>
              <w:tc>
                <w:tcPr>
                  <w:tcW w:w="467" w:type="pct"/>
                  <w:shd w:val="clear" w:color="auto" w:fill="auto"/>
                  <w:vAlign w:val="bottom"/>
                </w:tcPr>
                <w:p w:rsidR="00AC2131" w:rsidRDefault="00AC2131" w:rsidP="00AC2131">
                  <w:pPr>
                    <w:pStyle w:val="TableBodyText"/>
                    <w:spacing w:after="0"/>
                    <w:ind w:left="0" w:right="57"/>
                  </w:pPr>
                  <w:r>
                    <w:t>1.0</w:t>
                  </w:r>
                </w:p>
              </w:tc>
              <w:tc>
                <w:tcPr>
                  <w:tcW w:w="464" w:type="pct"/>
                  <w:shd w:val="clear" w:color="auto" w:fill="auto"/>
                  <w:vAlign w:val="bottom"/>
                </w:tcPr>
                <w:p w:rsidR="00AC2131" w:rsidRDefault="00AC2131" w:rsidP="00AC2131">
                  <w:pPr>
                    <w:pStyle w:val="TableBodyText"/>
                    <w:spacing w:after="0"/>
                    <w:ind w:left="0" w:right="57"/>
                  </w:pPr>
                  <w:r>
                    <w:t>1.6</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TRADEX</w:t>
                  </w:r>
                </w:p>
              </w:tc>
              <w:tc>
                <w:tcPr>
                  <w:tcW w:w="467" w:type="pct"/>
                  <w:vAlign w:val="bottom"/>
                </w:tcPr>
                <w:p w:rsidR="00AC2131" w:rsidRDefault="00AC2131" w:rsidP="00AC2131">
                  <w:pPr>
                    <w:pStyle w:val="TableBodyText"/>
                    <w:spacing w:after="0"/>
                    <w:ind w:left="0" w:right="57"/>
                  </w:pPr>
                  <w:r>
                    <w:t>3.7</w:t>
                  </w:r>
                </w:p>
              </w:tc>
              <w:tc>
                <w:tcPr>
                  <w:tcW w:w="467" w:type="pct"/>
                  <w:vAlign w:val="bottom"/>
                </w:tcPr>
                <w:p w:rsidR="00AC2131" w:rsidRDefault="00AC2131" w:rsidP="00AC2131">
                  <w:pPr>
                    <w:pStyle w:val="TableBodyText"/>
                    <w:spacing w:after="0"/>
                    <w:ind w:left="0" w:right="57"/>
                  </w:pPr>
                  <w:r>
                    <w:t>3.4</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2.3</w:t>
                  </w:r>
                </w:p>
              </w:tc>
              <w:tc>
                <w:tcPr>
                  <w:tcW w:w="467" w:type="pct"/>
                  <w:shd w:val="clear" w:color="auto" w:fill="auto"/>
                  <w:vAlign w:val="bottom"/>
                </w:tcPr>
                <w:p w:rsidR="00AC2131" w:rsidRDefault="00AC2131" w:rsidP="00AC2131">
                  <w:pPr>
                    <w:pStyle w:val="TableBodyText"/>
                    <w:spacing w:after="0"/>
                    <w:ind w:left="0" w:right="57"/>
                  </w:pPr>
                  <w:r>
                    <w:t>2.4</w:t>
                  </w:r>
                </w:p>
              </w:tc>
              <w:tc>
                <w:tcPr>
                  <w:tcW w:w="464" w:type="pct"/>
                  <w:shd w:val="clear" w:color="auto" w:fill="auto"/>
                  <w:vAlign w:val="bottom"/>
                </w:tcPr>
                <w:p w:rsidR="00AC2131" w:rsidRDefault="00AC2131" w:rsidP="00AC2131">
                  <w:pPr>
                    <w:pStyle w:val="TableBodyText"/>
                    <w:spacing w:after="0"/>
                    <w:ind w:left="0" w:right="57"/>
                  </w:pPr>
                  <w:r>
                    <w:t>2.4</w:t>
                  </w:r>
                </w:p>
              </w:tc>
            </w:tr>
            <w:tr w:rsidR="00AC2131" w:rsidTr="00AC2131">
              <w:tc>
                <w:tcPr>
                  <w:tcW w:w="2201" w:type="pct"/>
                  <w:shd w:val="clear" w:color="auto" w:fill="auto"/>
                </w:tcPr>
                <w:p w:rsidR="00AC2131" w:rsidRPr="00620235" w:rsidRDefault="00AC2131" w:rsidP="00AC2131">
                  <w:pPr>
                    <w:pStyle w:val="TableBodyText"/>
                    <w:spacing w:before="40" w:after="0"/>
                    <w:ind w:left="113"/>
                    <w:jc w:val="left"/>
                    <w:rPr>
                      <w:i/>
                    </w:rPr>
                  </w:pPr>
                  <w:r w:rsidRPr="00620235">
                    <w:rPr>
                      <w:i/>
                    </w:rPr>
                    <w:t>General R&amp;D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4" w:type="pct"/>
                  <w:shd w:val="clear" w:color="auto" w:fill="auto"/>
                </w:tcPr>
                <w:p w:rsidR="00AC2131" w:rsidRDefault="00AC2131" w:rsidP="00AC2131">
                  <w:pPr>
                    <w:pStyle w:val="TableBodyText"/>
                    <w:spacing w:before="40" w:after="0"/>
                    <w:ind w:left="113" w:right="28"/>
                  </w:pP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Commercial Ready Program</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0.6</w:t>
                  </w:r>
                </w:p>
              </w:tc>
              <w:tc>
                <w:tcPr>
                  <w:tcW w:w="464" w:type="pct"/>
                  <w:shd w:val="clear" w:color="auto" w:fill="auto"/>
                  <w:vAlign w:val="bottom"/>
                </w:tcPr>
                <w:p w:rsidR="00AC2131" w:rsidRDefault="00AC2131" w:rsidP="00AC2131">
                  <w:pPr>
                    <w:pStyle w:val="TableBodyText"/>
                    <w:spacing w:after="0"/>
                    <w:ind w:left="0" w:right="57"/>
                  </w:pPr>
                  <w:r>
                    <w:t>0.2</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3.4</w:t>
                  </w:r>
                </w:p>
              </w:tc>
              <w:tc>
                <w:tcPr>
                  <w:tcW w:w="467" w:type="pct"/>
                  <w:shd w:val="clear" w:color="auto" w:fill="auto"/>
                  <w:vAlign w:val="bottom"/>
                </w:tcPr>
                <w:p w:rsidR="00AC2131" w:rsidRDefault="00AC2131" w:rsidP="00AC2131">
                  <w:pPr>
                    <w:pStyle w:val="TableBodyText"/>
                    <w:spacing w:after="0"/>
                    <w:ind w:left="0" w:right="57"/>
                  </w:pPr>
                  <w:r>
                    <w:t>0.9</w:t>
                  </w:r>
                </w:p>
              </w:tc>
              <w:tc>
                <w:tcPr>
                  <w:tcW w:w="464" w:type="pct"/>
                  <w:shd w:val="clear" w:color="auto" w:fill="auto"/>
                  <w:vAlign w:val="bottom"/>
                </w:tcPr>
                <w:p w:rsidR="00AC2131" w:rsidRDefault="00AC2131" w:rsidP="00AC2131">
                  <w:pPr>
                    <w:pStyle w:val="TableBodyText"/>
                    <w:spacing w:after="0"/>
                    <w:ind w:left="0" w:right="57"/>
                  </w:pPr>
                  <w:r>
                    <w:t>0.4</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sidRPr="00620235">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8.8</w:t>
                  </w:r>
                </w:p>
              </w:tc>
              <w:tc>
                <w:tcPr>
                  <w:tcW w:w="467" w:type="pct"/>
                  <w:vAlign w:val="bottom"/>
                </w:tcPr>
                <w:p w:rsidR="00AC2131" w:rsidRDefault="00AC2131" w:rsidP="00AC2131">
                  <w:pPr>
                    <w:pStyle w:val="TableBodyText"/>
                    <w:spacing w:after="0"/>
                    <w:ind w:left="0" w:right="57"/>
                  </w:pPr>
                  <w:r>
                    <w:t>11.1</w:t>
                  </w:r>
                </w:p>
              </w:tc>
              <w:tc>
                <w:tcPr>
                  <w:tcW w:w="467" w:type="pct"/>
                  <w:vAlign w:val="bottom"/>
                </w:tcPr>
                <w:p w:rsidR="00AC2131" w:rsidRDefault="00AC2131" w:rsidP="00AC2131">
                  <w:pPr>
                    <w:pStyle w:val="TableBodyText"/>
                    <w:spacing w:after="0"/>
                    <w:ind w:left="0" w:right="57"/>
                  </w:pPr>
                  <w:r>
                    <w:t>11.1</w:t>
                  </w:r>
                </w:p>
              </w:tc>
              <w:tc>
                <w:tcPr>
                  <w:tcW w:w="467" w:type="pct"/>
                  <w:vAlign w:val="bottom"/>
                </w:tcPr>
                <w:p w:rsidR="00AC2131" w:rsidRDefault="00AC2131" w:rsidP="00AC2131">
                  <w:pPr>
                    <w:pStyle w:val="TableBodyText"/>
                    <w:spacing w:after="0"/>
                    <w:ind w:left="0" w:right="57"/>
                  </w:pPr>
                  <w:r>
                    <w:t>14.0</w:t>
                  </w:r>
                </w:p>
              </w:tc>
              <w:tc>
                <w:tcPr>
                  <w:tcW w:w="467" w:type="pct"/>
                  <w:shd w:val="clear" w:color="auto" w:fill="auto"/>
                  <w:vAlign w:val="bottom"/>
                </w:tcPr>
                <w:p w:rsidR="00AC2131" w:rsidRDefault="00AC2131" w:rsidP="00AC2131">
                  <w:pPr>
                    <w:pStyle w:val="TableBodyText"/>
                    <w:spacing w:after="0"/>
                    <w:ind w:left="0" w:right="57"/>
                  </w:pPr>
                  <w:r>
                    <w:t>6.2</w:t>
                  </w:r>
                </w:p>
              </w:tc>
              <w:tc>
                <w:tcPr>
                  <w:tcW w:w="464" w:type="pct"/>
                  <w:shd w:val="clear" w:color="auto" w:fill="auto"/>
                  <w:vAlign w:val="bottom"/>
                </w:tcPr>
                <w:p w:rsidR="00AC2131" w:rsidRDefault="00AC2131" w:rsidP="00AC2131">
                  <w:pPr>
                    <w:pStyle w:val="TableBodyText"/>
                    <w:spacing w:after="0"/>
                    <w:ind w:left="0" w:right="57"/>
                  </w:pPr>
                  <w:r>
                    <w:t>2.1</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4" w:type="pct"/>
                  <w:shd w:val="clear" w:color="auto" w:fill="auto"/>
                  <w:vAlign w:val="bottom"/>
                </w:tcPr>
                <w:p w:rsidR="00AC2131" w:rsidRDefault="00AC2131" w:rsidP="00AC2131">
                  <w:pPr>
                    <w:pStyle w:val="TableBodyText"/>
                    <w:spacing w:after="0"/>
                    <w:ind w:left="0" w:right="57"/>
                  </w:pPr>
                  <w:r>
                    <w:t>-5.0</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15.3</w:t>
                  </w:r>
                </w:p>
              </w:tc>
              <w:tc>
                <w:tcPr>
                  <w:tcW w:w="464" w:type="pct"/>
                  <w:shd w:val="clear" w:color="auto" w:fill="auto"/>
                  <w:vAlign w:val="bottom"/>
                </w:tcPr>
                <w:p w:rsidR="00AC2131" w:rsidRDefault="00AC2131" w:rsidP="00AC2131">
                  <w:pPr>
                    <w:pStyle w:val="TableBodyText"/>
                    <w:spacing w:after="0"/>
                    <w:ind w:left="0" w:right="57"/>
                  </w:pPr>
                  <w:r>
                    <w:t>2.4</w:t>
                  </w:r>
                </w:p>
              </w:tc>
            </w:tr>
            <w:tr w:rsidR="00AC2131" w:rsidTr="00AC2131">
              <w:tc>
                <w:tcPr>
                  <w:tcW w:w="2201" w:type="pct"/>
                  <w:shd w:val="clear" w:color="auto" w:fill="auto"/>
                  <w:vAlign w:val="bottom"/>
                </w:tcPr>
                <w:p w:rsidR="00AC2131" w:rsidRPr="00620235"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9.2</w:t>
                  </w:r>
                </w:p>
              </w:tc>
              <w:tc>
                <w:tcPr>
                  <w:tcW w:w="464" w:type="pct"/>
                  <w:shd w:val="clear" w:color="auto" w:fill="auto"/>
                  <w:vAlign w:val="bottom"/>
                </w:tcPr>
                <w:p w:rsidR="00AC2131" w:rsidRDefault="00AC2131" w:rsidP="00AC2131">
                  <w:pPr>
                    <w:pStyle w:val="TableBodyText"/>
                    <w:spacing w:after="0"/>
                    <w:ind w:left="0" w:right="57"/>
                  </w:pPr>
                  <w:r>
                    <w:t>16.5</w:t>
                  </w:r>
                </w:p>
              </w:tc>
            </w:tr>
            <w:tr w:rsidR="00AC2131" w:rsidTr="00AC2131">
              <w:tc>
                <w:tcPr>
                  <w:tcW w:w="2201" w:type="pct"/>
                  <w:tcBorders>
                    <w:bottom w:val="single" w:sz="6" w:space="0" w:color="BFBFBF"/>
                  </w:tcBorders>
                  <w:shd w:val="clear" w:color="auto" w:fill="auto"/>
                  <w:vAlign w:val="bottom"/>
                </w:tcPr>
                <w:p w:rsidR="00AC2131" w:rsidRPr="00620235" w:rsidRDefault="00AC2131" w:rsidP="00AC2131">
                  <w:pPr>
                    <w:ind w:left="227"/>
                    <w:rPr>
                      <w:rFonts w:ascii="Arial" w:hAnsi="Arial" w:cs="Arial"/>
                      <w:sz w:val="18"/>
                      <w:szCs w:val="18"/>
                    </w:rPr>
                  </w:pPr>
                  <w:r>
                    <w:rPr>
                      <w:rFonts w:ascii="Arial" w:hAnsi="Arial" w:cs="Arial"/>
                      <w:sz w:val="18"/>
                      <w:szCs w:val="18"/>
                    </w:rPr>
                    <w:t>R&amp;D tax offsets – Refundable</w:t>
                  </w:r>
                </w:p>
              </w:tc>
              <w:tc>
                <w:tcPr>
                  <w:tcW w:w="467" w:type="pct"/>
                  <w:tcBorders>
                    <w:bottom w:val="single" w:sz="6" w:space="0" w:color="BFBFBF"/>
                  </w:tcBorders>
                  <w:vAlign w:val="bottom"/>
                </w:tcPr>
                <w:p w:rsidR="00AC2131" w:rsidRDefault="00AC2131" w:rsidP="00AC2131">
                  <w:pPr>
                    <w:pStyle w:val="TableBodyText"/>
                    <w:spacing w:after="0"/>
                    <w:ind w:left="0" w:right="57"/>
                  </w:pPr>
                  <w:r>
                    <w:t>16.9</w:t>
                  </w:r>
                </w:p>
              </w:tc>
              <w:tc>
                <w:tcPr>
                  <w:tcW w:w="467" w:type="pct"/>
                  <w:tcBorders>
                    <w:bottom w:val="single" w:sz="6" w:space="0" w:color="BFBFBF"/>
                  </w:tcBorders>
                  <w:vAlign w:val="bottom"/>
                </w:tcPr>
                <w:p w:rsidR="00AC2131" w:rsidRDefault="00AC2131" w:rsidP="00AC2131">
                  <w:pPr>
                    <w:pStyle w:val="TableBodyText"/>
                    <w:spacing w:after="0"/>
                    <w:ind w:left="0" w:right="57"/>
                  </w:pPr>
                  <w:r>
                    <w:t>15.6</w:t>
                  </w:r>
                </w:p>
              </w:tc>
              <w:tc>
                <w:tcPr>
                  <w:tcW w:w="467" w:type="pct"/>
                  <w:tcBorders>
                    <w:bottom w:val="single" w:sz="6" w:space="0" w:color="BFBFBF"/>
                  </w:tcBorders>
                  <w:vAlign w:val="bottom"/>
                </w:tcPr>
                <w:p w:rsidR="00AC2131" w:rsidRDefault="00AC2131" w:rsidP="00AC2131">
                  <w:pPr>
                    <w:pStyle w:val="TableBodyText"/>
                    <w:spacing w:after="0"/>
                    <w:ind w:left="0" w:right="57"/>
                  </w:pPr>
                  <w:r>
                    <w:t>10.5</w:t>
                  </w:r>
                </w:p>
              </w:tc>
              <w:tc>
                <w:tcPr>
                  <w:tcW w:w="467" w:type="pct"/>
                  <w:tcBorders>
                    <w:bottom w:val="single" w:sz="6" w:space="0" w:color="BFBFBF"/>
                  </w:tcBorders>
                  <w:vAlign w:val="bottom"/>
                </w:tcPr>
                <w:p w:rsidR="00AC2131" w:rsidRDefault="00AC2131" w:rsidP="00AC2131">
                  <w:pPr>
                    <w:pStyle w:val="TableBodyText"/>
                    <w:spacing w:after="0"/>
                    <w:ind w:left="0" w:right="57"/>
                  </w:pPr>
                  <w:r>
                    <w:t>11.9</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4"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357"/>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795"/>
              <w:gridCol w:w="794"/>
              <w:gridCol w:w="794"/>
              <w:gridCol w:w="794"/>
              <w:gridCol w:w="794"/>
              <w:gridCol w:w="791"/>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D945AF" w:rsidRDefault="00AC2131" w:rsidP="00AC2131">
                  <w:pPr>
                    <w:pStyle w:val="TableUnitsRow"/>
                    <w:spacing w:after="0"/>
                    <w:ind w:left="113"/>
                    <w:jc w:val="left"/>
                    <w:rPr>
                      <w:i/>
                    </w:rPr>
                  </w:pPr>
                  <w:r w:rsidRPr="00D945AF">
                    <w:rPr>
                      <w:i/>
                    </w:rPr>
                    <w:t>Other measures</w:t>
                  </w: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5"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2.8</w:t>
                  </w:r>
                </w:p>
              </w:tc>
              <w:tc>
                <w:tcPr>
                  <w:tcW w:w="467" w:type="pct"/>
                  <w:vAlign w:val="bottom"/>
                </w:tcPr>
                <w:p w:rsidR="00AC2131" w:rsidRDefault="00AC2131" w:rsidP="00AC2131">
                  <w:pPr>
                    <w:pStyle w:val="TableBodyText"/>
                    <w:spacing w:after="0"/>
                    <w:ind w:left="0" w:right="57"/>
                  </w:pPr>
                  <w:r>
                    <w:t>2.9</w:t>
                  </w:r>
                </w:p>
              </w:tc>
              <w:tc>
                <w:tcPr>
                  <w:tcW w:w="467" w:type="pct"/>
                  <w:vAlign w:val="bottom"/>
                </w:tcPr>
                <w:p w:rsidR="00AC2131" w:rsidRDefault="00AC2131" w:rsidP="00AC2131">
                  <w:pPr>
                    <w:pStyle w:val="TableBodyText"/>
                    <w:spacing w:after="0"/>
                    <w:ind w:left="0" w:right="57"/>
                  </w:pPr>
                  <w:r>
                    <w:t>2.8</w:t>
                  </w:r>
                </w:p>
              </w:tc>
              <w:tc>
                <w:tcPr>
                  <w:tcW w:w="467" w:type="pct"/>
                  <w:vAlign w:val="bottom"/>
                </w:tcPr>
                <w:p w:rsidR="00AC2131" w:rsidRDefault="00AC2131" w:rsidP="00AC2131">
                  <w:pPr>
                    <w:pStyle w:val="TableBodyText"/>
                    <w:spacing w:after="0"/>
                    <w:ind w:left="0" w:right="57"/>
                  </w:pPr>
                  <w:r>
                    <w:t>2.8</w:t>
                  </w:r>
                </w:p>
              </w:tc>
              <w:tc>
                <w:tcPr>
                  <w:tcW w:w="467" w:type="pct"/>
                  <w:vAlign w:val="bottom"/>
                </w:tcPr>
                <w:p w:rsidR="00AC2131" w:rsidRDefault="00AC2131" w:rsidP="00AC2131">
                  <w:pPr>
                    <w:pStyle w:val="TableBodyText"/>
                    <w:spacing w:after="0"/>
                    <w:ind w:left="0" w:right="57"/>
                  </w:pPr>
                  <w:r>
                    <w:t>3.1</w:t>
                  </w:r>
                </w:p>
              </w:tc>
              <w:tc>
                <w:tcPr>
                  <w:tcW w:w="465" w:type="pct"/>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North East Tasmania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North West and Northern Tasmania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0" w:right="57"/>
                  </w:pPr>
                  <w:r>
                    <w:t>3.7</w:t>
                  </w:r>
                </w:p>
              </w:tc>
              <w:tc>
                <w:tcPr>
                  <w:tcW w:w="467" w:type="pct"/>
                  <w:vAlign w:val="bottom"/>
                </w:tcPr>
                <w:p w:rsidR="00AC2131" w:rsidRDefault="00AC2131" w:rsidP="00AC2131">
                  <w:pPr>
                    <w:pStyle w:val="TableBodyText"/>
                    <w:spacing w:after="0"/>
                    <w:ind w:left="0" w:right="57"/>
                  </w:pPr>
                  <w:r>
                    <w:t>4.9</w:t>
                  </w:r>
                </w:p>
              </w:tc>
              <w:tc>
                <w:tcPr>
                  <w:tcW w:w="467" w:type="pct"/>
                  <w:vAlign w:val="bottom"/>
                </w:tcPr>
                <w:p w:rsidR="00AC2131" w:rsidRDefault="00AC2131" w:rsidP="00AC2131">
                  <w:pPr>
                    <w:pStyle w:val="TableBodyText"/>
                    <w:spacing w:after="0"/>
                    <w:ind w:left="0" w:right="57"/>
                  </w:pPr>
                  <w:r>
                    <w:t>8.0</w:t>
                  </w:r>
                </w:p>
              </w:tc>
              <w:tc>
                <w:tcPr>
                  <w:tcW w:w="467" w:type="pct"/>
                  <w:vAlign w:val="bottom"/>
                </w:tcPr>
                <w:p w:rsidR="00AC2131" w:rsidRDefault="00AC2131" w:rsidP="00AC2131">
                  <w:pPr>
                    <w:pStyle w:val="TableBodyText"/>
                    <w:spacing w:after="0"/>
                    <w:ind w:left="0" w:right="57"/>
                  </w:pPr>
                  <w:r>
                    <w:t>0.6</w:t>
                  </w:r>
                </w:p>
              </w:tc>
              <w:tc>
                <w:tcPr>
                  <w:tcW w:w="467" w:type="pct"/>
                  <w:shd w:val="clear" w:color="auto" w:fill="auto"/>
                  <w:vAlign w:val="bottom"/>
                </w:tcPr>
                <w:p w:rsidR="00AC2131" w:rsidRDefault="00AC2131" w:rsidP="00AC2131">
                  <w:pPr>
                    <w:pStyle w:val="TableBodyText"/>
                    <w:spacing w:after="0"/>
                    <w:ind w:left="0" w:right="57"/>
                  </w:pPr>
                  <w:r>
                    <w:t>-2.4</w:t>
                  </w:r>
                </w:p>
              </w:tc>
              <w:tc>
                <w:tcPr>
                  <w:tcW w:w="465" w:type="pct"/>
                  <w:shd w:val="clear" w:color="auto" w:fill="auto"/>
                  <w:vAlign w:val="bottom"/>
                </w:tcPr>
                <w:p w:rsidR="00AC2131" w:rsidRDefault="00AC2131" w:rsidP="00AC2131">
                  <w:pPr>
                    <w:pStyle w:val="TableBodyText"/>
                    <w:spacing w:after="0"/>
                    <w:ind w:left="0" w:right="57"/>
                  </w:pPr>
                  <w:r>
                    <w:t>86.9</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7" w:type="pct"/>
                  <w:vAlign w:val="bottom"/>
                </w:tcPr>
                <w:p w:rsidR="00AC2131" w:rsidRDefault="00AC2131" w:rsidP="00AC2131">
                  <w:pPr>
                    <w:pStyle w:val="TableBodyText"/>
                    <w:spacing w:after="0"/>
                    <w:ind w:left="0" w:right="57"/>
                  </w:pPr>
                  <w:r>
                    <w:t>3.6</w:t>
                  </w:r>
                </w:p>
              </w:tc>
              <w:tc>
                <w:tcPr>
                  <w:tcW w:w="467" w:type="pct"/>
                  <w:vAlign w:val="bottom"/>
                </w:tcPr>
                <w:p w:rsidR="00AC2131" w:rsidRDefault="00AC2131" w:rsidP="00AC2131">
                  <w:pPr>
                    <w:pStyle w:val="TableBodyText"/>
                    <w:spacing w:after="0"/>
                    <w:ind w:left="0" w:right="57"/>
                  </w:pPr>
                  <w:r>
                    <w:t>8.3</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2.1</w:t>
                  </w:r>
                </w:p>
              </w:tc>
              <w:tc>
                <w:tcPr>
                  <w:tcW w:w="467" w:type="pct"/>
                  <w:shd w:val="clear" w:color="auto" w:fill="auto"/>
                  <w:vAlign w:val="bottom"/>
                </w:tcPr>
                <w:p w:rsidR="00AC2131" w:rsidRDefault="00AC2131" w:rsidP="00AC2131">
                  <w:pPr>
                    <w:pStyle w:val="TableBodyText"/>
                    <w:spacing w:after="0"/>
                    <w:ind w:left="0" w:right="57"/>
                  </w:pPr>
                  <w:r>
                    <w:t>2.2</w:t>
                  </w:r>
                </w:p>
              </w:tc>
              <w:tc>
                <w:tcPr>
                  <w:tcW w:w="465" w:type="pct"/>
                  <w:shd w:val="clear" w:color="auto" w:fill="auto"/>
                  <w:vAlign w:val="bottom"/>
                </w:tcPr>
                <w:p w:rsidR="00AC2131" w:rsidRDefault="00AC2131" w:rsidP="00AC2131">
                  <w:pPr>
                    <w:pStyle w:val="TableBodyText"/>
                    <w:spacing w:after="0"/>
                    <w:ind w:left="0" w:right="57"/>
                  </w:pPr>
                  <w:r>
                    <w:t>2.7</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 xml:space="preserve">Small business </w:t>
                  </w:r>
                  <w:r>
                    <w:rPr>
                      <w:rFonts w:ascii="Arial" w:hAnsi="Arial" w:cs="Arial"/>
                      <w:color w:val="000000"/>
                      <w:sz w:val="18"/>
                      <w:szCs w:val="18"/>
                    </w:rPr>
                    <w:t>capital gains tax</w:t>
                  </w:r>
                  <w:r w:rsidRPr="00D945AF">
                    <w:rPr>
                      <w:rFonts w:ascii="Arial" w:hAnsi="Arial" w:cs="Arial"/>
                      <w:color w:val="000000"/>
                      <w:sz w:val="18"/>
                      <w:szCs w:val="18"/>
                    </w:rPr>
                    <w:t xml:space="preserve"> 50 per cent reduction</w:t>
                  </w:r>
                </w:p>
              </w:tc>
              <w:tc>
                <w:tcPr>
                  <w:tcW w:w="467" w:type="pct"/>
                  <w:vAlign w:val="bottom"/>
                </w:tcPr>
                <w:p w:rsidR="00AC2131" w:rsidRDefault="00AC2131" w:rsidP="00AC2131">
                  <w:pPr>
                    <w:pStyle w:val="TableBodyText"/>
                    <w:spacing w:after="0"/>
                    <w:ind w:left="0" w:right="57"/>
                  </w:pPr>
                  <w:r>
                    <w:t>58.9</w:t>
                  </w:r>
                </w:p>
              </w:tc>
              <w:tc>
                <w:tcPr>
                  <w:tcW w:w="467" w:type="pct"/>
                  <w:vAlign w:val="bottom"/>
                </w:tcPr>
                <w:p w:rsidR="00AC2131" w:rsidRDefault="00AC2131" w:rsidP="00AC2131">
                  <w:pPr>
                    <w:pStyle w:val="TableBodyText"/>
                    <w:spacing w:after="0"/>
                    <w:ind w:left="0" w:right="57"/>
                  </w:pPr>
                  <w:r>
                    <w:t>35.4</w:t>
                  </w:r>
                </w:p>
              </w:tc>
              <w:tc>
                <w:tcPr>
                  <w:tcW w:w="467" w:type="pct"/>
                  <w:vAlign w:val="bottom"/>
                </w:tcPr>
                <w:p w:rsidR="00AC2131" w:rsidRDefault="00AC2131" w:rsidP="00AC2131">
                  <w:pPr>
                    <w:pStyle w:val="TableBodyText"/>
                    <w:spacing w:after="0"/>
                    <w:ind w:left="0" w:right="57"/>
                  </w:pPr>
                  <w:r>
                    <w:t>28.1</w:t>
                  </w:r>
                </w:p>
              </w:tc>
              <w:tc>
                <w:tcPr>
                  <w:tcW w:w="467" w:type="pct"/>
                  <w:vAlign w:val="bottom"/>
                </w:tcPr>
                <w:p w:rsidR="00AC2131" w:rsidRDefault="00AC2131" w:rsidP="00AC2131">
                  <w:pPr>
                    <w:pStyle w:val="TableBodyText"/>
                    <w:spacing w:after="0"/>
                    <w:ind w:left="0" w:right="57"/>
                  </w:pPr>
                  <w:r>
                    <w:t>29.6</w:t>
                  </w:r>
                </w:p>
              </w:tc>
              <w:tc>
                <w:tcPr>
                  <w:tcW w:w="467" w:type="pct"/>
                  <w:shd w:val="clear" w:color="auto" w:fill="auto"/>
                  <w:vAlign w:val="bottom"/>
                </w:tcPr>
                <w:p w:rsidR="00AC2131" w:rsidRDefault="00AC2131" w:rsidP="00AC2131">
                  <w:pPr>
                    <w:pStyle w:val="TableBodyText"/>
                    <w:spacing w:after="0"/>
                    <w:ind w:left="0" w:right="57"/>
                  </w:pPr>
                  <w:r>
                    <w:t>30.7</w:t>
                  </w:r>
                </w:p>
              </w:tc>
              <w:tc>
                <w:tcPr>
                  <w:tcW w:w="465" w:type="pct"/>
                  <w:shd w:val="clear" w:color="auto" w:fill="auto"/>
                  <w:vAlign w:val="bottom"/>
                </w:tcPr>
                <w:p w:rsidR="00AC2131" w:rsidRDefault="00AC2131" w:rsidP="00AC2131">
                  <w:pPr>
                    <w:pStyle w:val="TableBodyText"/>
                    <w:spacing w:after="0"/>
                    <w:ind w:left="0" w:right="57"/>
                  </w:pPr>
                  <w:r>
                    <w:t>32.3</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 xml:space="preserve">Small business </w:t>
                  </w:r>
                  <w:r>
                    <w:rPr>
                      <w:rFonts w:ascii="Arial" w:hAnsi="Arial" w:cs="Arial"/>
                      <w:color w:val="000000"/>
                      <w:sz w:val="18"/>
                      <w:szCs w:val="18"/>
                    </w:rPr>
                    <w:t>capital gains tax</w:t>
                  </w:r>
                  <w:r w:rsidRPr="00D945AF">
                    <w:rPr>
                      <w:rFonts w:ascii="Arial" w:hAnsi="Arial" w:cs="Arial"/>
                      <w:color w:val="000000"/>
                      <w:sz w:val="18"/>
                      <w:szCs w:val="18"/>
                    </w:rPr>
                    <w:t xml:space="preserve"> retirement exemption</w:t>
                  </w:r>
                </w:p>
              </w:tc>
              <w:tc>
                <w:tcPr>
                  <w:tcW w:w="467" w:type="pct"/>
                  <w:vAlign w:val="bottom"/>
                </w:tcPr>
                <w:p w:rsidR="00AC2131" w:rsidRDefault="00AC2131" w:rsidP="00AC2131">
                  <w:pPr>
                    <w:pStyle w:val="TableBodyText"/>
                    <w:spacing w:after="0"/>
                    <w:ind w:left="0" w:right="57"/>
                  </w:pPr>
                  <w:r>
                    <w:t>33.0</w:t>
                  </w:r>
                </w:p>
              </w:tc>
              <w:tc>
                <w:tcPr>
                  <w:tcW w:w="467" w:type="pct"/>
                  <w:vAlign w:val="bottom"/>
                </w:tcPr>
                <w:p w:rsidR="00AC2131" w:rsidRDefault="00AC2131" w:rsidP="00AC2131">
                  <w:pPr>
                    <w:pStyle w:val="TableBodyText"/>
                    <w:spacing w:after="0"/>
                    <w:ind w:left="0" w:right="57"/>
                  </w:pPr>
                  <w:r>
                    <w:t>21.3</w:t>
                  </w:r>
                </w:p>
              </w:tc>
              <w:tc>
                <w:tcPr>
                  <w:tcW w:w="467" w:type="pct"/>
                  <w:vAlign w:val="bottom"/>
                </w:tcPr>
                <w:p w:rsidR="00AC2131" w:rsidRDefault="00AC2131" w:rsidP="00AC2131">
                  <w:pPr>
                    <w:pStyle w:val="TableBodyText"/>
                    <w:spacing w:after="0"/>
                    <w:ind w:left="0" w:right="57"/>
                  </w:pPr>
                  <w:r>
                    <w:t>19.0</w:t>
                  </w:r>
                </w:p>
              </w:tc>
              <w:tc>
                <w:tcPr>
                  <w:tcW w:w="467" w:type="pct"/>
                  <w:vAlign w:val="bottom"/>
                </w:tcPr>
                <w:p w:rsidR="00AC2131" w:rsidRDefault="00AC2131" w:rsidP="00AC2131">
                  <w:pPr>
                    <w:pStyle w:val="TableBodyText"/>
                    <w:spacing w:after="0"/>
                    <w:ind w:left="0" w:right="57"/>
                  </w:pPr>
                  <w:r>
                    <w:t>17.0</w:t>
                  </w:r>
                </w:p>
              </w:tc>
              <w:tc>
                <w:tcPr>
                  <w:tcW w:w="467" w:type="pct"/>
                  <w:shd w:val="clear" w:color="auto" w:fill="auto"/>
                  <w:vAlign w:val="bottom"/>
                </w:tcPr>
                <w:p w:rsidR="00AC2131" w:rsidRDefault="00AC2131" w:rsidP="00AC2131">
                  <w:pPr>
                    <w:pStyle w:val="TableBodyText"/>
                    <w:spacing w:after="0"/>
                    <w:ind w:left="0" w:right="57"/>
                  </w:pPr>
                  <w:r>
                    <w:t>17.0</w:t>
                  </w:r>
                </w:p>
              </w:tc>
              <w:tc>
                <w:tcPr>
                  <w:tcW w:w="465" w:type="pct"/>
                  <w:shd w:val="clear" w:color="auto" w:fill="auto"/>
                  <w:vAlign w:val="bottom"/>
                </w:tcPr>
                <w:p w:rsidR="00AC2131" w:rsidRDefault="00AC2131" w:rsidP="00AC2131">
                  <w:pPr>
                    <w:pStyle w:val="TableBodyText"/>
                    <w:spacing w:after="0"/>
                    <w:ind w:left="0" w:right="57"/>
                  </w:pPr>
                  <w:r>
                    <w:t>17.9</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 xml:space="preserve">Small business </w:t>
                  </w:r>
                  <w:r>
                    <w:rPr>
                      <w:rFonts w:ascii="Arial" w:hAnsi="Arial" w:cs="Arial"/>
                      <w:color w:val="000000"/>
                      <w:sz w:val="18"/>
                      <w:szCs w:val="18"/>
                    </w:rPr>
                    <w:t>capital gains tax</w:t>
                  </w:r>
                  <w:r w:rsidRPr="00D945AF">
                    <w:rPr>
                      <w:rFonts w:ascii="Arial" w:hAnsi="Arial" w:cs="Arial"/>
                      <w:color w:val="000000"/>
                      <w:sz w:val="18"/>
                      <w:szCs w:val="18"/>
                    </w:rPr>
                    <w:t xml:space="preserve"> rollover deferral</w:t>
                  </w:r>
                </w:p>
              </w:tc>
              <w:tc>
                <w:tcPr>
                  <w:tcW w:w="467" w:type="pct"/>
                  <w:vAlign w:val="bottom"/>
                </w:tcPr>
                <w:p w:rsidR="00AC2131" w:rsidRDefault="00AC2131" w:rsidP="00AC2131">
                  <w:pPr>
                    <w:pStyle w:val="TableBodyText"/>
                    <w:spacing w:after="0"/>
                    <w:ind w:left="0" w:right="57"/>
                  </w:pPr>
                  <w:r>
                    <w:t>22.5</w:t>
                  </w:r>
                </w:p>
              </w:tc>
              <w:tc>
                <w:tcPr>
                  <w:tcW w:w="467" w:type="pct"/>
                  <w:vAlign w:val="bottom"/>
                </w:tcPr>
                <w:p w:rsidR="00AC2131" w:rsidRDefault="00AC2131" w:rsidP="00AC2131">
                  <w:pPr>
                    <w:pStyle w:val="TableBodyText"/>
                    <w:spacing w:after="0"/>
                    <w:ind w:left="0" w:right="57"/>
                  </w:pPr>
                  <w:r>
                    <w:t>16.2</w:t>
                  </w:r>
                </w:p>
              </w:tc>
              <w:tc>
                <w:tcPr>
                  <w:tcW w:w="467" w:type="pct"/>
                  <w:vAlign w:val="bottom"/>
                </w:tcPr>
                <w:p w:rsidR="00AC2131" w:rsidRDefault="00AC2131" w:rsidP="00AC2131">
                  <w:pPr>
                    <w:pStyle w:val="TableBodyText"/>
                    <w:spacing w:after="0"/>
                    <w:ind w:left="0" w:right="57"/>
                  </w:pPr>
                  <w:r>
                    <w:t>5.9</w:t>
                  </w:r>
                </w:p>
              </w:tc>
              <w:tc>
                <w:tcPr>
                  <w:tcW w:w="467" w:type="pct"/>
                  <w:vAlign w:val="bottom"/>
                </w:tcPr>
                <w:p w:rsidR="00AC2131" w:rsidRDefault="00AC2131" w:rsidP="00AC2131">
                  <w:pPr>
                    <w:pStyle w:val="TableBodyText"/>
                    <w:spacing w:after="0"/>
                    <w:ind w:left="0" w:right="57"/>
                  </w:pPr>
                  <w:r>
                    <w:t>5.6</w:t>
                  </w:r>
                </w:p>
              </w:tc>
              <w:tc>
                <w:tcPr>
                  <w:tcW w:w="467" w:type="pct"/>
                  <w:shd w:val="clear" w:color="auto" w:fill="auto"/>
                  <w:vAlign w:val="bottom"/>
                </w:tcPr>
                <w:p w:rsidR="00AC2131" w:rsidRDefault="00AC2131" w:rsidP="00AC2131">
                  <w:pPr>
                    <w:pStyle w:val="TableBodyText"/>
                    <w:spacing w:after="0"/>
                    <w:ind w:left="0" w:right="57"/>
                  </w:pPr>
                  <w:r>
                    <w:t>6.6</w:t>
                  </w:r>
                </w:p>
              </w:tc>
              <w:tc>
                <w:tcPr>
                  <w:tcW w:w="465" w:type="pct"/>
                  <w:shd w:val="clear" w:color="auto" w:fill="auto"/>
                  <w:vAlign w:val="bottom"/>
                </w:tcPr>
                <w:p w:rsidR="00AC2131" w:rsidRDefault="00AC2131" w:rsidP="00AC2131">
                  <w:pPr>
                    <w:pStyle w:val="TableBodyText"/>
                    <w:spacing w:after="0"/>
                    <w:ind w:left="0" w:right="57"/>
                  </w:pPr>
                  <w:r>
                    <w:t>7.2</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South East South Australia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0.2</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The Small Business and General Business Tax Break</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75.4</w:t>
                  </w:r>
                </w:p>
              </w:tc>
              <w:tc>
                <w:tcPr>
                  <w:tcW w:w="467" w:type="pct"/>
                  <w:vAlign w:val="bottom"/>
                </w:tcPr>
                <w:p w:rsidR="00AC2131" w:rsidRDefault="00AC2131" w:rsidP="00AC2131">
                  <w:pPr>
                    <w:pStyle w:val="TableBodyText"/>
                    <w:spacing w:after="0"/>
                    <w:ind w:left="0" w:right="57"/>
                  </w:pPr>
                  <w:r>
                    <w:t>64.7</w:t>
                  </w:r>
                </w:p>
              </w:tc>
              <w:tc>
                <w:tcPr>
                  <w:tcW w:w="467" w:type="pct"/>
                  <w:vAlign w:val="bottom"/>
                </w:tcPr>
                <w:p w:rsidR="00AC2131" w:rsidRDefault="00AC2131" w:rsidP="00AC2131">
                  <w:pPr>
                    <w:pStyle w:val="TableBodyText"/>
                    <w:spacing w:after="0"/>
                    <w:ind w:left="0" w:right="57"/>
                  </w:pPr>
                  <w:r>
                    <w:t>26.6</w:t>
                  </w:r>
                </w:p>
              </w:tc>
              <w:tc>
                <w:tcPr>
                  <w:tcW w:w="467" w:type="pct"/>
                  <w:shd w:val="clear" w:color="auto" w:fill="auto"/>
                  <w:vAlign w:val="bottom"/>
                </w:tcPr>
                <w:p w:rsidR="00AC2131" w:rsidRDefault="00AC2131" w:rsidP="00AC2131">
                  <w:pPr>
                    <w:pStyle w:val="TableBodyText"/>
                    <w:spacing w:after="0"/>
                    <w:ind w:left="0" w:right="57"/>
                  </w:pPr>
                  <w:r>
                    <w:t>9.2</w:t>
                  </w:r>
                </w:p>
              </w:tc>
              <w:tc>
                <w:tcPr>
                  <w:tcW w:w="465" w:type="pct"/>
                  <w:shd w:val="clear" w:color="auto" w:fill="auto"/>
                  <w:vAlign w:val="bottom"/>
                </w:tcPr>
                <w:p w:rsidR="00AC2131" w:rsidRDefault="00AC2131" w:rsidP="00AC2131">
                  <w:pPr>
                    <w:pStyle w:val="TableBodyText"/>
                    <w:spacing w:after="0"/>
                    <w:ind w:left="0" w:right="57"/>
                  </w:pPr>
                  <w:r>
                    <w:t>1.1</w:t>
                  </w:r>
                </w:p>
              </w:tc>
            </w:tr>
            <w:tr w:rsidR="00AC2131" w:rsidTr="00AC2131">
              <w:tc>
                <w:tcPr>
                  <w:tcW w:w="2200" w:type="pct"/>
                  <w:shd w:val="clear" w:color="auto" w:fill="auto"/>
                </w:tcPr>
                <w:p w:rsidR="00AC2131" w:rsidRPr="00D945AF" w:rsidRDefault="00AC2131" w:rsidP="00AC2131">
                  <w:pPr>
                    <w:pStyle w:val="TableBodyText"/>
                    <w:spacing w:before="20" w:after="20"/>
                    <w:jc w:val="left"/>
                    <w:rPr>
                      <w:i/>
                    </w:rPr>
                  </w:pPr>
                  <w:r w:rsidRPr="00D945AF">
                    <w:rPr>
                      <w:i/>
                    </w:rPr>
                    <w:t>Total</w:t>
                  </w:r>
                </w:p>
              </w:tc>
              <w:tc>
                <w:tcPr>
                  <w:tcW w:w="467" w:type="pct"/>
                  <w:vAlign w:val="bottom"/>
                </w:tcPr>
                <w:p w:rsidR="00AC2131" w:rsidRPr="00C80DD7" w:rsidRDefault="00AC2131" w:rsidP="00AC2131">
                  <w:pPr>
                    <w:pStyle w:val="TableBodyText"/>
                    <w:spacing w:before="20" w:after="20"/>
                    <w:ind w:left="0" w:right="57"/>
                    <w:rPr>
                      <w:i/>
                    </w:rPr>
                  </w:pPr>
                  <w:r w:rsidRPr="00C80DD7">
                    <w:rPr>
                      <w:i/>
                    </w:rPr>
                    <w:t>338.0</w:t>
                  </w:r>
                </w:p>
              </w:tc>
              <w:tc>
                <w:tcPr>
                  <w:tcW w:w="467" w:type="pct"/>
                  <w:vAlign w:val="bottom"/>
                </w:tcPr>
                <w:p w:rsidR="00AC2131" w:rsidRPr="00C80DD7" w:rsidRDefault="00AC2131" w:rsidP="00AC2131">
                  <w:pPr>
                    <w:pStyle w:val="TableBodyText"/>
                    <w:spacing w:before="20" w:after="20"/>
                    <w:ind w:left="0" w:right="57"/>
                    <w:rPr>
                      <w:i/>
                    </w:rPr>
                  </w:pPr>
                  <w:r w:rsidRPr="00C80DD7">
                    <w:rPr>
                      <w:i/>
                    </w:rPr>
                    <w:t>263.5</w:t>
                  </w:r>
                </w:p>
              </w:tc>
              <w:tc>
                <w:tcPr>
                  <w:tcW w:w="467" w:type="pct"/>
                  <w:vAlign w:val="bottom"/>
                </w:tcPr>
                <w:p w:rsidR="00AC2131" w:rsidRPr="00C80DD7" w:rsidRDefault="00AC2131" w:rsidP="00AC2131">
                  <w:pPr>
                    <w:pStyle w:val="TableBodyText"/>
                    <w:spacing w:before="20" w:after="20"/>
                    <w:ind w:left="0" w:right="57"/>
                    <w:rPr>
                      <w:i/>
                    </w:rPr>
                  </w:pPr>
                  <w:r w:rsidRPr="00C80DD7">
                    <w:rPr>
                      <w:i/>
                    </w:rPr>
                    <w:t>197.7</w:t>
                  </w:r>
                </w:p>
              </w:tc>
              <w:tc>
                <w:tcPr>
                  <w:tcW w:w="467" w:type="pct"/>
                  <w:vAlign w:val="bottom"/>
                </w:tcPr>
                <w:p w:rsidR="00AC2131" w:rsidRPr="00C80DD7" w:rsidRDefault="00AC2131" w:rsidP="00AC2131">
                  <w:pPr>
                    <w:pStyle w:val="TableBodyText"/>
                    <w:spacing w:before="20" w:after="20"/>
                    <w:ind w:left="0" w:right="57"/>
                    <w:rPr>
                      <w:i/>
                    </w:rPr>
                  </w:pPr>
                  <w:r w:rsidRPr="00C80DD7">
                    <w:rPr>
                      <w:i/>
                    </w:rPr>
                    <w:t>136.1</w:t>
                  </w:r>
                </w:p>
              </w:tc>
              <w:tc>
                <w:tcPr>
                  <w:tcW w:w="467" w:type="pct"/>
                  <w:shd w:val="clear" w:color="auto" w:fill="auto"/>
                  <w:vAlign w:val="bottom"/>
                </w:tcPr>
                <w:p w:rsidR="00AC2131" w:rsidRPr="00C80DD7" w:rsidRDefault="00AC2131" w:rsidP="00AC2131">
                  <w:pPr>
                    <w:pStyle w:val="TableBodyText"/>
                    <w:spacing w:before="20" w:after="20"/>
                    <w:ind w:left="0" w:right="57"/>
                    <w:rPr>
                      <w:i/>
                    </w:rPr>
                  </w:pPr>
                  <w:r w:rsidRPr="00C80DD7">
                    <w:rPr>
                      <w:i/>
                    </w:rPr>
                    <w:t>107.5</w:t>
                  </w:r>
                </w:p>
              </w:tc>
              <w:tc>
                <w:tcPr>
                  <w:tcW w:w="465" w:type="pct"/>
                  <w:shd w:val="clear" w:color="auto" w:fill="auto"/>
                  <w:vAlign w:val="bottom"/>
                </w:tcPr>
                <w:p w:rsidR="00AC2131" w:rsidRPr="00C80DD7" w:rsidRDefault="00AC2131" w:rsidP="00AC2131">
                  <w:pPr>
                    <w:pStyle w:val="TableBodyText"/>
                    <w:spacing w:before="20" w:after="20"/>
                    <w:ind w:left="0" w:right="57"/>
                    <w:rPr>
                      <w:i/>
                    </w:rPr>
                  </w:pPr>
                  <w:r w:rsidRPr="00C80DD7">
                    <w:rPr>
                      <w:i/>
                    </w:rPr>
                    <w:t>169.0</w:t>
                  </w:r>
                </w:p>
              </w:tc>
            </w:tr>
            <w:tr w:rsidR="00AC2131" w:rsidTr="00AC2131">
              <w:tc>
                <w:tcPr>
                  <w:tcW w:w="2200" w:type="pct"/>
                  <w:shd w:val="clear" w:color="auto" w:fill="auto"/>
                </w:tcPr>
                <w:p w:rsidR="00AC2131" w:rsidRPr="00D945AF" w:rsidRDefault="00AC2131" w:rsidP="00AC2131">
                  <w:pPr>
                    <w:pStyle w:val="TableBodyText"/>
                    <w:spacing w:before="40"/>
                    <w:jc w:val="left"/>
                    <w:rPr>
                      <w:b/>
                    </w:rPr>
                  </w:pPr>
                  <w:r w:rsidRPr="00D945AF">
                    <w:rPr>
                      <w:b/>
                    </w:rPr>
                    <w:t>Accommodation and food services</w:t>
                  </w: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shd w:val="clear" w:color="auto" w:fill="auto"/>
                </w:tcPr>
                <w:p w:rsidR="00AC2131" w:rsidRDefault="00AC2131" w:rsidP="00AC2131">
                  <w:pPr>
                    <w:pStyle w:val="TableBodyText"/>
                    <w:spacing w:before="40"/>
                  </w:pPr>
                </w:p>
              </w:tc>
              <w:tc>
                <w:tcPr>
                  <w:tcW w:w="465" w:type="pct"/>
                  <w:shd w:val="clear" w:color="auto" w:fill="auto"/>
                </w:tcPr>
                <w:p w:rsidR="00AC2131" w:rsidRDefault="00AC2131" w:rsidP="00AC2131">
                  <w:pPr>
                    <w:pStyle w:val="TableBodyText"/>
                    <w:spacing w:before="40"/>
                    <w:ind w:right="28"/>
                  </w:pPr>
                </w:p>
              </w:tc>
            </w:tr>
            <w:tr w:rsidR="00AC2131" w:rsidTr="00AC2131">
              <w:tc>
                <w:tcPr>
                  <w:tcW w:w="2200" w:type="pct"/>
                  <w:shd w:val="clear" w:color="auto" w:fill="auto"/>
                </w:tcPr>
                <w:p w:rsidR="00AC2131" w:rsidRPr="00D945AF" w:rsidRDefault="00AC2131" w:rsidP="00AC2131">
                  <w:pPr>
                    <w:pStyle w:val="TableBodyText"/>
                    <w:spacing w:before="40" w:after="0"/>
                    <w:ind w:left="113"/>
                    <w:jc w:val="left"/>
                    <w:rPr>
                      <w:i/>
                    </w:rPr>
                  </w:pPr>
                  <w:r w:rsidRPr="00D945AF">
                    <w:rPr>
                      <w:i/>
                    </w:rPr>
                    <w:t>General export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spacing w:after="0"/>
                    <w:ind w:left="227" w:right="0"/>
                    <w:jc w:val="left"/>
                  </w:pPr>
                  <w:r w:rsidRPr="00D945AF">
                    <w:t>Export Market Development Grants Scheme</w:t>
                  </w:r>
                </w:p>
              </w:tc>
              <w:tc>
                <w:tcPr>
                  <w:tcW w:w="467" w:type="pct"/>
                  <w:vAlign w:val="bottom"/>
                </w:tcPr>
                <w:p w:rsidR="00AC2131" w:rsidRDefault="00AC2131" w:rsidP="00AC2131">
                  <w:pPr>
                    <w:pStyle w:val="TableBodyText"/>
                    <w:spacing w:after="0"/>
                    <w:ind w:left="0" w:right="57"/>
                  </w:pPr>
                  <w:r>
                    <w:t>5.0</w:t>
                  </w:r>
                </w:p>
              </w:tc>
              <w:tc>
                <w:tcPr>
                  <w:tcW w:w="467" w:type="pct"/>
                  <w:vAlign w:val="bottom"/>
                </w:tcPr>
                <w:p w:rsidR="00AC2131" w:rsidRDefault="00AC2131" w:rsidP="00AC2131">
                  <w:pPr>
                    <w:pStyle w:val="TableBodyText"/>
                    <w:spacing w:after="0"/>
                    <w:ind w:left="0" w:right="57"/>
                  </w:pPr>
                  <w:r>
                    <w:t>6.5</w:t>
                  </w:r>
                </w:p>
              </w:tc>
              <w:tc>
                <w:tcPr>
                  <w:tcW w:w="467" w:type="pct"/>
                  <w:vAlign w:val="bottom"/>
                </w:tcPr>
                <w:p w:rsidR="00AC2131" w:rsidRDefault="00AC2131" w:rsidP="00AC2131">
                  <w:pPr>
                    <w:pStyle w:val="TableBodyText"/>
                    <w:spacing w:after="0"/>
                    <w:ind w:left="0" w:right="57"/>
                  </w:pPr>
                  <w:r>
                    <w:t>4.3</w:t>
                  </w:r>
                </w:p>
              </w:tc>
              <w:tc>
                <w:tcPr>
                  <w:tcW w:w="467" w:type="pct"/>
                  <w:vAlign w:val="bottom"/>
                </w:tcPr>
                <w:p w:rsidR="00AC2131" w:rsidRDefault="00AC2131" w:rsidP="00AC2131">
                  <w:pPr>
                    <w:pStyle w:val="TableBodyText"/>
                    <w:spacing w:after="0"/>
                    <w:ind w:left="0" w:right="57"/>
                  </w:pPr>
                  <w:r>
                    <w:t>3.2</w:t>
                  </w:r>
                </w:p>
              </w:tc>
              <w:tc>
                <w:tcPr>
                  <w:tcW w:w="467" w:type="pct"/>
                  <w:shd w:val="clear" w:color="auto" w:fill="auto"/>
                  <w:vAlign w:val="bottom"/>
                </w:tcPr>
                <w:p w:rsidR="00AC2131" w:rsidRDefault="00AC2131" w:rsidP="00AC2131">
                  <w:pPr>
                    <w:pStyle w:val="TableBodyText"/>
                    <w:spacing w:after="0"/>
                    <w:ind w:left="0" w:right="57"/>
                  </w:pPr>
                  <w:r>
                    <w:t>3.3</w:t>
                  </w:r>
                </w:p>
              </w:tc>
              <w:tc>
                <w:tcPr>
                  <w:tcW w:w="465" w:type="pct"/>
                  <w:shd w:val="clear" w:color="auto" w:fill="auto"/>
                  <w:vAlign w:val="bottom"/>
                </w:tcPr>
                <w:p w:rsidR="00AC2131" w:rsidRDefault="00AC2131" w:rsidP="00AC2131">
                  <w:pPr>
                    <w:pStyle w:val="TableBodyText"/>
                    <w:spacing w:after="0"/>
                    <w:ind w:left="0" w:right="57"/>
                  </w:pPr>
                  <w:r>
                    <w:t>2.8</w:t>
                  </w:r>
                </w:p>
              </w:tc>
            </w:tr>
            <w:tr w:rsidR="00AC2131" w:rsidTr="00AC2131">
              <w:tc>
                <w:tcPr>
                  <w:tcW w:w="2200" w:type="pct"/>
                  <w:shd w:val="clear" w:color="auto" w:fill="auto"/>
                </w:tcPr>
                <w:p w:rsidR="00AC2131" w:rsidRPr="00D945AF" w:rsidRDefault="00AC2131" w:rsidP="00AC2131">
                  <w:pPr>
                    <w:pStyle w:val="TableBodyText"/>
                    <w:spacing w:before="40" w:after="0"/>
                    <w:ind w:left="113"/>
                    <w:jc w:val="left"/>
                    <w:rPr>
                      <w:i/>
                    </w:rPr>
                  </w:pPr>
                  <w:r w:rsidRPr="00D945AF">
                    <w:rPr>
                      <w:i/>
                    </w:rPr>
                    <w:t>General R&amp;D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sidRPr="00D945AF">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-0.5</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0.5</w:t>
                  </w:r>
                </w:p>
              </w:tc>
              <w:tc>
                <w:tcPr>
                  <w:tcW w:w="465" w:type="pct"/>
                  <w:shd w:val="clear" w:color="auto" w:fill="auto"/>
                  <w:vAlign w:val="bottom"/>
                </w:tcPr>
                <w:p w:rsidR="00AC2131" w:rsidRDefault="00AC2131" w:rsidP="00AC2131">
                  <w:pPr>
                    <w:pStyle w:val="TableBodyText"/>
                    <w:spacing w:after="0"/>
                    <w:ind w:left="0" w:right="57"/>
                  </w:pPr>
                  <w:r>
                    <w:t>2.8</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1.0</w:t>
                  </w:r>
                </w:p>
              </w:tc>
              <w:tc>
                <w:tcPr>
                  <w:tcW w:w="465" w:type="pct"/>
                  <w:shd w:val="clear" w:color="auto" w:fill="auto"/>
                  <w:vAlign w:val="bottom"/>
                </w:tcPr>
                <w:p w:rsidR="00AC2131" w:rsidRDefault="00AC2131" w:rsidP="00AC2131">
                  <w:pPr>
                    <w:pStyle w:val="TableBodyText"/>
                    <w:spacing w:after="0"/>
                    <w:ind w:left="0" w:right="57"/>
                  </w:pPr>
                  <w:r>
                    <w:t>1.8</w:t>
                  </w:r>
                </w:p>
              </w:tc>
            </w:tr>
            <w:tr w:rsidR="00AC2131" w:rsidTr="00AC2131">
              <w:tc>
                <w:tcPr>
                  <w:tcW w:w="2200" w:type="pct"/>
                  <w:shd w:val="clear" w:color="auto" w:fill="auto"/>
                  <w:vAlign w:val="bottom"/>
                </w:tcPr>
                <w:p w:rsidR="00AC2131" w:rsidRPr="00D945AF"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1.3</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605847" w:rsidRDefault="00AC2131" w:rsidP="00AC2131">
                  <w:pPr>
                    <w:pStyle w:val="TableBodyText"/>
                    <w:spacing w:before="40" w:after="0"/>
                    <w:ind w:left="113"/>
                    <w:jc w:val="left"/>
                    <w:rPr>
                      <w:i/>
                    </w:rPr>
                  </w:pPr>
                  <w:r w:rsidRPr="00605847">
                    <w:rPr>
                      <w:i/>
                    </w:rPr>
                    <w:t>Other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605847" w:rsidRDefault="00AC2131" w:rsidP="00AC2131">
                  <w:pPr>
                    <w:ind w:left="227"/>
                    <w:rPr>
                      <w:rFonts w:ascii="Arial" w:hAnsi="Arial" w:cs="Arial"/>
                      <w:color w:val="000000"/>
                      <w:sz w:val="18"/>
                      <w:szCs w:val="18"/>
                    </w:rPr>
                  </w:pPr>
                  <w:r w:rsidRPr="00605847">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1.0</w:t>
                  </w:r>
                </w:p>
              </w:tc>
              <w:tc>
                <w:tcPr>
                  <w:tcW w:w="467" w:type="pct"/>
                  <w:shd w:val="clear" w:color="auto" w:fill="auto"/>
                  <w:vAlign w:val="bottom"/>
                </w:tcPr>
                <w:p w:rsidR="00AC2131" w:rsidRDefault="00AC2131" w:rsidP="00AC2131">
                  <w:pPr>
                    <w:pStyle w:val="TableBodyText"/>
                    <w:spacing w:after="0"/>
                    <w:ind w:left="0" w:right="57"/>
                  </w:pPr>
                  <w:r>
                    <w:t>0.8</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605847" w:rsidRDefault="00AC2131" w:rsidP="00AC2131">
                  <w:pPr>
                    <w:ind w:left="227"/>
                    <w:rPr>
                      <w:rFonts w:ascii="Arial" w:hAnsi="Arial" w:cs="Arial"/>
                      <w:color w:val="000000"/>
                      <w:sz w:val="18"/>
                      <w:szCs w:val="18"/>
                    </w:rPr>
                  </w:pPr>
                  <w:r w:rsidRPr="00605847">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0.3</w:t>
                  </w:r>
                </w:p>
              </w:tc>
            </w:tr>
            <w:tr w:rsidR="00AC2131" w:rsidTr="00AC2131">
              <w:tc>
                <w:tcPr>
                  <w:tcW w:w="2200" w:type="pct"/>
                  <w:shd w:val="clear" w:color="auto" w:fill="auto"/>
                  <w:vAlign w:val="bottom"/>
                </w:tcPr>
                <w:p w:rsidR="00AC2131" w:rsidRPr="00605847" w:rsidRDefault="00AC2131" w:rsidP="00AC2131">
                  <w:pPr>
                    <w:ind w:left="227"/>
                    <w:rPr>
                      <w:rFonts w:ascii="Arial" w:hAnsi="Arial" w:cs="Arial"/>
                      <w:color w:val="000000"/>
                      <w:sz w:val="18"/>
                      <w:szCs w:val="18"/>
                    </w:rPr>
                  </w:pPr>
                  <w:r w:rsidRPr="00605847">
                    <w:rPr>
                      <w:rFonts w:ascii="Arial" w:hAnsi="Arial" w:cs="Arial"/>
                      <w:color w:val="000000"/>
                      <w:sz w:val="18"/>
                      <w:szCs w:val="18"/>
                    </w:rPr>
                    <w:t>North East Tasmania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605847"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7" w:type="pct"/>
                  <w:vAlign w:val="bottom"/>
                </w:tcPr>
                <w:p w:rsidR="00AC2131" w:rsidRDefault="00AC2131" w:rsidP="00AC2131">
                  <w:pPr>
                    <w:pStyle w:val="TableBodyText"/>
                    <w:spacing w:after="0"/>
                    <w:ind w:left="0" w:right="57"/>
                  </w:pPr>
                  <w:r>
                    <w:t>2.3</w:t>
                  </w:r>
                </w:p>
              </w:tc>
              <w:tc>
                <w:tcPr>
                  <w:tcW w:w="467" w:type="pct"/>
                  <w:vAlign w:val="bottom"/>
                </w:tcPr>
                <w:p w:rsidR="00AC2131" w:rsidRDefault="00AC2131" w:rsidP="00AC2131">
                  <w:pPr>
                    <w:pStyle w:val="TableBodyText"/>
                    <w:spacing w:after="0"/>
                    <w:ind w:left="0" w:right="57"/>
                  </w:pPr>
                  <w:r>
                    <w:t>3.0</w:t>
                  </w:r>
                </w:p>
              </w:tc>
              <w:tc>
                <w:tcPr>
                  <w:tcW w:w="467" w:type="pct"/>
                  <w:vAlign w:val="bottom"/>
                </w:tcPr>
                <w:p w:rsidR="00AC2131" w:rsidRDefault="00AC2131" w:rsidP="00AC2131">
                  <w:pPr>
                    <w:pStyle w:val="TableBodyText"/>
                    <w:spacing w:after="0"/>
                    <w:ind w:left="0" w:right="57"/>
                  </w:pPr>
                  <w:r>
                    <w:t>4.9</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-1.5</w:t>
                  </w:r>
                </w:p>
              </w:tc>
              <w:tc>
                <w:tcPr>
                  <w:tcW w:w="465" w:type="pct"/>
                  <w:shd w:val="clear" w:color="auto" w:fill="auto"/>
                  <w:vAlign w:val="bottom"/>
                </w:tcPr>
                <w:p w:rsidR="00AC2131" w:rsidRDefault="00AC2131" w:rsidP="00AC2131">
                  <w:pPr>
                    <w:pStyle w:val="TableBodyText"/>
                    <w:spacing w:after="0"/>
                    <w:ind w:left="0" w:right="57"/>
                  </w:pPr>
                  <w:r>
                    <w:t>53.6</w:t>
                  </w:r>
                </w:p>
              </w:tc>
            </w:tr>
            <w:tr w:rsidR="00AC2131" w:rsidTr="00AC2131">
              <w:tc>
                <w:tcPr>
                  <w:tcW w:w="2200" w:type="pct"/>
                  <w:shd w:val="clear" w:color="auto" w:fill="auto"/>
                  <w:vAlign w:val="bottom"/>
                </w:tcPr>
                <w:p w:rsidR="00AC2131" w:rsidRPr="00605847"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7" w:type="pct"/>
                  <w:vAlign w:val="bottom"/>
                </w:tcPr>
                <w:p w:rsidR="00AC2131" w:rsidRDefault="00AC2131" w:rsidP="00AC2131">
                  <w:pPr>
                    <w:pStyle w:val="TableBodyText"/>
                    <w:spacing w:after="0"/>
                    <w:ind w:left="0" w:right="57"/>
                  </w:pPr>
                  <w:r>
                    <w:t>8.1</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0.8</w:t>
                  </w:r>
                </w:p>
              </w:tc>
              <w:tc>
                <w:tcPr>
                  <w:tcW w:w="465" w:type="pct"/>
                  <w:shd w:val="clear" w:color="auto" w:fill="auto"/>
                  <w:vAlign w:val="bottom"/>
                </w:tcPr>
                <w:p w:rsidR="00AC2131" w:rsidRDefault="00AC2131" w:rsidP="00AC2131">
                  <w:pPr>
                    <w:pStyle w:val="TableBodyText"/>
                    <w:spacing w:after="0"/>
                    <w:ind w:left="0" w:right="57"/>
                  </w:pPr>
                  <w:r>
                    <w:t>1.0</w:t>
                  </w:r>
                </w:p>
              </w:tc>
            </w:tr>
            <w:tr w:rsidR="00AC2131" w:rsidTr="00AC2131">
              <w:tc>
                <w:tcPr>
                  <w:tcW w:w="2200" w:type="pct"/>
                  <w:tcBorders>
                    <w:bottom w:val="single" w:sz="6" w:space="0" w:color="BFBFBF"/>
                  </w:tcBorders>
                  <w:shd w:val="clear" w:color="auto" w:fill="auto"/>
                  <w:vAlign w:val="bottom"/>
                </w:tcPr>
                <w:p w:rsidR="00AC2131" w:rsidRPr="00605847" w:rsidRDefault="00AC2131" w:rsidP="00AC2131">
                  <w:pPr>
                    <w:ind w:left="227"/>
                    <w:rPr>
                      <w:rFonts w:ascii="Arial" w:hAnsi="Arial" w:cs="Arial"/>
                      <w:color w:val="000000"/>
                      <w:sz w:val="18"/>
                      <w:szCs w:val="18"/>
                    </w:rPr>
                  </w:pPr>
                  <w:r w:rsidRPr="00605847">
                    <w:rPr>
                      <w:rFonts w:ascii="Arial" w:hAnsi="Arial" w:cs="Arial"/>
                      <w:color w:val="000000"/>
                      <w:sz w:val="18"/>
                      <w:szCs w:val="18"/>
                    </w:rPr>
                    <w:t xml:space="preserve">Small business </w:t>
                  </w:r>
                  <w:r>
                    <w:rPr>
                      <w:rFonts w:ascii="Arial" w:hAnsi="Arial" w:cs="Arial"/>
                      <w:color w:val="000000"/>
                      <w:sz w:val="18"/>
                      <w:szCs w:val="18"/>
                    </w:rPr>
                    <w:t>capital gains tax</w:t>
                  </w:r>
                  <w:r w:rsidRPr="00605847">
                    <w:rPr>
                      <w:rFonts w:ascii="Arial" w:hAnsi="Arial" w:cs="Arial"/>
                      <w:color w:val="000000"/>
                      <w:sz w:val="18"/>
                      <w:szCs w:val="18"/>
                    </w:rPr>
                    <w:t xml:space="preserve"> 50 per cent reduction</w:t>
                  </w:r>
                </w:p>
              </w:tc>
              <w:tc>
                <w:tcPr>
                  <w:tcW w:w="467" w:type="pct"/>
                  <w:tcBorders>
                    <w:bottom w:val="single" w:sz="6" w:space="0" w:color="BFBFBF"/>
                  </w:tcBorders>
                  <w:vAlign w:val="bottom"/>
                </w:tcPr>
                <w:p w:rsidR="00AC2131" w:rsidRDefault="00AC2131" w:rsidP="00AC2131">
                  <w:pPr>
                    <w:pStyle w:val="TableBodyText"/>
                    <w:spacing w:after="0"/>
                    <w:ind w:left="0" w:right="57"/>
                  </w:pPr>
                  <w:r>
                    <w:t>33.5</w:t>
                  </w:r>
                </w:p>
              </w:tc>
              <w:tc>
                <w:tcPr>
                  <w:tcW w:w="467" w:type="pct"/>
                  <w:tcBorders>
                    <w:bottom w:val="single" w:sz="6" w:space="0" w:color="BFBFBF"/>
                  </w:tcBorders>
                  <w:vAlign w:val="bottom"/>
                </w:tcPr>
                <w:p w:rsidR="00AC2131" w:rsidRDefault="00AC2131" w:rsidP="00AC2131">
                  <w:pPr>
                    <w:pStyle w:val="TableBodyText"/>
                    <w:spacing w:after="0"/>
                    <w:ind w:left="0" w:right="57"/>
                  </w:pPr>
                  <w:r>
                    <w:t>22.1</w:t>
                  </w:r>
                </w:p>
              </w:tc>
              <w:tc>
                <w:tcPr>
                  <w:tcW w:w="467" w:type="pct"/>
                  <w:tcBorders>
                    <w:bottom w:val="single" w:sz="6" w:space="0" w:color="BFBFBF"/>
                  </w:tcBorders>
                  <w:vAlign w:val="bottom"/>
                </w:tcPr>
                <w:p w:rsidR="00AC2131" w:rsidRDefault="00AC2131" w:rsidP="00AC2131">
                  <w:pPr>
                    <w:pStyle w:val="TableBodyText"/>
                    <w:spacing w:after="0"/>
                    <w:ind w:left="0" w:right="57"/>
                  </w:pPr>
                  <w:r>
                    <w:t>23.5</w:t>
                  </w:r>
                </w:p>
              </w:tc>
              <w:tc>
                <w:tcPr>
                  <w:tcW w:w="467" w:type="pct"/>
                  <w:tcBorders>
                    <w:bottom w:val="single" w:sz="6" w:space="0" w:color="BFBFBF"/>
                  </w:tcBorders>
                  <w:vAlign w:val="bottom"/>
                </w:tcPr>
                <w:p w:rsidR="00AC2131" w:rsidRDefault="00AC2131" w:rsidP="00AC2131">
                  <w:pPr>
                    <w:pStyle w:val="TableBodyText"/>
                    <w:spacing w:after="0"/>
                    <w:ind w:left="0" w:right="57"/>
                  </w:pPr>
                  <w:r>
                    <w:t>32.3</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33.5</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35.2</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499"/>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795"/>
              <w:gridCol w:w="794"/>
              <w:gridCol w:w="794"/>
              <w:gridCol w:w="794"/>
              <w:gridCol w:w="794"/>
              <w:gridCol w:w="791"/>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7" w:type="pct"/>
                  <w:tcBorders>
                    <w:top w:val="single" w:sz="6" w:space="0" w:color="BFBFBF"/>
                    <w:bottom w:val="single" w:sz="6" w:space="0" w:color="BFBFBF"/>
                  </w:tcBorders>
                  <w:vAlign w:val="center"/>
                </w:tcPr>
                <w:p w:rsidR="00AC2131" w:rsidRPr="00351B35" w:rsidRDefault="00AC2131" w:rsidP="00AC2131">
                  <w:pPr>
                    <w:spacing w:before="80" w:after="80"/>
                    <w:ind w:right="57"/>
                    <w:jc w:val="right"/>
                    <w:rPr>
                      <w:rFonts w:ascii="Arial" w:hAnsi="Arial" w:cs="Arial"/>
                      <w:i/>
                      <w:sz w:val="18"/>
                      <w:szCs w:val="18"/>
                    </w:rPr>
                  </w:pPr>
                  <w:r>
                    <w:rPr>
                      <w:rFonts w:ascii="Arial" w:hAnsi="Arial" w:cs="Arial"/>
                      <w:i/>
                      <w:sz w:val="18"/>
                      <w:szCs w:val="18"/>
                    </w:rPr>
                    <w:t>2008</w:t>
                  </w:r>
                  <w:r w:rsidRPr="00351B35">
                    <w:rPr>
                      <w:rFonts w:ascii="Arial" w:hAnsi="Arial" w:cs="Arial"/>
                      <w:i/>
                      <w:sz w:val="18"/>
                      <w:szCs w:val="18"/>
                    </w:rPr>
                    <w:t>-</w:t>
                  </w:r>
                  <w:r>
                    <w:rPr>
                      <w:rFonts w:ascii="Arial" w:hAnsi="Arial" w:cs="Arial"/>
                      <w:i/>
                      <w:sz w:val="18"/>
                      <w:szCs w:val="18"/>
                    </w:rPr>
                    <w:t>09</w:t>
                  </w:r>
                </w:p>
              </w:tc>
              <w:tc>
                <w:tcPr>
                  <w:tcW w:w="467" w:type="pct"/>
                  <w:tcBorders>
                    <w:top w:val="single" w:sz="6" w:space="0" w:color="BFBFBF"/>
                    <w:bottom w:val="single" w:sz="6" w:space="0" w:color="BFBFBF"/>
                  </w:tcBorders>
                  <w:vAlign w:val="center"/>
                </w:tcPr>
                <w:p w:rsidR="00AC2131" w:rsidRPr="00351B35" w:rsidRDefault="00AC2131" w:rsidP="00AC2131">
                  <w:pPr>
                    <w:spacing w:before="80" w:after="80"/>
                    <w:ind w:right="57"/>
                    <w:jc w:val="right"/>
                    <w:rPr>
                      <w:rFonts w:ascii="Arial" w:hAnsi="Arial" w:cs="Arial"/>
                      <w:i/>
                      <w:sz w:val="18"/>
                      <w:szCs w:val="18"/>
                    </w:rPr>
                  </w:pPr>
                  <w:r>
                    <w:rPr>
                      <w:rFonts w:ascii="Arial" w:hAnsi="Arial" w:cs="Arial"/>
                      <w:i/>
                      <w:sz w:val="18"/>
                      <w:szCs w:val="18"/>
                    </w:rPr>
                    <w:t>2009-10</w:t>
                  </w:r>
                </w:p>
              </w:tc>
              <w:tc>
                <w:tcPr>
                  <w:tcW w:w="467" w:type="pct"/>
                  <w:tcBorders>
                    <w:top w:val="single" w:sz="6" w:space="0" w:color="BFBFBF"/>
                    <w:bottom w:val="single" w:sz="6" w:space="0" w:color="BFBFBF"/>
                  </w:tcBorders>
                  <w:vAlign w:val="center"/>
                </w:tcPr>
                <w:p w:rsidR="00AC2131" w:rsidRPr="00351B35" w:rsidRDefault="00AC2131" w:rsidP="00AC2131">
                  <w:pPr>
                    <w:spacing w:before="80" w:after="80"/>
                    <w:ind w:right="57"/>
                    <w:jc w:val="right"/>
                    <w:rPr>
                      <w:rFonts w:ascii="Arial" w:hAnsi="Arial" w:cs="Arial"/>
                      <w:i/>
                      <w:sz w:val="18"/>
                      <w:szCs w:val="18"/>
                    </w:rPr>
                  </w:pPr>
                  <w:r>
                    <w:rPr>
                      <w:rFonts w:ascii="Arial" w:hAnsi="Arial" w:cs="Arial"/>
                      <w:i/>
                      <w:sz w:val="18"/>
                      <w:szCs w:val="18"/>
                    </w:rPr>
                    <w:t>2010-11</w:t>
                  </w:r>
                </w:p>
              </w:tc>
              <w:tc>
                <w:tcPr>
                  <w:tcW w:w="467" w:type="pct"/>
                  <w:tcBorders>
                    <w:top w:val="single" w:sz="6" w:space="0" w:color="BFBFBF"/>
                    <w:bottom w:val="single" w:sz="6" w:space="0" w:color="BFBFBF"/>
                  </w:tcBorders>
                  <w:vAlign w:val="center"/>
                </w:tcPr>
                <w:p w:rsidR="00AC2131" w:rsidRPr="00351B35" w:rsidRDefault="00AC2131" w:rsidP="00AC2131">
                  <w:pPr>
                    <w:spacing w:before="80" w:after="80"/>
                    <w:ind w:right="57"/>
                    <w:jc w:val="right"/>
                    <w:rPr>
                      <w:rFonts w:ascii="Arial" w:hAnsi="Arial" w:cs="Arial"/>
                      <w:i/>
                      <w:sz w:val="18"/>
                      <w:szCs w:val="18"/>
                    </w:rPr>
                  </w:pPr>
                  <w:r>
                    <w:rPr>
                      <w:rFonts w:ascii="Arial" w:hAnsi="Arial" w:cs="Arial"/>
                      <w:i/>
                      <w:sz w:val="18"/>
                      <w:szCs w:val="18"/>
                    </w:rPr>
                    <w:t>2011-12</w:t>
                  </w:r>
                </w:p>
              </w:tc>
              <w:tc>
                <w:tcPr>
                  <w:tcW w:w="467" w:type="pct"/>
                  <w:tcBorders>
                    <w:top w:val="single" w:sz="6" w:space="0" w:color="BFBFBF"/>
                    <w:bottom w:val="single" w:sz="6" w:space="0" w:color="BFBFBF"/>
                  </w:tcBorders>
                  <w:shd w:val="clear" w:color="auto" w:fill="auto"/>
                  <w:tcMar>
                    <w:top w:w="28" w:type="dxa"/>
                  </w:tcMar>
                  <w:vAlign w:val="center"/>
                </w:tcPr>
                <w:p w:rsidR="00AC2131" w:rsidRPr="00351B35" w:rsidRDefault="00AC2131" w:rsidP="00AC2131">
                  <w:pPr>
                    <w:spacing w:before="80" w:after="80"/>
                    <w:ind w:right="57"/>
                    <w:jc w:val="right"/>
                    <w:rPr>
                      <w:rFonts w:ascii="Arial" w:hAnsi="Arial" w:cs="Arial"/>
                      <w:i/>
                      <w:sz w:val="18"/>
                      <w:szCs w:val="18"/>
                    </w:rPr>
                  </w:pPr>
                  <w:r>
                    <w:rPr>
                      <w:rFonts w:ascii="Arial" w:hAnsi="Arial" w:cs="Arial"/>
                      <w:i/>
                      <w:sz w:val="18"/>
                      <w:szCs w:val="18"/>
                    </w:rPr>
                    <w:t>2012-13</w:t>
                  </w:r>
                </w:p>
              </w:tc>
              <w:tc>
                <w:tcPr>
                  <w:tcW w:w="465"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right="57"/>
                  </w:pPr>
                  <w:r>
                    <w:t>2013-14</w:t>
                  </w:r>
                </w:p>
              </w:tc>
            </w:tr>
            <w:tr w:rsidR="00AC2131" w:rsidTr="00AC2131">
              <w:tc>
                <w:tcPr>
                  <w:tcW w:w="2200" w:type="pct"/>
                  <w:shd w:val="clear" w:color="auto" w:fill="auto"/>
                </w:tcPr>
                <w:p w:rsidR="00AC2131" w:rsidRPr="00605847" w:rsidRDefault="00AC2131" w:rsidP="00AC2131">
                  <w:pPr>
                    <w:pStyle w:val="TableBodyText"/>
                    <w:spacing w:before="40" w:after="0"/>
                    <w:ind w:left="113"/>
                    <w:jc w:val="left"/>
                    <w:rPr>
                      <w:i/>
                    </w:rPr>
                  </w:pPr>
                  <w:r w:rsidRPr="00605847">
                    <w:rPr>
                      <w:i/>
                    </w:rPr>
                    <w:t>Other measures</w:t>
                  </w:r>
                  <w:r>
                    <w:rPr>
                      <w:i/>
                    </w:rPr>
                    <w:t xml:space="preserve"> (continued)</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605847" w:rsidRDefault="00AC2131" w:rsidP="00AC2131">
                  <w:pPr>
                    <w:ind w:left="227"/>
                    <w:rPr>
                      <w:rFonts w:ascii="Arial" w:hAnsi="Arial" w:cs="Arial"/>
                      <w:color w:val="000000"/>
                      <w:sz w:val="18"/>
                      <w:szCs w:val="18"/>
                    </w:rPr>
                  </w:pPr>
                  <w:r w:rsidRPr="00605847">
                    <w:rPr>
                      <w:rFonts w:ascii="Arial" w:hAnsi="Arial" w:cs="Arial"/>
                      <w:color w:val="000000"/>
                      <w:sz w:val="18"/>
                      <w:szCs w:val="18"/>
                    </w:rPr>
                    <w:t xml:space="preserve">Small business </w:t>
                  </w:r>
                  <w:r>
                    <w:rPr>
                      <w:rFonts w:ascii="Arial" w:hAnsi="Arial" w:cs="Arial"/>
                      <w:color w:val="000000"/>
                      <w:sz w:val="18"/>
                      <w:szCs w:val="18"/>
                    </w:rPr>
                    <w:t>capital gains tax</w:t>
                  </w:r>
                  <w:r w:rsidRPr="00605847">
                    <w:rPr>
                      <w:rFonts w:ascii="Arial" w:hAnsi="Arial" w:cs="Arial"/>
                      <w:color w:val="000000"/>
                      <w:sz w:val="18"/>
                      <w:szCs w:val="18"/>
                    </w:rPr>
                    <w:t xml:space="preserve"> retirement exemption</w:t>
                  </w:r>
                </w:p>
              </w:tc>
              <w:tc>
                <w:tcPr>
                  <w:tcW w:w="467" w:type="pct"/>
                  <w:vAlign w:val="bottom"/>
                </w:tcPr>
                <w:p w:rsidR="00AC2131" w:rsidRDefault="00AC2131" w:rsidP="00AC2131">
                  <w:pPr>
                    <w:pStyle w:val="TableBodyText"/>
                    <w:spacing w:after="0"/>
                    <w:ind w:left="0" w:right="57"/>
                  </w:pPr>
                  <w:r>
                    <w:t>13.3</w:t>
                  </w:r>
                </w:p>
              </w:tc>
              <w:tc>
                <w:tcPr>
                  <w:tcW w:w="467" w:type="pct"/>
                  <w:vAlign w:val="bottom"/>
                </w:tcPr>
                <w:p w:rsidR="00AC2131" w:rsidRDefault="00AC2131" w:rsidP="00AC2131">
                  <w:pPr>
                    <w:pStyle w:val="TableBodyText"/>
                    <w:spacing w:after="0"/>
                    <w:ind w:left="0" w:right="57"/>
                  </w:pPr>
                  <w:r>
                    <w:t>8.6</w:t>
                  </w:r>
                </w:p>
              </w:tc>
              <w:tc>
                <w:tcPr>
                  <w:tcW w:w="467" w:type="pct"/>
                  <w:vAlign w:val="bottom"/>
                </w:tcPr>
                <w:p w:rsidR="00AC2131" w:rsidRDefault="00AC2131" w:rsidP="00AC2131">
                  <w:pPr>
                    <w:pStyle w:val="TableBodyText"/>
                    <w:spacing w:after="0"/>
                    <w:ind w:left="0" w:right="57"/>
                  </w:pPr>
                  <w:r>
                    <w:t>11.7</w:t>
                  </w:r>
                </w:p>
              </w:tc>
              <w:tc>
                <w:tcPr>
                  <w:tcW w:w="467" w:type="pct"/>
                  <w:vAlign w:val="bottom"/>
                </w:tcPr>
                <w:p w:rsidR="00AC2131" w:rsidRDefault="00AC2131" w:rsidP="00AC2131">
                  <w:pPr>
                    <w:pStyle w:val="TableBodyText"/>
                    <w:spacing w:after="0"/>
                    <w:ind w:left="0" w:right="57"/>
                  </w:pPr>
                  <w:r>
                    <w:t>13.0</w:t>
                  </w:r>
                </w:p>
              </w:tc>
              <w:tc>
                <w:tcPr>
                  <w:tcW w:w="467" w:type="pct"/>
                  <w:shd w:val="clear" w:color="auto" w:fill="auto"/>
                  <w:vAlign w:val="bottom"/>
                </w:tcPr>
                <w:p w:rsidR="00AC2131" w:rsidRDefault="00AC2131" w:rsidP="00AC2131">
                  <w:pPr>
                    <w:pStyle w:val="TableBodyText"/>
                    <w:spacing w:after="0"/>
                    <w:ind w:left="0" w:right="57"/>
                  </w:pPr>
                  <w:r>
                    <w:t>13.0</w:t>
                  </w:r>
                </w:p>
              </w:tc>
              <w:tc>
                <w:tcPr>
                  <w:tcW w:w="465" w:type="pct"/>
                  <w:shd w:val="clear" w:color="auto" w:fill="auto"/>
                  <w:vAlign w:val="bottom"/>
                </w:tcPr>
                <w:p w:rsidR="00AC2131" w:rsidRDefault="00AC2131" w:rsidP="00AC2131">
                  <w:pPr>
                    <w:pStyle w:val="TableBodyText"/>
                    <w:spacing w:after="0"/>
                    <w:ind w:left="0" w:right="57"/>
                  </w:pPr>
                  <w:r>
                    <w:t>13.7</w:t>
                  </w:r>
                </w:p>
              </w:tc>
            </w:tr>
            <w:tr w:rsidR="00AC2131" w:rsidTr="00AC2131">
              <w:tc>
                <w:tcPr>
                  <w:tcW w:w="2200" w:type="pct"/>
                  <w:shd w:val="clear" w:color="auto" w:fill="auto"/>
                  <w:vAlign w:val="bottom"/>
                </w:tcPr>
                <w:p w:rsidR="00AC2131" w:rsidRPr="00605847" w:rsidRDefault="00AC2131" w:rsidP="00AC2131">
                  <w:pPr>
                    <w:ind w:left="227"/>
                    <w:rPr>
                      <w:rFonts w:ascii="Arial" w:hAnsi="Arial" w:cs="Arial"/>
                      <w:color w:val="000000"/>
                      <w:sz w:val="18"/>
                      <w:szCs w:val="18"/>
                    </w:rPr>
                  </w:pPr>
                  <w:r w:rsidRPr="00605847">
                    <w:rPr>
                      <w:rFonts w:ascii="Arial" w:hAnsi="Arial" w:cs="Arial"/>
                      <w:color w:val="000000"/>
                      <w:sz w:val="18"/>
                      <w:szCs w:val="18"/>
                    </w:rPr>
                    <w:t xml:space="preserve">Small business </w:t>
                  </w:r>
                  <w:r>
                    <w:rPr>
                      <w:rFonts w:ascii="Arial" w:hAnsi="Arial" w:cs="Arial"/>
                      <w:color w:val="000000"/>
                      <w:sz w:val="18"/>
                      <w:szCs w:val="18"/>
                    </w:rPr>
                    <w:t>capital gains tax</w:t>
                  </w:r>
                  <w:r w:rsidRPr="00605847">
                    <w:rPr>
                      <w:rFonts w:ascii="Arial" w:hAnsi="Arial" w:cs="Arial"/>
                      <w:color w:val="000000"/>
                      <w:sz w:val="18"/>
                      <w:szCs w:val="18"/>
                    </w:rPr>
                    <w:t xml:space="preserve"> rollover deferral</w:t>
                  </w:r>
                </w:p>
              </w:tc>
              <w:tc>
                <w:tcPr>
                  <w:tcW w:w="467" w:type="pct"/>
                  <w:vAlign w:val="bottom"/>
                </w:tcPr>
                <w:p w:rsidR="00AC2131" w:rsidRDefault="00AC2131" w:rsidP="00AC2131">
                  <w:pPr>
                    <w:pStyle w:val="TableBodyText"/>
                    <w:spacing w:after="0"/>
                    <w:ind w:left="0" w:right="57"/>
                  </w:pPr>
                  <w:r>
                    <w:t>14.7</w:t>
                  </w:r>
                </w:p>
              </w:tc>
              <w:tc>
                <w:tcPr>
                  <w:tcW w:w="467" w:type="pct"/>
                  <w:vAlign w:val="bottom"/>
                </w:tcPr>
                <w:p w:rsidR="00AC2131" w:rsidRDefault="00AC2131" w:rsidP="00AC2131">
                  <w:pPr>
                    <w:pStyle w:val="TableBodyText"/>
                    <w:spacing w:after="0"/>
                    <w:ind w:left="0" w:right="57"/>
                  </w:pPr>
                  <w:r>
                    <w:t>6.8</w:t>
                  </w:r>
                </w:p>
              </w:tc>
              <w:tc>
                <w:tcPr>
                  <w:tcW w:w="467" w:type="pct"/>
                  <w:vAlign w:val="bottom"/>
                </w:tcPr>
                <w:p w:rsidR="00AC2131" w:rsidRDefault="00AC2131" w:rsidP="00AC2131">
                  <w:pPr>
                    <w:pStyle w:val="TableBodyText"/>
                    <w:spacing w:after="0"/>
                    <w:ind w:left="0" w:right="57"/>
                  </w:pPr>
                  <w:r>
                    <w:t>2.8</w:t>
                  </w:r>
                </w:p>
              </w:tc>
              <w:tc>
                <w:tcPr>
                  <w:tcW w:w="467" w:type="pct"/>
                  <w:vAlign w:val="bottom"/>
                </w:tcPr>
                <w:p w:rsidR="00AC2131" w:rsidRDefault="00AC2131" w:rsidP="00AC2131">
                  <w:pPr>
                    <w:pStyle w:val="TableBodyText"/>
                    <w:spacing w:after="0"/>
                    <w:ind w:left="0" w:right="57"/>
                  </w:pPr>
                  <w:r>
                    <w:t>10.3</w:t>
                  </w:r>
                </w:p>
              </w:tc>
              <w:tc>
                <w:tcPr>
                  <w:tcW w:w="467" w:type="pct"/>
                  <w:shd w:val="clear" w:color="auto" w:fill="auto"/>
                  <w:vAlign w:val="bottom"/>
                </w:tcPr>
                <w:p w:rsidR="00AC2131" w:rsidRDefault="00AC2131" w:rsidP="00AC2131">
                  <w:pPr>
                    <w:pStyle w:val="TableBodyText"/>
                    <w:spacing w:after="0"/>
                    <w:ind w:left="0" w:right="57"/>
                  </w:pPr>
                  <w:r>
                    <w:t>12.1</w:t>
                  </w:r>
                </w:p>
              </w:tc>
              <w:tc>
                <w:tcPr>
                  <w:tcW w:w="465" w:type="pct"/>
                  <w:shd w:val="clear" w:color="auto" w:fill="auto"/>
                  <w:vAlign w:val="bottom"/>
                </w:tcPr>
                <w:p w:rsidR="00AC2131" w:rsidRDefault="00AC2131" w:rsidP="00AC2131">
                  <w:pPr>
                    <w:pStyle w:val="TableBodyText"/>
                    <w:spacing w:after="0"/>
                    <w:ind w:left="0" w:right="57"/>
                  </w:pPr>
                  <w:r>
                    <w:t>13.3</w:t>
                  </w:r>
                </w:p>
              </w:tc>
            </w:tr>
            <w:tr w:rsidR="00AC2131" w:rsidTr="00AC2131">
              <w:tc>
                <w:tcPr>
                  <w:tcW w:w="2200" w:type="pct"/>
                  <w:shd w:val="clear" w:color="auto" w:fill="auto"/>
                </w:tcPr>
                <w:p w:rsidR="00AC2131" w:rsidRPr="00605847" w:rsidRDefault="00AC2131" w:rsidP="00AC2131">
                  <w:pPr>
                    <w:ind w:left="227"/>
                    <w:rPr>
                      <w:rFonts w:ascii="Arial" w:hAnsi="Arial" w:cs="Arial"/>
                      <w:sz w:val="18"/>
                      <w:szCs w:val="18"/>
                    </w:rPr>
                  </w:pPr>
                  <w:r w:rsidRPr="00605847">
                    <w:rPr>
                      <w:rFonts w:ascii="Arial" w:hAnsi="Arial" w:cs="Arial"/>
                      <w:sz w:val="18"/>
                      <w:szCs w:val="18"/>
                    </w:rPr>
                    <w:t>The Small Business and General Business Tax Break</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35.3</w:t>
                  </w:r>
                </w:p>
              </w:tc>
              <w:tc>
                <w:tcPr>
                  <w:tcW w:w="467" w:type="pct"/>
                  <w:vAlign w:val="bottom"/>
                </w:tcPr>
                <w:p w:rsidR="00AC2131" w:rsidRDefault="00AC2131" w:rsidP="00AC2131">
                  <w:pPr>
                    <w:pStyle w:val="TableBodyText"/>
                    <w:spacing w:after="0"/>
                    <w:ind w:left="0" w:right="57"/>
                  </w:pPr>
                  <w:r>
                    <w:t>20.7</w:t>
                  </w:r>
                </w:p>
              </w:tc>
              <w:tc>
                <w:tcPr>
                  <w:tcW w:w="467" w:type="pct"/>
                  <w:vAlign w:val="bottom"/>
                </w:tcPr>
                <w:p w:rsidR="00AC2131" w:rsidRDefault="00AC2131" w:rsidP="00AC2131">
                  <w:pPr>
                    <w:pStyle w:val="TableBodyText"/>
                    <w:spacing w:after="0"/>
                    <w:ind w:left="0" w:right="57"/>
                  </w:pPr>
                  <w:r>
                    <w:t>4.6</w:t>
                  </w:r>
                </w:p>
              </w:tc>
              <w:tc>
                <w:tcPr>
                  <w:tcW w:w="467" w:type="pct"/>
                  <w:shd w:val="clear" w:color="auto" w:fill="auto"/>
                  <w:vAlign w:val="bottom"/>
                </w:tcPr>
                <w:p w:rsidR="00AC2131" w:rsidRDefault="00AC2131" w:rsidP="00AC2131">
                  <w:pPr>
                    <w:pStyle w:val="TableBodyText"/>
                    <w:spacing w:after="0"/>
                    <w:ind w:left="0" w:right="57"/>
                  </w:pPr>
                  <w:r>
                    <w:t>1.6</w:t>
                  </w:r>
                </w:p>
              </w:tc>
              <w:tc>
                <w:tcPr>
                  <w:tcW w:w="465"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tcPr>
                <w:p w:rsidR="00AC2131" w:rsidRPr="00605847" w:rsidRDefault="00AC2131" w:rsidP="00AC2131">
                  <w:pPr>
                    <w:spacing w:before="20" w:after="20"/>
                    <w:rPr>
                      <w:rFonts w:ascii="Arial" w:hAnsi="Arial" w:cs="Arial"/>
                      <w:i/>
                      <w:sz w:val="18"/>
                      <w:szCs w:val="18"/>
                    </w:rPr>
                  </w:pPr>
                  <w:r w:rsidRPr="00605847">
                    <w:rPr>
                      <w:rFonts w:ascii="Arial" w:hAnsi="Arial" w:cs="Arial"/>
                      <w:i/>
                      <w:sz w:val="18"/>
                      <w:szCs w:val="18"/>
                    </w:rPr>
                    <w:t>Total</w:t>
                  </w:r>
                </w:p>
              </w:tc>
              <w:tc>
                <w:tcPr>
                  <w:tcW w:w="467" w:type="pct"/>
                  <w:vAlign w:val="bottom"/>
                </w:tcPr>
                <w:p w:rsidR="00AC2131" w:rsidRPr="00C80DD7" w:rsidRDefault="00AC2131" w:rsidP="00AC2131">
                  <w:pPr>
                    <w:pStyle w:val="TableBodyText"/>
                    <w:spacing w:before="20" w:after="20"/>
                    <w:ind w:left="0" w:right="57"/>
                    <w:rPr>
                      <w:i/>
                    </w:rPr>
                  </w:pPr>
                  <w:r w:rsidRPr="00C80DD7">
                    <w:rPr>
                      <w:i/>
                    </w:rPr>
                    <w:t>80.2</w:t>
                  </w:r>
                </w:p>
              </w:tc>
              <w:tc>
                <w:tcPr>
                  <w:tcW w:w="467" w:type="pct"/>
                  <w:vAlign w:val="bottom"/>
                </w:tcPr>
                <w:p w:rsidR="00AC2131" w:rsidRPr="00C80DD7" w:rsidRDefault="00AC2131" w:rsidP="00AC2131">
                  <w:pPr>
                    <w:pStyle w:val="TableBodyText"/>
                    <w:spacing w:before="20" w:after="20"/>
                    <w:ind w:left="0" w:right="57"/>
                    <w:rPr>
                      <w:i/>
                    </w:rPr>
                  </w:pPr>
                  <w:r w:rsidRPr="00C80DD7">
                    <w:rPr>
                      <w:i/>
                    </w:rPr>
                    <w:t>85.8</w:t>
                  </w:r>
                </w:p>
              </w:tc>
              <w:tc>
                <w:tcPr>
                  <w:tcW w:w="467" w:type="pct"/>
                  <w:vAlign w:val="bottom"/>
                </w:tcPr>
                <w:p w:rsidR="00AC2131" w:rsidRPr="00C80DD7" w:rsidRDefault="00AC2131" w:rsidP="00AC2131">
                  <w:pPr>
                    <w:pStyle w:val="TableBodyText"/>
                    <w:spacing w:before="20" w:after="20"/>
                    <w:ind w:left="0" w:right="57"/>
                    <w:rPr>
                      <w:i/>
                    </w:rPr>
                  </w:pPr>
                  <w:r w:rsidRPr="00C80DD7">
                    <w:rPr>
                      <w:i/>
                    </w:rPr>
                    <w:t>71.1</w:t>
                  </w:r>
                </w:p>
              </w:tc>
              <w:tc>
                <w:tcPr>
                  <w:tcW w:w="467" w:type="pct"/>
                  <w:vAlign w:val="bottom"/>
                </w:tcPr>
                <w:p w:rsidR="00AC2131" w:rsidRPr="00C80DD7" w:rsidRDefault="00AC2131" w:rsidP="00AC2131">
                  <w:pPr>
                    <w:pStyle w:val="TableBodyText"/>
                    <w:spacing w:before="20" w:after="20"/>
                    <w:ind w:left="0" w:right="57"/>
                    <w:rPr>
                      <w:i/>
                    </w:rPr>
                  </w:pPr>
                  <w:r w:rsidRPr="00C80DD7">
                    <w:rPr>
                      <w:i/>
                    </w:rPr>
                    <w:t>67.7</w:t>
                  </w:r>
                </w:p>
              </w:tc>
              <w:tc>
                <w:tcPr>
                  <w:tcW w:w="467" w:type="pct"/>
                  <w:shd w:val="clear" w:color="auto" w:fill="auto"/>
                  <w:vAlign w:val="bottom"/>
                </w:tcPr>
                <w:p w:rsidR="00AC2131" w:rsidRPr="00C80DD7" w:rsidRDefault="00AC2131" w:rsidP="00AC2131">
                  <w:pPr>
                    <w:pStyle w:val="TableBodyText"/>
                    <w:spacing w:before="20" w:after="20"/>
                    <w:ind w:left="0" w:right="57"/>
                    <w:rPr>
                      <w:i/>
                    </w:rPr>
                  </w:pPr>
                  <w:r w:rsidRPr="00C80DD7">
                    <w:rPr>
                      <w:i/>
                    </w:rPr>
                    <w:t>65.7</w:t>
                  </w:r>
                </w:p>
              </w:tc>
              <w:tc>
                <w:tcPr>
                  <w:tcW w:w="465" w:type="pct"/>
                  <w:shd w:val="clear" w:color="auto" w:fill="auto"/>
                  <w:vAlign w:val="bottom"/>
                </w:tcPr>
                <w:p w:rsidR="00AC2131" w:rsidRPr="00C80DD7" w:rsidRDefault="00AC2131" w:rsidP="00AC2131">
                  <w:pPr>
                    <w:pStyle w:val="TableBodyText"/>
                    <w:spacing w:before="20" w:after="20"/>
                    <w:ind w:left="0" w:right="57"/>
                    <w:rPr>
                      <w:i/>
                    </w:rPr>
                  </w:pPr>
                  <w:r w:rsidRPr="00C80DD7">
                    <w:rPr>
                      <w:i/>
                    </w:rPr>
                    <w:t>124.4</w:t>
                  </w:r>
                </w:p>
              </w:tc>
            </w:tr>
            <w:tr w:rsidR="00AC2131" w:rsidTr="00AC2131">
              <w:tc>
                <w:tcPr>
                  <w:tcW w:w="2200" w:type="pct"/>
                </w:tcPr>
                <w:p w:rsidR="00AC2131" w:rsidRPr="003C7DF1" w:rsidRDefault="00AC2131" w:rsidP="00AC2131">
                  <w:pPr>
                    <w:pStyle w:val="TableUnitsRow"/>
                    <w:ind w:right="0"/>
                    <w:jc w:val="left"/>
                    <w:rPr>
                      <w:b/>
                    </w:rPr>
                  </w:pPr>
                  <w:r w:rsidRPr="003C7DF1">
                    <w:rPr>
                      <w:b/>
                    </w:rPr>
                    <w:t>Transport, postal and warehousing</w:t>
                  </w:r>
                </w:p>
              </w:tc>
              <w:tc>
                <w:tcPr>
                  <w:tcW w:w="467" w:type="pct"/>
                </w:tcPr>
                <w:p w:rsidR="00AC2131" w:rsidRDefault="00AC2131" w:rsidP="00AC2131">
                  <w:pPr>
                    <w:pStyle w:val="TableUnitsRow"/>
                    <w:ind w:right="0"/>
                  </w:pPr>
                </w:p>
              </w:tc>
              <w:tc>
                <w:tcPr>
                  <w:tcW w:w="467" w:type="pct"/>
                </w:tcPr>
                <w:p w:rsidR="00AC2131" w:rsidRDefault="00AC2131" w:rsidP="00AC2131">
                  <w:pPr>
                    <w:pStyle w:val="TableUnitsRow"/>
                    <w:ind w:right="0"/>
                  </w:pPr>
                </w:p>
              </w:tc>
              <w:tc>
                <w:tcPr>
                  <w:tcW w:w="467" w:type="pct"/>
                </w:tcPr>
                <w:p w:rsidR="00AC2131" w:rsidRDefault="00AC2131" w:rsidP="00AC2131">
                  <w:pPr>
                    <w:pStyle w:val="TableUnitsRow"/>
                    <w:ind w:right="0"/>
                  </w:pPr>
                </w:p>
              </w:tc>
              <w:tc>
                <w:tcPr>
                  <w:tcW w:w="467" w:type="pct"/>
                </w:tcPr>
                <w:p w:rsidR="00AC2131" w:rsidRDefault="00AC2131" w:rsidP="00AC2131">
                  <w:pPr>
                    <w:pStyle w:val="TableUnitsRow"/>
                    <w:ind w:right="0"/>
                  </w:pPr>
                </w:p>
              </w:tc>
              <w:tc>
                <w:tcPr>
                  <w:tcW w:w="467" w:type="pct"/>
                </w:tcPr>
                <w:p w:rsidR="00AC2131" w:rsidRDefault="00AC2131" w:rsidP="00AC2131">
                  <w:pPr>
                    <w:pStyle w:val="TableUnitsRow"/>
                    <w:ind w:right="0"/>
                  </w:pPr>
                </w:p>
              </w:tc>
              <w:tc>
                <w:tcPr>
                  <w:tcW w:w="465" w:type="pct"/>
                </w:tcPr>
                <w:p w:rsidR="00AC2131" w:rsidRDefault="00AC2131" w:rsidP="00AC2131">
                  <w:pPr>
                    <w:pStyle w:val="TableUnitsRow"/>
                    <w:ind w:right="0"/>
                  </w:pPr>
                </w:p>
              </w:tc>
            </w:tr>
            <w:tr w:rsidR="00AC2131" w:rsidTr="00AC2131">
              <w:tc>
                <w:tcPr>
                  <w:tcW w:w="2200" w:type="pct"/>
                </w:tcPr>
                <w:p w:rsidR="00AC2131" w:rsidRPr="00FB51A7" w:rsidRDefault="00AC2131" w:rsidP="00AC2131">
                  <w:pPr>
                    <w:pStyle w:val="TableBodyText"/>
                    <w:spacing w:before="40" w:after="0"/>
                    <w:ind w:left="113"/>
                    <w:jc w:val="left"/>
                    <w:rPr>
                      <w:i/>
                    </w:rPr>
                  </w:pPr>
                  <w:r w:rsidRPr="00FB51A7">
                    <w:rPr>
                      <w:i/>
                    </w:rPr>
                    <w:t>Industry-specific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5" w:type="pct"/>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Bass Straight Passenger Vehicle Equalisation</w:t>
                  </w:r>
                </w:p>
              </w:tc>
              <w:tc>
                <w:tcPr>
                  <w:tcW w:w="467" w:type="pct"/>
                  <w:vAlign w:val="bottom"/>
                </w:tcPr>
                <w:p w:rsidR="00AC2131" w:rsidRDefault="00AC2131" w:rsidP="00AC2131">
                  <w:pPr>
                    <w:pStyle w:val="TableBodyText"/>
                    <w:spacing w:after="0"/>
                    <w:ind w:left="0" w:right="57"/>
                  </w:pPr>
                  <w:r>
                    <w:t>35.1</w:t>
                  </w:r>
                </w:p>
              </w:tc>
              <w:tc>
                <w:tcPr>
                  <w:tcW w:w="467" w:type="pct"/>
                  <w:vAlign w:val="bottom"/>
                </w:tcPr>
                <w:p w:rsidR="00AC2131" w:rsidRDefault="00AC2131" w:rsidP="00AC2131">
                  <w:pPr>
                    <w:pStyle w:val="TableBodyText"/>
                    <w:spacing w:after="0"/>
                    <w:ind w:left="0" w:right="57"/>
                  </w:pPr>
                  <w:r>
                    <w:t>36.5</w:t>
                  </w:r>
                </w:p>
              </w:tc>
              <w:tc>
                <w:tcPr>
                  <w:tcW w:w="467" w:type="pct"/>
                  <w:vAlign w:val="bottom"/>
                </w:tcPr>
                <w:p w:rsidR="00AC2131" w:rsidRDefault="00AC2131" w:rsidP="00AC2131">
                  <w:pPr>
                    <w:pStyle w:val="TableBodyText"/>
                    <w:spacing w:after="0"/>
                    <w:ind w:left="0" w:right="57"/>
                  </w:pPr>
                  <w:r>
                    <w:t>36.5</w:t>
                  </w:r>
                </w:p>
              </w:tc>
              <w:tc>
                <w:tcPr>
                  <w:tcW w:w="467" w:type="pct"/>
                  <w:vAlign w:val="bottom"/>
                </w:tcPr>
                <w:p w:rsidR="00AC2131" w:rsidRDefault="00AC2131" w:rsidP="00AC2131">
                  <w:pPr>
                    <w:pStyle w:val="TableBodyText"/>
                    <w:spacing w:after="0"/>
                    <w:ind w:left="0" w:right="57"/>
                  </w:pPr>
                  <w:r>
                    <w:t>34.6</w:t>
                  </w:r>
                </w:p>
              </w:tc>
              <w:tc>
                <w:tcPr>
                  <w:tcW w:w="467" w:type="pct"/>
                  <w:shd w:val="clear" w:color="auto" w:fill="auto"/>
                  <w:vAlign w:val="bottom"/>
                </w:tcPr>
                <w:p w:rsidR="00AC2131" w:rsidRDefault="00AC2131" w:rsidP="00AC2131">
                  <w:pPr>
                    <w:pStyle w:val="TableBodyText"/>
                    <w:spacing w:after="0"/>
                    <w:ind w:left="0" w:right="57"/>
                  </w:pPr>
                  <w:r>
                    <w:t>34.5</w:t>
                  </w:r>
                </w:p>
              </w:tc>
              <w:tc>
                <w:tcPr>
                  <w:tcW w:w="465" w:type="pct"/>
                  <w:shd w:val="clear" w:color="auto" w:fill="auto"/>
                  <w:vAlign w:val="bottom"/>
                </w:tcPr>
                <w:p w:rsidR="00AC2131" w:rsidRDefault="00AC2131" w:rsidP="00AC2131">
                  <w:pPr>
                    <w:pStyle w:val="TableBodyText"/>
                    <w:spacing w:after="0"/>
                    <w:ind w:left="0" w:right="57"/>
                  </w:pPr>
                  <w:r>
                    <w:t>37.5</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Payment scheme for Airservices Australia's en route charges</w:t>
                  </w:r>
                </w:p>
              </w:tc>
              <w:tc>
                <w:tcPr>
                  <w:tcW w:w="467" w:type="pct"/>
                  <w:vAlign w:val="bottom"/>
                </w:tcPr>
                <w:p w:rsidR="00AC2131" w:rsidRDefault="00AC2131" w:rsidP="00AC2131">
                  <w:pPr>
                    <w:pStyle w:val="TableBodyText"/>
                    <w:spacing w:after="0"/>
                    <w:ind w:left="0" w:right="57"/>
                  </w:pPr>
                  <w:r>
                    <w:t>4.7</w:t>
                  </w:r>
                </w:p>
              </w:tc>
              <w:tc>
                <w:tcPr>
                  <w:tcW w:w="467" w:type="pct"/>
                  <w:vAlign w:val="bottom"/>
                </w:tcPr>
                <w:p w:rsidR="00AC2131" w:rsidRDefault="00AC2131" w:rsidP="00AC2131">
                  <w:pPr>
                    <w:pStyle w:val="TableBodyText"/>
                    <w:spacing w:after="0"/>
                    <w:ind w:left="0" w:right="57"/>
                  </w:pPr>
                  <w:r>
                    <w:t>4.1</w:t>
                  </w:r>
                </w:p>
              </w:tc>
              <w:tc>
                <w:tcPr>
                  <w:tcW w:w="467" w:type="pct"/>
                  <w:vAlign w:val="bottom"/>
                </w:tcPr>
                <w:p w:rsidR="00AC2131" w:rsidRDefault="00AC2131" w:rsidP="00AC2131">
                  <w:pPr>
                    <w:pStyle w:val="TableBodyText"/>
                    <w:spacing w:after="0"/>
                    <w:ind w:left="0" w:right="57"/>
                  </w:pPr>
                  <w:r>
                    <w:t>4.0</w:t>
                  </w:r>
                </w:p>
              </w:tc>
              <w:tc>
                <w:tcPr>
                  <w:tcW w:w="467" w:type="pct"/>
                  <w:vAlign w:val="bottom"/>
                </w:tcPr>
                <w:p w:rsidR="00AC2131" w:rsidRDefault="00AC2131" w:rsidP="00AC2131">
                  <w:pPr>
                    <w:pStyle w:val="TableBodyText"/>
                    <w:spacing w:after="0"/>
                    <w:ind w:left="0" w:right="57"/>
                  </w:pPr>
                  <w:r>
                    <w:t>4.2</w:t>
                  </w:r>
                </w:p>
              </w:tc>
              <w:tc>
                <w:tcPr>
                  <w:tcW w:w="467" w:type="pct"/>
                  <w:shd w:val="clear" w:color="auto" w:fill="auto"/>
                  <w:vAlign w:val="bottom"/>
                </w:tcPr>
                <w:p w:rsidR="00AC2131" w:rsidRDefault="00AC2131" w:rsidP="00AC2131">
                  <w:pPr>
                    <w:pStyle w:val="TableBodyText"/>
                    <w:spacing w:after="0"/>
                    <w:ind w:left="0" w:right="57"/>
                  </w:pPr>
                  <w:r>
                    <w:t>1.0</w:t>
                  </w:r>
                </w:p>
              </w:tc>
              <w:tc>
                <w:tcPr>
                  <w:tcW w:w="465" w:type="pct"/>
                  <w:shd w:val="clear" w:color="auto" w:fill="auto"/>
                  <w:vAlign w:val="bottom"/>
                </w:tcPr>
                <w:p w:rsidR="00AC2131" w:rsidRDefault="00AC2131" w:rsidP="00AC2131">
                  <w:pPr>
                    <w:pStyle w:val="TableBodyText"/>
                    <w:spacing w:after="0"/>
                    <w:ind w:left="0" w:right="57"/>
                  </w:pPr>
                  <w:r>
                    <w:t>1.0</w:t>
                  </w:r>
                </w:p>
              </w:tc>
            </w:tr>
            <w:tr w:rsidR="00AC2131" w:rsidTr="00AC2131">
              <w:tc>
                <w:tcPr>
                  <w:tcW w:w="2200" w:type="pct"/>
                  <w:shd w:val="clear" w:color="auto" w:fill="auto"/>
                </w:tcPr>
                <w:p w:rsidR="00AC2131" w:rsidRPr="00FB51A7" w:rsidRDefault="00AC2131" w:rsidP="00AC2131">
                  <w:pPr>
                    <w:pStyle w:val="TableBodyText"/>
                    <w:spacing w:before="40" w:after="0"/>
                    <w:ind w:left="113"/>
                    <w:jc w:val="left"/>
                    <w:rPr>
                      <w:i/>
                    </w:rPr>
                  </w:pPr>
                  <w:r w:rsidRPr="00FB51A7">
                    <w:rPr>
                      <w:i/>
                    </w:rPr>
                    <w:t>Sector-specific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interest rate subsidies</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relief payments</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Interim Income Support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FB51A7" w:rsidRDefault="00AC2131" w:rsidP="00AC2131">
                  <w:pPr>
                    <w:pStyle w:val="TableBodyText"/>
                    <w:spacing w:before="40" w:after="0"/>
                    <w:ind w:left="113"/>
                    <w:jc w:val="left"/>
                    <w:rPr>
                      <w:i/>
                    </w:rPr>
                  </w:pPr>
                  <w:r w:rsidRPr="00FB51A7">
                    <w:rPr>
                      <w:i/>
                    </w:rPr>
                    <w:t>General export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Export Market Development Grants Scheme</w:t>
                  </w:r>
                </w:p>
              </w:tc>
              <w:tc>
                <w:tcPr>
                  <w:tcW w:w="467" w:type="pct"/>
                  <w:vAlign w:val="bottom"/>
                </w:tcPr>
                <w:p w:rsidR="00AC2131" w:rsidRDefault="00AC2131" w:rsidP="00AC2131">
                  <w:pPr>
                    <w:pStyle w:val="TableBodyText"/>
                    <w:spacing w:after="0"/>
                    <w:ind w:left="0" w:right="57"/>
                  </w:pPr>
                  <w:r>
                    <w:t>6.0</w:t>
                  </w:r>
                </w:p>
              </w:tc>
              <w:tc>
                <w:tcPr>
                  <w:tcW w:w="467" w:type="pct"/>
                  <w:vAlign w:val="bottom"/>
                </w:tcPr>
                <w:p w:rsidR="00AC2131" w:rsidRDefault="00AC2131" w:rsidP="00AC2131">
                  <w:pPr>
                    <w:pStyle w:val="TableBodyText"/>
                    <w:spacing w:after="0"/>
                    <w:ind w:left="0" w:right="57"/>
                  </w:pPr>
                  <w:r>
                    <w:t>8.3</w:t>
                  </w:r>
                </w:p>
              </w:tc>
              <w:tc>
                <w:tcPr>
                  <w:tcW w:w="467" w:type="pct"/>
                  <w:vAlign w:val="bottom"/>
                </w:tcPr>
                <w:p w:rsidR="00AC2131" w:rsidRDefault="00AC2131" w:rsidP="00AC2131">
                  <w:pPr>
                    <w:pStyle w:val="TableBodyText"/>
                    <w:spacing w:after="0"/>
                    <w:ind w:left="0" w:right="57"/>
                  </w:pPr>
                  <w:r>
                    <w:t>5.6</w:t>
                  </w:r>
                </w:p>
              </w:tc>
              <w:tc>
                <w:tcPr>
                  <w:tcW w:w="467" w:type="pct"/>
                  <w:vAlign w:val="bottom"/>
                </w:tcPr>
                <w:p w:rsidR="00AC2131" w:rsidRDefault="00AC2131" w:rsidP="00AC2131">
                  <w:pPr>
                    <w:pStyle w:val="TableBodyText"/>
                    <w:spacing w:after="0"/>
                    <w:ind w:left="0" w:right="57"/>
                  </w:pPr>
                  <w:r>
                    <w:t>2.7</w:t>
                  </w:r>
                </w:p>
              </w:tc>
              <w:tc>
                <w:tcPr>
                  <w:tcW w:w="467" w:type="pct"/>
                  <w:shd w:val="clear" w:color="auto" w:fill="auto"/>
                  <w:vAlign w:val="bottom"/>
                </w:tcPr>
                <w:p w:rsidR="00AC2131" w:rsidRDefault="00AC2131" w:rsidP="00AC2131">
                  <w:pPr>
                    <w:pStyle w:val="TableBodyText"/>
                    <w:spacing w:after="0"/>
                    <w:ind w:left="0" w:right="57"/>
                  </w:pPr>
                  <w:r>
                    <w:t>2.6</w:t>
                  </w:r>
                </w:p>
              </w:tc>
              <w:tc>
                <w:tcPr>
                  <w:tcW w:w="465" w:type="pct"/>
                  <w:shd w:val="clear" w:color="auto" w:fill="auto"/>
                  <w:vAlign w:val="bottom"/>
                </w:tcPr>
                <w:p w:rsidR="00AC2131" w:rsidRDefault="00AC2131" w:rsidP="00AC2131">
                  <w:pPr>
                    <w:pStyle w:val="TableBodyText"/>
                    <w:spacing w:after="0"/>
                    <w:ind w:left="0" w:right="57"/>
                  </w:pPr>
                  <w:r>
                    <w:t>2.1</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TRADEX</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0.3</w:t>
                  </w:r>
                </w:p>
              </w:tc>
              <w:tc>
                <w:tcPr>
                  <w:tcW w:w="465" w:type="pct"/>
                  <w:shd w:val="clear" w:color="auto" w:fill="auto"/>
                  <w:vAlign w:val="bottom"/>
                </w:tcPr>
                <w:p w:rsidR="00AC2131" w:rsidRDefault="00AC2131" w:rsidP="00AC2131">
                  <w:pPr>
                    <w:pStyle w:val="TableBodyText"/>
                    <w:spacing w:after="0"/>
                    <w:ind w:left="0" w:right="57"/>
                  </w:pPr>
                  <w:r>
                    <w:t>0.3</w:t>
                  </w:r>
                </w:p>
              </w:tc>
            </w:tr>
            <w:tr w:rsidR="00AC2131" w:rsidTr="00AC2131">
              <w:tc>
                <w:tcPr>
                  <w:tcW w:w="2200" w:type="pct"/>
                  <w:shd w:val="clear" w:color="auto" w:fill="auto"/>
                </w:tcPr>
                <w:p w:rsidR="00AC2131" w:rsidRPr="00FB51A7" w:rsidRDefault="00AC2131" w:rsidP="00AC2131">
                  <w:pPr>
                    <w:pStyle w:val="TableBodyText"/>
                    <w:spacing w:before="40" w:after="0"/>
                    <w:ind w:left="113"/>
                    <w:jc w:val="left"/>
                    <w:rPr>
                      <w:i/>
                    </w:rPr>
                  </w:pPr>
                  <w:r w:rsidRPr="00FB51A7">
                    <w:rPr>
                      <w:i/>
                    </w:rPr>
                    <w:t>General investment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Infrastructure bonds scheme</w:t>
                  </w:r>
                </w:p>
              </w:tc>
              <w:tc>
                <w:tcPr>
                  <w:tcW w:w="467" w:type="pct"/>
                  <w:vAlign w:val="bottom"/>
                </w:tcPr>
                <w:p w:rsidR="00AC2131" w:rsidRDefault="00AC2131" w:rsidP="00AC2131">
                  <w:pPr>
                    <w:pStyle w:val="TableBodyText"/>
                    <w:spacing w:after="0"/>
                    <w:ind w:left="0" w:right="57"/>
                  </w:pPr>
                  <w:r>
                    <w:t>2.4</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Pr>
                      <w:rFonts w:ascii="Arial" w:hAnsi="Arial" w:cs="Arial"/>
                      <w:color w:val="000000"/>
                      <w:sz w:val="18"/>
                      <w:szCs w:val="18"/>
                    </w:rPr>
                    <w:t>Infrastructure borrowing’s tax offset scheme</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FB51A7" w:rsidRDefault="00AC2131" w:rsidP="00AC2131">
                  <w:pPr>
                    <w:pStyle w:val="TableBodyText"/>
                    <w:spacing w:before="40" w:after="0"/>
                    <w:ind w:left="113"/>
                    <w:jc w:val="left"/>
                    <w:rPr>
                      <w:i/>
                    </w:rPr>
                  </w:pPr>
                  <w:r w:rsidRPr="00FB51A7">
                    <w:rPr>
                      <w:i/>
                    </w:rPr>
                    <w:t>General R&amp;D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Clean Business Australia - Climate Ready Program</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COMET Program</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Commercialisation Australia</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0.7</w:t>
                  </w:r>
                </w:p>
              </w:tc>
              <w:tc>
                <w:tcPr>
                  <w:tcW w:w="467" w:type="pct"/>
                  <w:shd w:val="clear" w:color="auto" w:fill="auto"/>
                  <w:vAlign w:val="bottom"/>
                </w:tcPr>
                <w:p w:rsidR="00AC2131" w:rsidRDefault="00AC2131" w:rsidP="00AC2131">
                  <w:pPr>
                    <w:pStyle w:val="TableBodyText"/>
                    <w:spacing w:after="0"/>
                    <w:ind w:left="0" w:right="57"/>
                  </w:pPr>
                  <w:r>
                    <w:t>0.6</w:t>
                  </w:r>
                </w:p>
              </w:tc>
              <w:tc>
                <w:tcPr>
                  <w:tcW w:w="465"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CSIRO</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5.3</w:t>
                  </w:r>
                </w:p>
              </w:tc>
              <w:tc>
                <w:tcPr>
                  <w:tcW w:w="467" w:type="pct"/>
                  <w:shd w:val="clear" w:color="auto" w:fill="auto"/>
                  <w:vAlign w:val="bottom"/>
                </w:tcPr>
                <w:p w:rsidR="00AC2131" w:rsidRDefault="00AC2131" w:rsidP="00AC2131">
                  <w:pPr>
                    <w:pStyle w:val="TableBodyText"/>
                    <w:spacing w:after="0"/>
                    <w:ind w:left="0" w:right="57"/>
                  </w:pPr>
                  <w:r>
                    <w:t>1.4</w:t>
                  </w:r>
                </w:p>
              </w:tc>
              <w:tc>
                <w:tcPr>
                  <w:tcW w:w="465" w:type="pct"/>
                  <w:shd w:val="clear" w:color="auto" w:fill="auto"/>
                  <w:vAlign w:val="bottom"/>
                </w:tcPr>
                <w:p w:rsidR="00AC2131" w:rsidRDefault="00AC2131" w:rsidP="00AC2131">
                  <w:pPr>
                    <w:pStyle w:val="TableBodyText"/>
                    <w:spacing w:after="0"/>
                    <w:ind w:left="0" w:right="57"/>
                  </w:pPr>
                  <w:r>
                    <w:t>3.5</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Premium R&amp;D tax concession</w:t>
                  </w:r>
                </w:p>
              </w:tc>
              <w:tc>
                <w:tcPr>
                  <w:tcW w:w="467" w:type="pct"/>
                  <w:vAlign w:val="bottom"/>
                </w:tcPr>
                <w:p w:rsidR="00AC2131" w:rsidRDefault="00AC2131" w:rsidP="00AC2131">
                  <w:pPr>
                    <w:pStyle w:val="TableBodyText"/>
                    <w:spacing w:after="0"/>
                    <w:ind w:left="0" w:right="57"/>
                  </w:pPr>
                  <w:r>
                    <w:t>6.2</w:t>
                  </w:r>
                </w:p>
              </w:tc>
              <w:tc>
                <w:tcPr>
                  <w:tcW w:w="467" w:type="pct"/>
                  <w:vAlign w:val="bottom"/>
                </w:tcPr>
                <w:p w:rsidR="00AC2131" w:rsidRDefault="00AC2131" w:rsidP="00AC2131">
                  <w:pPr>
                    <w:pStyle w:val="TableBodyText"/>
                    <w:spacing w:after="0"/>
                    <w:ind w:left="0" w:right="57"/>
                  </w:pPr>
                  <w:r>
                    <w:t>15.3</w:t>
                  </w:r>
                </w:p>
              </w:tc>
              <w:tc>
                <w:tcPr>
                  <w:tcW w:w="467" w:type="pct"/>
                  <w:vAlign w:val="bottom"/>
                </w:tcPr>
                <w:p w:rsidR="00AC2131" w:rsidRDefault="00AC2131" w:rsidP="00AC2131">
                  <w:pPr>
                    <w:pStyle w:val="TableBodyText"/>
                    <w:spacing w:after="0"/>
                    <w:ind w:left="0" w:right="57"/>
                  </w:pPr>
                  <w:r>
                    <w:t>13.2</w:t>
                  </w:r>
                </w:p>
              </w:tc>
              <w:tc>
                <w:tcPr>
                  <w:tcW w:w="467" w:type="pct"/>
                  <w:vAlign w:val="bottom"/>
                </w:tcPr>
                <w:p w:rsidR="00AC2131" w:rsidRDefault="00AC2131" w:rsidP="00AC2131">
                  <w:pPr>
                    <w:pStyle w:val="TableBodyText"/>
                    <w:spacing w:after="0"/>
                    <w:ind w:left="0" w:right="57"/>
                  </w:pPr>
                  <w:r>
                    <w:t>14.0</w:t>
                  </w:r>
                </w:p>
              </w:tc>
              <w:tc>
                <w:tcPr>
                  <w:tcW w:w="467" w:type="pct"/>
                  <w:shd w:val="clear" w:color="auto" w:fill="auto"/>
                  <w:vAlign w:val="bottom"/>
                </w:tcPr>
                <w:p w:rsidR="00AC2131" w:rsidRDefault="00AC2131" w:rsidP="00AC2131">
                  <w:pPr>
                    <w:pStyle w:val="TableBodyText"/>
                    <w:spacing w:after="0"/>
                    <w:ind w:left="0" w:right="57"/>
                  </w:pPr>
                  <w:r>
                    <w:t>3.8</w:t>
                  </w:r>
                </w:p>
              </w:tc>
              <w:tc>
                <w:tcPr>
                  <w:tcW w:w="465" w:type="pct"/>
                  <w:shd w:val="clear" w:color="auto" w:fill="auto"/>
                  <w:vAlign w:val="bottom"/>
                </w:tcPr>
                <w:p w:rsidR="00AC2131" w:rsidRDefault="00AC2131" w:rsidP="00AC2131">
                  <w:pPr>
                    <w:pStyle w:val="TableBodyText"/>
                    <w:spacing w:after="0"/>
                    <w:ind w:left="0" w:right="57"/>
                  </w:pPr>
                  <w:r>
                    <w:t>1.6</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sidRPr="00FB51A7">
                    <w:rPr>
                      <w:rFonts w:ascii="Arial" w:hAnsi="Arial" w:cs="Arial"/>
                      <w:color w:val="000000"/>
                      <w:sz w:val="18"/>
                      <w:szCs w:val="18"/>
                    </w:rPr>
                    <w:t>R&amp;D tax concession</w:t>
                  </w:r>
                </w:p>
              </w:tc>
              <w:tc>
                <w:tcPr>
                  <w:tcW w:w="467" w:type="pct"/>
                  <w:vAlign w:val="bottom"/>
                </w:tcPr>
                <w:p w:rsidR="00AC2131" w:rsidRDefault="00AC2131" w:rsidP="00AC2131">
                  <w:pPr>
                    <w:pStyle w:val="TableBodyText"/>
                    <w:spacing w:after="0"/>
                    <w:ind w:left="0" w:right="57"/>
                  </w:pPr>
                  <w:r>
                    <w:t>9.1</w:t>
                  </w:r>
                </w:p>
              </w:tc>
              <w:tc>
                <w:tcPr>
                  <w:tcW w:w="467" w:type="pct"/>
                  <w:vAlign w:val="bottom"/>
                </w:tcPr>
                <w:p w:rsidR="00AC2131" w:rsidRDefault="00AC2131" w:rsidP="00AC2131">
                  <w:pPr>
                    <w:pStyle w:val="TableBodyText"/>
                    <w:spacing w:after="0"/>
                    <w:ind w:left="0" w:right="57"/>
                  </w:pPr>
                  <w:r>
                    <w:t>15.2</w:t>
                  </w:r>
                </w:p>
              </w:tc>
              <w:tc>
                <w:tcPr>
                  <w:tcW w:w="467" w:type="pct"/>
                  <w:vAlign w:val="bottom"/>
                </w:tcPr>
                <w:p w:rsidR="00AC2131" w:rsidRDefault="00AC2131" w:rsidP="00AC2131">
                  <w:pPr>
                    <w:pStyle w:val="TableBodyText"/>
                    <w:spacing w:after="0"/>
                    <w:ind w:left="0" w:right="57"/>
                  </w:pPr>
                  <w:r>
                    <w:t>15.2</w:t>
                  </w:r>
                </w:p>
              </w:tc>
              <w:tc>
                <w:tcPr>
                  <w:tcW w:w="467" w:type="pct"/>
                  <w:vAlign w:val="bottom"/>
                </w:tcPr>
                <w:p w:rsidR="00AC2131" w:rsidRDefault="00AC2131" w:rsidP="00AC2131">
                  <w:pPr>
                    <w:pStyle w:val="TableBodyText"/>
                    <w:spacing w:after="0"/>
                    <w:ind w:left="0" w:right="57"/>
                  </w:pPr>
                  <w:r>
                    <w:t>22.8</w:t>
                  </w:r>
                </w:p>
              </w:tc>
              <w:tc>
                <w:tcPr>
                  <w:tcW w:w="467" w:type="pct"/>
                  <w:shd w:val="clear" w:color="auto" w:fill="auto"/>
                  <w:vAlign w:val="bottom"/>
                </w:tcPr>
                <w:p w:rsidR="00AC2131" w:rsidRDefault="00AC2131" w:rsidP="00AC2131">
                  <w:pPr>
                    <w:pStyle w:val="TableBodyText"/>
                    <w:spacing w:after="0"/>
                    <w:ind w:left="0" w:right="57"/>
                  </w:pPr>
                  <w:r>
                    <w:t>10.2</w:t>
                  </w:r>
                </w:p>
              </w:tc>
              <w:tc>
                <w:tcPr>
                  <w:tcW w:w="465" w:type="pct"/>
                  <w:shd w:val="clear" w:color="auto" w:fill="auto"/>
                  <w:vAlign w:val="bottom"/>
                </w:tcPr>
                <w:p w:rsidR="00AC2131" w:rsidRDefault="00AC2131" w:rsidP="00AC2131">
                  <w:pPr>
                    <w:pStyle w:val="TableBodyText"/>
                    <w:spacing w:after="0"/>
                    <w:ind w:left="0" w:right="57"/>
                  </w:pPr>
                  <w:r>
                    <w:t>3.5</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-1.6</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48.5</w:t>
                  </w:r>
                </w:p>
              </w:tc>
              <w:tc>
                <w:tcPr>
                  <w:tcW w:w="465" w:type="pct"/>
                  <w:shd w:val="clear" w:color="auto" w:fill="auto"/>
                  <w:vAlign w:val="bottom"/>
                </w:tcPr>
                <w:p w:rsidR="00AC2131" w:rsidRDefault="00AC2131" w:rsidP="00AC2131">
                  <w:pPr>
                    <w:pStyle w:val="TableBodyText"/>
                    <w:spacing w:after="0"/>
                    <w:ind w:left="0" w:right="57"/>
                  </w:pPr>
                  <w:r>
                    <w:t>25.8</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3.0</w:t>
                  </w:r>
                </w:p>
              </w:tc>
              <w:tc>
                <w:tcPr>
                  <w:tcW w:w="465" w:type="pct"/>
                  <w:shd w:val="clear" w:color="auto" w:fill="auto"/>
                  <w:vAlign w:val="bottom"/>
                </w:tcPr>
                <w:p w:rsidR="00AC2131" w:rsidRDefault="00AC2131" w:rsidP="00AC2131">
                  <w:pPr>
                    <w:pStyle w:val="TableBodyText"/>
                    <w:spacing w:after="0"/>
                    <w:ind w:left="0" w:right="57"/>
                  </w:pPr>
                  <w:r>
                    <w:t>5.4</w:t>
                  </w:r>
                </w:p>
              </w:tc>
            </w:tr>
            <w:tr w:rsidR="00AC2131" w:rsidTr="00AC2131">
              <w:tc>
                <w:tcPr>
                  <w:tcW w:w="2200" w:type="pct"/>
                  <w:shd w:val="clear" w:color="auto" w:fill="auto"/>
                  <w:vAlign w:val="bottom"/>
                </w:tcPr>
                <w:p w:rsidR="00AC2131" w:rsidRPr="00FB51A7"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7" w:type="pct"/>
                  <w:vAlign w:val="bottom"/>
                </w:tcPr>
                <w:p w:rsidR="00AC2131" w:rsidRDefault="00AC2131" w:rsidP="00AC2131">
                  <w:pPr>
                    <w:pStyle w:val="TableBodyText"/>
                    <w:spacing w:after="0"/>
                    <w:ind w:left="0" w:right="57"/>
                  </w:pPr>
                  <w:r>
                    <w:t>5.4</w:t>
                  </w:r>
                </w:p>
              </w:tc>
              <w:tc>
                <w:tcPr>
                  <w:tcW w:w="467" w:type="pct"/>
                  <w:vAlign w:val="bottom"/>
                </w:tcPr>
                <w:p w:rsidR="00AC2131" w:rsidRDefault="00AC2131" w:rsidP="00AC2131">
                  <w:pPr>
                    <w:pStyle w:val="TableBodyText"/>
                    <w:spacing w:after="0"/>
                    <w:ind w:left="0" w:right="57"/>
                  </w:pPr>
                  <w:r>
                    <w:t>5.1</w:t>
                  </w:r>
                </w:p>
              </w:tc>
              <w:tc>
                <w:tcPr>
                  <w:tcW w:w="467" w:type="pct"/>
                  <w:vAlign w:val="bottom"/>
                </w:tcPr>
                <w:p w:rsidR="00AC2131" w:rsidRDefault="00AC2131" w:rsidP="00AC2131">
                  <w:pPr>
                    <w:pStyle w:val="TableBodyText"/>
                    <w:spacing w:after="0"/>
                    <w:ind w:left="0" w:right="57"/>
                  </w:pPr>
                  <w:r>
                    <w:t>3.4</w:t>
                  </w:r>
                </w:p>
              </w:tc>
              <w:tc>
                <w:tcPr>
                  <w:tcW w:w="467" w:type="pct"/>
                  <w:vAlign w:val="bottom"/>
                </w:tcPr>
                <w:p w:rsidR="00AC2131" w:rsidRDefault="00AC2131" w:rsidP="00AC2131">
                  <w:pPr>
                    <w:pStyle w:val="TableBodyText"/>
                    <w:spacing w:after="0"/>
                    <w:ind w:left="0" w:right="57"/>
                  </w:pPr>
                  <w:r>
                    <w:t>3.9</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A617C6" w:rsidRDefault="00AC2131" w:rsidP="00AC2131">
                  <w:pPr>
                    <w:pStyle w:val="TableBodyText"/>
                    <w:spacing w:before="40" w:after="0"/>
                    <w:ind w:left="113"/>
                    <w:jc w:val="left"/>
                    <w:rPr>
                      <w:i/>
                    </w:rPr>
                  </w:pPr>
                  <w:r w:rsidRPr="00A617C6">
                    <w:rPr>
                      <w:i/>
                    </w:rPr>
                    <w:t>Other measures</w:t>
                  </w: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5"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25 per cent entrepreneurs' tax offset</w:t>
                  </w:r>
                </w:p>
              </w:tc>
              <w:tc>
                <w:tcPr>
                  <w:tcW w:w="467" w:type="pct"/>
                  <w:vAlign w:val="bottom"/>
                </w:tcPr>
                <w:p w:rsidR="00AC2131" w:rsidRDefault="00AC2131" w:rsidP="00AC2131">
                  <w:pPr>
                    <w:pStyle w:val="TableBodyText"/>
                    <w:spacing w:after="0"/>
                    <w:ind w:left="0" w:right="57"/>
                  </w:pPr>
                  <w:r>
                    <w:t>12.4</w:t>
                  </w:r>
                </w:p>
              </w:tc>
              <w:tc>
                <w:tcPr>
                  <w:tcW w:w="467" w:type="pct"/>
                  <w:vAlign w:val="bottom"/>
                </w:tcPr>
                <w:p w:rsidR="00AC2131" w:rsidRDefault="00AC2131" w:rsidP="00AC2131">
                  <w:pPr>
                    <w:pStyle w:val="TableBodyText"/>
                    <w:spacing w:after="0"/>
                    <w:ind w:left="0" w:right="57"/>
                  </w:pPr>
                  <w:r>
                    <w:t>12.6</w:t>
                  </w:r>
                </w:p>
              </w:tc>
              <w:tc>
                <w:tcPr>
                  <w:tcW w:w="467" w:type="pct"/>
                  <w:vAlign w:val="bottom"/>
                </w:tcPr>
                <w:p w:rsidR="00AC2131" w:rsidRDefault="00AC2131" w:rsidP="00AC2131">
                  <w:pPr>
                    <w:pStyle w:val="TableBodyText"/>
                    <w:spacing w:after="0"/>
                    <w:ind w:left="0" w:right="57"/>
                  </w:pPr>
                  <w:r>
                    <w:t>12.3</w:t>
                  </w:r>
                </w:p>
              </w:tc>
              <w:tc>
                <w:tcPr>
                  <w:tcW w:w="467" w:type="pct"/>
                  <w:vAlign w:val="bottom"/>
                </w:tcPr>
                <w:p w:rsidR="00AC2131" w:rsidRDefault="00AC2131" w:rsidP="00AC2131">
                  <w:pPr>
                    <w:pStyle w:val="TableBodyText"/>
                    <w:spacing w:after="0"/>
                    <w:ind w:left="0" w:right="57"/>
                  </w:pPr>
                  <w:r>
                    <w:t>12.3</w:t>
                  </w:r>
                </w:p>
              </w:tc>
              <w:tc>
                <w:tcPr>
                  <w:tcW w:w="467" w:type="pct"/>
                  <w:shd w:val="clear" w:color="auto" w:fill="auto"/>
                  <w:vAlign w:val="bottom"/>
                </w:tcPr>
                <w:p w:rsidR="00AC2131" w:rsidRDefault="00AC2131" w:rsidP="00AC2131">
                  <w:pPr>
                    <w:pStyle w:val="TableBodyText"/>
                    <w:spacing w:after="0"/>
                    <w:ind w:left="0" w:right="57"/>
                  </w:pPr>
                  <w:r>
                    <w:t>13.3</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Enterprise Connect Innovation Centres</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5" w:type="pct"/>
                  <w:shd w:val="clear" w:color="auto" w:fill="auto"/>
                  <w:vAlign w:val="bottom"/>
                </w:tcPr>
                <w:p w:rsidR="00AC2131" w:rsidRDefault="00AC2131" w:rsidP="00AC2131">
                  <w:pPr>
                    <w:pStyle w:val="TableBodyText"/>
                    <w:spacing w:after="0"/>
                    <w:ind w:left="0" w:right="57"/>
                  </w:pPr>
                  <w:r>
                    <w:t>0.3</w:t>
                  </w: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Illawarra Region Innovation and Investment Fund</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&lt;0.1</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Industry Cooperative Innovation Program</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5"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tcBorders>
                    <w:bottom w:val="single" w:sz="6" w:space="0" w:color="BFBFBF"/>
                  </w:tcBorders>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North East Tasmania Innovation and Investment Fund</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0.1</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5"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499"/>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796"/>
              <w:gridCol w:w="796"/>
              <w:gridCol w:w="794"/>
              <w:gridCol w:w="794"/>
              <w:gridCol w:w="794"/>
              <w:gridCol w:w="788"/>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8" w:type="pct"/>
                  <w:tcBorders>
                    <w:top w:val="single" w:sz="6" w:space="0" w:color="BFBFBF"/>
                    <w:bottom w:val="single" w:sz="6" w:space="0" w:color="BFBFBF"/>
                  </w:tcBorders>
                  <w:vAlign w:val="center"/>
                </w:tcPr>
                <w:p w:rsidR="00AC2131" w:rsidRPr="00182856" w:rsidRDefault="00AC2131" w:rsidP="00AC2131">
                  <w:pPr>
                    <w:spacing w:before="80" w:after="80"/>
                    <w:ind w:right="57"/>
                    <w:jc w:val="center"/>
                    <w:rPr>
                      <w:rFonts w:ascii="Arial" w:hAnsi="Arial" w:cs="Arial"/>
                      <w:i/>
                      <w:sz w:val="18"/>
                      <w:szCs w:val="18"/>
                    </w:rPr>
                  </w:pPr>
                  <w:r>
                    <w:rPr>
                      <w:rFonts w:ascii="Arial" w:hAnsi="Arial" w:cs="Arial"/>
                      <w:i/>
                      <w:sz w:val="18"/>
                      <w:szCs w:val="18"/>
                    </w:rPr>
                    <w:t>2008-09</w:t>
                  </w:r>
                </w:p>
              </w:tc>
              <w:tc>
                <w:tcPr>
                  <w:tcW w:w="468" w:type="pct"/>
                  <w:tcBorders>
                    <w:top w:val="single" w:sz="6" w:space="0" w:color="BFBFBF"/>
                    <w:bottom w:val="single" w:sz="6" w:space="0" w:color="BFBFBF"/>
                  </w:tcBorders>
                  <w:vAlign w:val="center"/>
                </w:tcPr>
                <w:p w:rsidR="00AC2131" w:rsidRPr="00182856" w:rsidRDefault="00AC2131" w:rsidP="00AC2131">
                  <w:pPr>
                    <w:spacing w:before="80" w:after="80"/>
                    <w:ind w:right="57"/>
                    <w:jc w:val="center"/>
                    <w:rPr>
                      <w:rFonts w:ascii="Arial" w:hAnsi="Arial" w:cs="Arial"/>
                      <w:i/>
                      <w:sz w:val="18"/>
                      <w:szCs w:val="18"/>
                    </w:rPr>
                  </w:pPr>
                  <w:r>
                    <w:rPr>
                      <w:rFonts w:ascii="Arial" w:hAnsi="Arial" w:cs="Arial"/>
                      <w:i/>
                      <w:sz w:val="18"/>
                      <w:szCs w:val="18"/>
                    </w:rPr>
                    <w:t>2009-10</w:t>
                  </w:r>
                </w:p>
              </w:tc>
              <w:tc>
                <w:tcPr>
                  <w:tcW w:w="467" w:type="pct"/>
                  <w:tcBorders>
                    <w:top w:val="single" w:sz="6" w:space="0" w:color="BFBFBF"/>
                    <w:bottom w:val="single" w:sz="6" w:space="0" w:color="BFBFBF"/>
                  </w:tcBorders>
                  <w:vAlign w:val="center"/>
                </w:tcPr>
                <w:p w:rsidR="00AC2131" w:rsidRPr="00182856" w:rsidRDefault="00AC2131" w:rsidP="00AC2131">
                  <w:pPr>
                    <w:spacing w:before="80" w:after="80"/>
                    <w:ind w:right="57"/>
                    <w:jc w:val="center"/>
                    <w:rPr>
                      <w:rFonts w:ascii="Arial" w:hAnsi="Arial" w:cs="Arial"/>
                      <w:i/>
                      <w:sz w:val="18"/>
                      <w:szCs w:val="18"/>
                    </w:rPr>
                  </w:pPr>
                  <w:r>
                    <w:rPr>
                      <w:rFonts w:ascii="Arial" w:hAnsi="Arial" w:cs="Arial"/>
                      <w:i/>
                      <w:sz w:val="18"/>
                      <w:szCs w:val="18"/>
                    </w:rPr>
                    <w:t>2010-11</w:t>
                  </w:r>
                </w:p>
              </w:tc>
              <w:tc>
                <w:tcPr>
                  <w:tcW w:w="467" w:type="pct"/>
                  <w:tcBorders>
                    <w:top w:val="single" w:sz="6" w:space="0" w:color="BFBFBF"/>
                    <w:bottom w:val="single" w:sz="6" w:space="0" w:color="BFBFBF"/>
                  </w:tcBorders>
                  <w:vAlign w:val="center"/>
                </w:tcPr>
                <w:p w:rsidR="00AC2131" w:rsidRPr="00182856" w:rsidRDefault="00AC2131" w:rsidP="00AC2131">
                  <w:pPr>
                    <w:spacing w:before="80" w:after="80"/>
                    <w:ind w:right="57"/>
                    <w:jc w:val="center"/>
                    <w:rPr>
                      <w:rFonts w:ascii="Arial" w:hAnsi="Arial" w:cs="Arial"/>
                      <w:i/>
                      <w:sz w:val="18"/>
                      <w:szCs w:val="18"/>
                    </w:rPr>
                  </w:pPr>
                  <w:r>
                    <w:rPr>
                      <w:rFonts w:ascii="Arial" w:hAnsi="Arial" w:cs="Arial"/>
                      <w:i/>
                      <w:sz w:val="18"/>
                      <w:szCs w:val="18"/>
                    </w:rPr>
                    <w:t>2011-12</w:t>
                  </w:r>
                </w:p>
              </w:tc>
              <w:tc>
                <w:tcPr>
                  <w:tcW w:w="467" w:type="pct"/>
                  <w:tcBorders>
                    <w:top w:val="single" w:sz="6" w:space="0" w:color="BFBFBF"/>
                    <w:bottom w:val="single" w:sz="6" w:space="0" w:color="BFBFBF"/>
                  </w:tcBorders>
                  <w:shd w:val="clear" w:color="auto" w:fill="auto"/>
                  <w:tcMar>
                    <w:top w:w="28" w:type="dxa"/>
                  </w:tcMar>
                  <w:vAlign w:val="center"/>
                </w:tcPr>
                <w:p w:rsidR="00AC2131" w:rsidRPr="00182856" w:rsidRDefault="00AC2131" w:rsidP="00AC2131">
                  <w:pPr>
                    <w:spacing w:before="80" w:after="80"/>
                    <w:ind w:right="57"/>
                    <w:jc w:val="center"/>
                    <w:rPr>
                      <w:rFonts w:ascii="Arial" w:hAnsi="Arial" w:cs="Arial"/>
                      <w:i/>
                      <w:sz w:val="18"/>
                      <w:szCs w:val="18"/>
                    </w:rPr>
                  </w:pPr>
                  <w:r>
                    <w:rPr>
                      <w:rFonts w:ascii="Arial" w:hAnsi="Arial" w:cs="Arial"/>
                      <w:i/>
                      <w:sz w:val="18"/>
                      <w:szCs w:val="18"/>
                    </w:rPr>
                    <w:t>2012-13</w:t>
                  </w:r>
                </w:p>
              </w:tc>
              <w:tc>
                <w:tcPr>
                  <w:tcW w:w="463"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right="57"/>
                  </w:pPr>
                  <w:r>
                    <w:t>2013-14</w:t>
                  </w:r>
                </w:p>
              </w:tc>
            </w:tr>
            <w:tr w:rsidR="00AC2131" w:rsidTr="00AC2131">
              <w:tc>
                <w:tcPr>
                  <w:tcW w:w="2200" w:type="pct"/>
                  <w:shd w:val="clear" w:color="auto" w:fill="auto"/>
                </w:tcPr>
                <w:p w:rsidR="00AC2131" w:rsidRPr="00A617C6" w:rsidRDefault="00AC2131" w:rsidP="00AC2131">
                  <w:pPr>
                    <w:pStyle w:val="TableBodyText"/>
                    <w:spacing w:before="40" w:after="0"/>
                    <w:ind w:left="113"/>
                    <w:jc w:val="left"/>
                    <w:rPr>
                      <w:i/>
                    </w:rPr>
                  </w:pPr>
                  <w:r w:rsidRPr="00A617C6">
                    <w:rPr>
                      <w:i/>
                    </w:rPr>
                    <w:t>Other measures</w:t>
                  </w:r>
                  <w:r>
                    <w:rPr>
                      <w:i/>
                    </w:rPr>
                    <w:t xml:space="preserve"> (continued)</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North West and Northern Tasmania Innovation and Investment Fund</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8" w:type="pct"/>
                  <w:vAlign w:val="bottom"/>
                </w:tcPr>
                <w:p w:rsidR="00AC2131" w:rsidRDefault="00AC2131" w:rsidP="00AC2131">
                  <w:pPr>
                    <w:pStyle w:val="TableBodyText"/>
                    <w:spacing w:after="0"/>
                    <w:ind w:left="0" w:right="57"/>
                  </w:pPr>
                  <w:r>
                    <w:t>3.8</w:t>
                  </w:r>
                </w:p>
              </w:tc>
              <w:tc>
                <w:tcPr>
                  <w:tcW w:w="468" w:type="pct"/>
                  <w:vAlign w:val="bottom"/>
                </w:tcPr>
                <w:p w:rsidR="00AC2131" w:rsidRDefault="00AC2131" w:rsidP="00AC2131">
                  <w:pPr>
                    <w:pStyle w:val="TableBodyText"/>
                    <w:spacing w:after="0"/>
                    <w:ind w:left="0" w:right="57"/>
                  </w:pPr>
                  <w:r>
                    <w:t>5.0</w:t>
                  </w:r>
                </w:p>
              </w:tc>
              <w:tc>
                <w:tcPr>
                  <w:tcW w:w="467" w:type="pct"/>
                  <w:vAlign w:val="bottom"/>
                </w:tcPr>
                <w:p w:rsidR="00AC2131" w:rsidRDefault="00AC2131" w:rsidP="00AC2131">
                  <w:pPr>
                    <w:pStyle w:val="TableBodyText"/>
                    <w:spacing w:after="0"/>
                    <w:ind w:left="0" w:right="57"/>
                  </w:pPr>
                  <w:r>
                    <w:t>8.1</w:t>
                  </w:r>
                </w:p>
              </w:tc>
              <w:tc>
                <w:tcPr>
                  <w:tcW w:w="467" w:type="pct"/>
                  <w:vAlign w:val="bottom"/>
                </w:tcPr>
                <w:p w:rsidR="00AC2131" w:rsidRDefault="00AC2131" w:rsidP="00AC2131">
                  <w:pPr>
                    <w:pStyle w:val="TableBodyText"/>
                    <w:spacing w:after="0"/>
                    <w:ind w:left="0" w:right="57"/>
                  </w:pPr>
                  <w:r>
                    <w:t>0.6</w:t>
                  </w:r>
                </w:p>
              </w:tc>
              <w:tc>
                <w:tcPr>
                  <w:tcW w:w="467" w:type="pct"/>
                  <w:shd w:val="clear" w:color="auto" w:fill="auto"/>
                  <w:vAlign w:val="bottom"/>
                </w:tcPr>
                <w:p w:rsidR="00AC2131" w:rsidRDefault="00AC2131" w:rsidP="00AC2131">
                  <w:pPr>
                    <w:pStyle w:val="TableBodyText"/>
                    <w:spacing w:after="0"/>
                    <w:ind w:left="0" w:right="57"/>
                  </w:pPr>
                  <w:r>
                    <w:t>-2.5</w:t>
                  </w:r>
                </w:p>
              </w:tc>
              <w:tc>
                <w:tcPr>
                  <w:tcW w:w="463" w:type="pct"/>
                  <w:shd w:val="clear" w:color="auto" w:fill="auto"/>
                  <w:vAlign w:val="bottom"/>
                </w:tcPr>
                <w:p w:rsidR="00AC2131" w:rsidRDefault="00AC2131" w:rsidP="00AC2131">
                  <w:pPr>
                    <w:pStyle w:val="TableBodyText"/>
                    <w:spacing w:after="0"/>
                    <w:ind w:left="0" w:right="57"/>
                  </w:pPr>
                  <w:r>
                    <w:t>88.9</w:t>
                  </w: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8" w:type="pct"/>
                  <w:vAlign w:val="bottom"/>
                </w:tcPr>
                <w:p w:rsidR="00AC2131" w:rsidRDefault="00AC2131" w:rsidP="00AC2131">
                  <w:pPr>
                    <w:pStyle w:val="TableBodyText"/>
                    <w:spacing w:after="0"/>
                    <w:ind w:left="0" w:right="57"/>
                  </w:pPr>
                  <w:r>
                    <w:t>4.8</w:t>
                  </w:r>
                </w:p>
              </w:tc>
              <w:tc>
                <w:tcPr>
                  <w:tcW w:w="468"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1.8</w:t>
                  </w:r>
                </w:p>
              </w:tc>
              <w:tc>
                <w:tcPr>
                  <w:tcW w:w="467" w:type="pct"/>
                  <w:shd w:val="clear" w:color="auto" w:fill="auto"/>
                  <w:vAlign w:val="bottom"/>
                </w:tcPr>
                <w:p w:rsidR="00AC2131" w:rsidRDefault="00AC2131" w:rsidP="00AC2131">
                  <w:pPr>
                    <w:pStyle w:val="TableBodyText"/>
                    <w:spacing w:after="0"/>
                    <w:ind w:left="0" w:right="57"/>
                  </w:pPr>
                  <w:r>
                    <w:t>1.9</w:t>
                  </w:r>
                </w:p>
              </w:tc>
              <w:tc>
                <w:tcPr>
                  <w:tcW w:w="463" w:type="pct"/>
                  <w:shd w:val="clear" w:color="auto" w:fill="auto"/>
                  <w:vAlign w:val="bottom"/>
                </w:tcPr>
                <w:p w:rsidR="00AC2131" w:rsidRDefault="00AC2131" w:rsidP="00AC2131">
                  <w:pPr>
                    <w:pStyle w:val="TableBodyText"/>
                    <w:spacing w:after="0"/>
                    <w:ind w:left="0" w:right="57"/>
                  </w:pPr>
                  <w:r>
                    <w:t>2.3</w:t>
                  </w: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 xml:space="preserve">Small business </w:t>
                  </w:r>
                  <w:r>
                    <w:rPr>
                      <w:rFonts w:ascii="Arial" w:hAnsi="Arial" w:cs="Arial"/>
                      <w:color w:val="000000"/>
                      <w:sz w:val="18"/>
                      <w:szCs w:val="18"/>
                    </w:rPr>
                    <w:t>capital gains tax</w:t>
                  </w:r>
                  <w:r w:rsidRPr="00A617C6">
                    <w:rPr>
                      <w:rFonts w:ascii="Arial" w:hAnsi="Arial" w:cs="Arial"/>
                      <w:color w:val="000000"/>
                      <w:sz w:val="18"/>
                      <w:szCs w:val="18"/>
                    </w:rPr>
                    <w:t xml:space="preserve"> 50 per cent reduction</w:t>
                  </w:r>
                </w:p>
              </w:tc>
              <w:tc>
                <w:tcPr>
                  <w:tcW w:w="468" w:type="pct"/>
                  <w:vAlign w:val="bottom"/>
                </w:tcPr>
                <w:p w:rsidR="00AC2131" w:rsidRDefault="00AC2131" w:rsidP="00AC2131">
                  <w:pPr>
                    <w:pStyle w:val="TableBodyText"/>
                    <w:spacing w:after="0"/>
                    <w:ind w:left="0" w:right="57"/>
                  </w:pPr>
                  <w:r>
                    <w:t>17.1</w:t>
                  </w:r>
                </w:p>
              </w:tc>
              <w:tc>
                <w:tcPr>
                  <w:tcW w:w="468" w:type="pct"/>
                  <w:vAlign w:val="bottom"/>
                </w:tcPr>
                <w:p w:rsidR="00AC2131" w:rsidRDefault="00AC2131" w:rsidP="00AC2131">
                  <w:pPr>
                    <w:pStyle w:val="TableBodyText"/>
                    <w:spacing w:after="0"/>
                    <w:ind w:left="0" w:right="57"/>
                  </w:pPr>
                  <w:r>
                    <w:t>10.7</w:t>
                  </w:r>
                </w:p>
              </w:tc>
              <w:tc>
                <w:tcPr>
                  <w:tcW w:w="467" w:type="pct"/>
                  <w:vAlign w:val="bottom"/>
                </w:tcPr>
                <w:p w:rsidR="00AC2131" w:rsidRDefault="00AC2131" w:rsidP="00AC2131">
                  <w:pPr>
                    <w:pStyle w:val="TableBodyText"/>
                    <w:spacing w:after="0"/>
                    <w:ind w:left="0" w:right="57"/>
                  </w:pPr>
                  <w:r>
                    <w:t>6.2</w:t>
                  </w:r>
                </w:p>
              </w:tc>
              <w:tc>
                <w:tcPr>
                  <w:tcW w:w="467" w:type="pct"/>
                  <w:vAlign w:val="bottom"/>
                </w:tcPr>
                <w:p w:rsidR="00AC2131" w:rsidRDefault="00AC2131" w:rsidP="00AC2131">
                  <w:pPr>
                    <w:pStyle w:val="TableBodyText"/>
                    <w:spacing w:after="0"/>
                    <w:ind w:left="0" w:right="57"/>
                  </w:pPr>
                  <w:r>
                    <w:t>7.9</w:t>
                  </w:r>
                </w:p>
              </w:tc>
              <w:tc>
                <w:tcPr>
                  <w:tcW w:w="467" w:type="pct"/>
                  <w:shd w:val="clear" w:color="auto" w:fill="auto"/>
                  <w:vAlign w:val="bottom"/>
                </w:tcPr>
                <w:p w:rsidR="00AC2131" w:rsidRDefault="00AC2131" w:rsidP="00AC2131">
                  <w:pPr>
                    <w:pStyle w:val="TableBodyText"/>
                    <w:spacing w:after="0"/>
                    <w:ind w:left="0" w:right="57"/>
                  </w:pPr>
                  <w:r>
                    <w:t>8.1</w:t>
                  </w:r>
                </w:p>
              </w:tc>
              <w:tc>
                <w:tcPr>
                  <w:tcW w:w="463" w:type="pct"/>
                  <w:shd w:val="clear" w:color="auto" w:fill="auto"/>
                  <w:vAlign w:val="bottom"/>
                </w:tcPr>
                <w:p w:rsidR="00AC2131" w:rsidRDefault="00AC2131" w:rsidP="00AC2131">
                  <w:pPr>
                    <w:pStyle w:val="TableBodyText"/>
                    <w:spacing w:after="0"/>
                    <w:ind w:left="0" w:right="57"/>
                  </w:pPr>
                  <w:r>
                    <w:t>8.6</w:t>
                  </w: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 xml:space="preserve">Small business </w:t>
                  </w:r>
                  <w:r>
                    <w:rPr>
                      <w:rFonts w:ascii="Arial" w:hAnsi="Arial" w:cs="Arial"/>
                      <w:color w:val="000000"/>
                      <w:sz w:val="18"/>
                      <w:szCs w:val="18"/>
                    </w:rPr>
                    <w:t>capital gains tax</w:t>
                  </w:r>
                  <w:r w:rsidRPr="00A617C6">
                    <w:rPr>
                      <w:rFonts w:ascii="Arial" w:hAnsi="Arial" w:cs="Arial"/>
                      <w:color w:val="000000"/>
                      <w:sz w:val="18"/>
                      <w:szCs w:val="18"/>
                    </w:rPr>
                    <w:t xml:space="preserve"> retirement exemption</w:t>
                  </w:r>
                </w:p>
              </w:tc>
              <w:tc>
                <w:tcPr>
                  <w:tcW w:w="468" w:type="pct"/>
                  <w:vAlign w:val="bottom"/>
                </w:tcPr>
                <w:p w:rsidR="00AC2131" w:rsidRDefault="00AC2131" w:rsidP="00AC2131">
                  <w:pPr>
                    <w:pStyle w:val="TableBodyText"/>
                    <w:spacing w:after="0"/>
                    <w:ind w:left="0" w:right="57"/>
                  </w:pPr>
                  <w:r>
                    <w:t>13.2</w:t>
                  </w:r>
                </w:p>
              </w:tc>
              <w:tc>
                <w:tcPr>
                  <w:tcW w:w="468" w:type="pct"/>
                  <w:vAlign w:val="bottom"/>
                </w:tcPr>
                <w:p w:rsidR="00AC2131" w:rsidRDefault="00AC2131" w:rsidP="00AC2131">
                  <w:pPr>
                    <w:pStyle w:val="TableBodyText"/>
                    <w:spacing w:after="0"/>
                    <w:ind w:left="0" w:right="57"/>
                  </w:pPr>
                  <w:r>
                    <w:t>5.2</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1.3</w:t>
                  </w:r>
                </w:p>
              </w:tc>
              <w:tc>
                <w:tcPr>
                  <w:tcW w:w="467" w:type="pct"/>
                  <w:shd w:val="clear" w:color="auto" w:fill="auto"/>
                  <w:vAlign w:val="bottom"/>
                </w:tcPr>
                <w:p w:rsidR="00AC2131" w:rsidRDefault="00AC2131" w:rsidP="00AC2131">
                  <w:pPr>
                    <w:pStyle w:val="TableBodyText"/>
                    <w:spacing w:after="0"/>
                    <w:ind w:left="0" w:right="57"/>
                  </w:pPr>
                  <w:r>
                    <w:t>1.3</w:t>
                  </w:r>
                </w:p>
              </w:tc>
              <w:tc>
                <w:tcPr>
                  <w:tcW w:w="463" w:type="pct"/>
                  <w:shd w:val="clear" w:color="auto" w:fill="auto"/>
                  <w:vAlign w:val="bottom"/>
                </w:tcPr>
                <w:p w:rsidR="00AC2131" w:rsidRDefault="00AC2131" w:rsidP="00AC2131">
                  <w:pPr>
                    <w:pStyle w:val="TableBodyText"/>
                    <w:spacing w:after="0"/>
                    <w:ind w:left="0" w:right="57"/>
                  </w:pPr>
                  <w:r>
                    <w:t>1.4</w:t>
                  </w: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 xml:space="preserve">Small business </w:t>
                  </w:r>
                  <w:r>
                    <w:rPr>
                      <w:rFonts w:ascii="Arial" w:hAnsi="Arial" w:cs="Arial"/>
                      <w:color w:val="000000"/>
                      <w:sz w:val="18"/>
                      <w:szCs w:val="18"/>
                    </w:rPr>
                    <w:t>capital gains tax</w:t>
                  </w:r>
                  <w:r w:rsidRPr="00A617C6">
                    <w:rPr>
                      <w:rFonts w:ascii="Arial" w:hAnsi="Arial" w:cs="Arial"/>
                      <w:color w:val="000000"/>
                      <w:sz w:val="18"/>
                      <w:szCs w:val="18"/>
                    </w:rPr>
                    <w:t xml:space="preserve"> rollover deferral</w:t>
                  </w:r>
                </w:p>
              </w:tc>
              <w:tc>
                <w:tcPr>
                  <w:tcW w:w="468" w:type="pct"/>
                  <w:vAlign w:val="bottom"/>
                </w:tcPr>
                <w:p w:rsidR="00AC2131" w:rsidRDefault="00AC2131" w:rsidP="00AC2131">
                  <w:pPr>
                    <w:pStyle w:val="TableBodyText"/>
                    <w:spacing w:after="0"/>
                    <w:ind w:left="0" w:right="57"/>
                  </w:pPr>
                  <w:r>
                    <w:t>5.0</w:t>
                  </w:r>
                </w:p>
              </w:tc>
              <w:tc>
                <w:tcPr>
                  <w:tcW w:w="468" w:type="pct"/>
                  <w:vAlign w:val="bottom"/>
                </w:tcPr>
                <w:p w:rsidR="00AC2131" w:rsidRDefault="00AC2131" w:rsidP="00AC2131">
                  <w:pPr>
                    <w:pStyle w:val="TableBodyText"/>
                    <w:spacing w:after="0"/>
                    <w:ind w:left="0" w:right="57"/>
                  </w:pPr>
                  <w:r>
                    <w:t>2.5</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Tasmanian Innovation and Investment Fund</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0.2</w:t>
                  </w:r>
                </w:p>
              </w:tc>
              <w:tc>
                <w:tcPr>
                  <w:tcW w:w="463"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Temporary Assistance for Tasmanian Exporters</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5.9</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617C6" w:rsidRDefault="00AC2131" w:rsidP="00AC2131">
                  <w:pPr>
                    <w:ind w:left="227"/>
                    <w:rPr>
                      <w:rFonts w:ascii="Arial" w:hAnsi="Arial" w:cs="Arial"/>
                      <w:color w:val="000000"/>
                      <w:sz w:val="18"/>
                      <w:szCs w:val="18"/>
                    </w:rPr>
                  </w:pPr>
                  <w:r w:rsidRPr="00A617C6">
                    <w:rPr>
                      <w:rFonts w:ascii="Arial" w:hAnsi="Arial" w:cs="Arial"/>
                      <w:color w:val="000000"/>
                      <w:sz w:val="18"/>
                      <w:szCs w:val="18"/>
                    </w:rPr>
                    <w:t>The Small Business and General Business Tax Break</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150.9</w:t>
                  </w:r>
                </w:p>
              </w:tc>
              <w:tc>
                <w:tcPr>
                  <w:tcW w:w="467" w:type="pct"/>
                  <w:vAlign w:val="bottom"/>
                </w:tcPr>
                <w:p w:rsidR="00AC2131" w:rsidRDefault="00AC2131" w:rsidP="00AC2131">
                  <w:pPr>
                    <w:pStyle w:val="TableBodyText"/>
                    <w:spacing w:after="0"/>
                    <w:ind w:left="0" w:right="57"/>
                  </w:pPr>
                  <w:r>
                    <w:t>155.2</w:t>
                  </w:r>
                </w:p>
              </w:tc>
              <w:tc>
                <w:tcPr>
                  <w:tcW w:w="467" w:type="pct"/>
                  <w:vAlign w:val="bottom"/>
                </w:tcPr>
                <w:p w:rsidR="00AC2131" w:rsidRDefault="00AC2131" w:rsidP="00AC2131">
                  <w:pPr>
                    <w:pStyle w:val="TableBodyText"/>
                    <w:spacing w:after="0"/>
                    <w:ind w:left="0" w:right="57"/>
                  </w:pPr>
                  <w:r>
                    <w:t>126.4</w:t>
                  </w:r>
                </w:p>
              </w:tc>
              <w:tc>
                <w:tcPr>
                  <w:tcW w:w="467" w:type="pct"/>
                  <w:shd w:val="clear" w:color="auto" w:fill="auto"/>
                  <w:vAlign w:val="bottom"/>
                </w:tcPr>
                <w:p w:rsidR="00AC2131" w:rsidRDefault="00AC2131" w:rsidP="00AC2131">
                  <w:pPr>
                    <w:pStyle w:val="TableBodyText"/>
                    <w:spacing w:after="0"/>
                    <w:ind w:left="0" w:right="57"/>
                  </w:pPr>
                  <w:r>
                    <w:t>43.9</w:t>
                  </w:r>
                </w:p>
              </w:tc>
              <w:tc>
                <w:tcPr>
                  <w:tcW w:w="463" w:type="pct"/>
                  <w:shd w:val="clear" w:color="auto" w:fill="auto"/>
                  <w:vAlign w:val="bottom"/>
                </w:tcPr>
                <w:p w:rsidR="00AC2131" w:rsidRDefault="00AC2131" w:rsidP="00AC2131">
                  <w:pPr>
                    <w:pStyle w:val="TableBodyText"/>
                    <w:spacing w:after="0"/>
                    <w:ind w:left="0" w:right="57"/>
                  </w:pPr>
                  <w:r>
                    <w:t>5.3</w:t>
                  </w:r>
                </w:p>
              </w:tc>
            </w:tr>
            <w:tr w:rsidR="00AC2131" w:rsidTr="00AC2131">
              <w:tc>
                <w:tcPr>
                  <w:tcW w:w="2200" w:type="pct"/>
                  <w:shd w:val="clear" w:color="auto" w:fill="auto"/>
                  <w:vAlign w:val="bottom"/>
                </w:tcPr>
                <w:p w:rsidR="00AC2131" w:rsidRPr="0068119B" w:rsidRDefault="00AC2131" w:rsidP="00AC2131">
                  <w:pPr>
                    <w:spacing w:before="20" w:after="20"/>
                    <w:rPr>
                      <w:rFonts w:ascii="Arial" w:hAnsi="Arial" w:cs="Arial"/>
                      <w:i/>
                      <w:color w:val="000000"/>
                      <w:sz w:val="18"/>
                      <w:szCs w:val="18"/>
                    </w:rPr>
                  </w:pPr>
                  <w:r w:rsidRPr="0068119B">
                    <w:rPr>
                      <w:rFonts w:ascii="Arial" w:hAnsi="Arial" w:cs="Arial"/>
                      <w:i/>
                      <w:color w:val="000000"/>
                      <w:sz w:val="18"/>
                      <w:szCs w:val="18"/>
                    </w:rPr>
                    <w:t>Total</w:t>
                  </w:r>
                </w:p>
              </w:tc>
              <w:tc>
                <w:tcPr>
                  <w:tcW w:w="468" w:type="pct"/>
                  <w:vAlign w:val="bottom"/>
                </w:tcPr>
                <w:p w:rsidR="00AC2131" w:rsidRPr="003672D0" w:rsidRDefault="00AC2131" w:rsidP="00AC2131">
                  <w:pPr>
                    <w:pStyle w:val="TableBodyText"/>
                    <w:spacing w:before="20" w:after="20"/>
                    <w:ind w:left="0" w:right="57"/>
                    <w:rPr>
                      <w:i/>
                    </w:rPr>
                  </w:pPr>
                  <w:r w:rsidRPr="003672D0">
                    <w:rPr>
                      <w:i/>
                    </w:rPr>
                    <w:t>128.1</w:t>
                  </w:r>
                </w:p>
              </w:tc>
              <w:tc>
                <w:tcPr>
                  <w:tcW w:w="468" w:type="pct"/>
                  <w:vAlign w:val="bottom"/>
                </w:tcPr>
                <w:p w:rsidR="00AC2131" w:rsidRPr="003672D0" w:rsidRDefault="00AC2131" w:rsidP="00AC2131">
                  <w:pPr>
                    <w:pStyle w:val="TableBodyText"/>
                    <w:spacing w:before="20" w:after="20"/>
                    <w:ind w:left="0" w:right="57"/>
                    <w:rPr>
                      <w:i/>
                    </w:rPr>
                  </w:pPr>
                  <w:r w:rsidRPr="003672D0">
                    <w:rPr>
                      <w:i/>
                    </w:rPr>
                    <w:t>275.8</w:t>
                  </w:r>
                </w:p>
              </w:tc>
              <w:tc>
                <w:tcPr>
                  <w:tcW w:w="467" w:type="pct"/>
                  <w:vAlign w:val="bottom"/>
                </w:tcPr>
                <w:p w:rsidR="00AC2131" w:rsidRPr="003672D0" w:rsidRDefault="00AC2131" w:rsidP="00AC2131">
                  <w:pPr>
                    <w:pStyle w:val="TableBodyText"/>
                    <w:spacing w:before="20" w:after="20"/>
                    <w:ind w:left="0" w:right="57"/>
                    <w:rPr>
                      <w:i/>
                    </w:rPr>
                  </w:pPr>
                  <w:r w:rsidRPr="003672D0">
                    <w:rPr>
                      <w:i/>
                    </w:rPr>
                    <w:t>266.4</w:t>
                  </w:r>
                </w:p>
              </w:tc>
              <w:tc>
                <w:tcPr>
                  <w:tcW w:w="467" w:type="pct"/>
                  <w:vAlign w:val="bottom"/>
                </w:tcPr>
                <w:p w:rsidR="00AC2131" w:rsidRPr="003672D0" w:rsidRDefault="00AC2131" w:rsidP="00AC2131">
                  <w:pPr>
                    <w:pStyle w:val="TableBodyText"/>
                    <w:spacing w:before="20" w:after="20"/>
                    <w:ind w:left="0" w:right="57"/>
                    <w:rPr>
                      <w:i/>
                    </w:rPr>
                  </w:pPr>
                  <w:r w:rsidRPr="003672D0">
                    <w:rPr>
                      <w:i/>
                    </w:rPr>
                    <w:t>245.6</w:t>
                  </w:r>
                </w:p>
              </w:tc>
              <w:tc>
                <w:tcPr>
                  <w:tcW w:w="467" w:type="pct"/>
                  <w:shd w:val="clear" w:color="auto" w:fill="auto"/>
                  <w:vAlign w:val="bottom"/>
                </w:tcPr>
                <w:p w:rsidR="00AC2131" w:rsidRPr="003672D0" w:rsidRDefault="00AC2131" w:rsidP="00AC2131">
                  <w:pPr>
                    <w:pStyle w:val="TableBodyText"/>
                    <w:spacing w:before="20" w:after="20"/>
                    <w:ind w:left="0" w:right="57"/>
                    <w:rPr>
                      <w:i/>
                    </w:rPr>
                  </w:pPr>
                  <w:r w:rsidRPr="003672D0">
                    <w:rPr>
                      <w:i/>
                    </w:rPr>
                    <w:t>172.2</w:t>
                  </w:r>
                </w:p>
              </w:tc>
              <w:tc>
                <w:tcPr>
                  <w:tcW w:w="463" w:type="pct"/>
                  <w:shd w:val="clear" w:color="auto" w:fill="auto"/>
                  <w:vAlign w:val="bottom"/>
                </w:tcPr>
                <w:p w:rsidR="00AC2131" w:rsidRPr="003672D0" w:rsidRDefault="00AC2131" w:rsidP="00AC2131">
                  <w:pPr>
                    <w:pStyle w:val="TableBodyText"/>
                    <w:spacing w:before="20" w:after="20"/>
                    <w:ind w:left="0" w:right="57"/>
                    <w:rPr>
                      <w:i/>
                    </w:rPr>
                  </w:pPr>
                  <w:r w:rsidRPr="003672D0">
                    <w:rPr>
                      <w:i/>
                    </w:rPr>
                    <w:t>185.7</w:t>
                  </w:r>
                </w:p>
              </w:tc>
            </w:tr>
            <w:tr w:rsidR="00AC2131" w:rsidTr="00AC2131">
              <w:tc>
                <w:tcPr>
                  <w:tcW w:w="2668" w:type="pct"/>
                  <w:gridSpan w:val="2"/>
                  <w:vAlign w:val="center"/>
                </w:tcPr>
                <w:p w:rsidR="00AC2131" w:rsidRDefault="00AC2131" w:rsidP="00AC2131">
                  <w:pPr>
                    <w:pStyle w:val="TableUnitsRow"/>
                    <w:jc w:val="left"/>
                  </w:pPr>
                  <w:r w:rsidRPr="00182856">
                    <w:rPr>
                      <w:b/>
                    </w:rPr>
                    <w:t>Information, media and telecommunications</w:t>
                  </w:r>
                </w:p>
              </w:tc>
              <w:tc>
                <w:tcPr>
                  <w:tcW w:w="468" w:type="pct"/>
                </w:tcPr>
                <w:p w:rsidR="00AC2131" w:rsidRDefault="00AC2131" w:rsidP="00AC2131">
                  <w:pPr>
                    <w:pStyle w:val="TableUnitsRow"/>
                  </w:pPr>
                </w:p>
              </w:tc>
              <w:tc>
                <w:tcPr>
                  <w:tcW w:w="467" w:type="pct"/>
                </w:tcPr>
                <w:p w:rsidR="00AC2131" w:rsidRDefault="00AC2131" w:rsidP="00AC2131">
                  <w:pPr>
                    <w:pStyle w:val="TableUnitsRow"/>
                  </w:pPr>
                </w:p>
              </w:tc>
              <w:tc>
                <w:tcPr>
                  <w:tcW w:w="467" w:type="pct"/>
                </w:tcPr>
                <w:p w:rsidR="00AC2131" w:rsidRDefault="00AC2131" w:rsidP="00AC2131">
                  <w:pPr>
                    <w:pStyle w:val="TableUnitsRow"/>
                  </w:pPr>
                </w:p>
              </w:tc>
              <w:tc>
                <w:tcPr>
                  <w:tcW w:w="467" w:type="pct"/>
                </w:tcPr>
                <w:p w:rsidR="00AC2131" w:rsidRDefault="00AC2131" w:rsidP="00AC2131">
                  <w:pPr>
                    <w:pStyle w:val="TableUnitsRow"/>
                  </w:pPr>
                </w:p>
              </w:tc>
              <w:tc>
                <w:tcPr>
                  <w:tcW w:w="463" w:type="pct"/>
                </w:tcPr>
                <w:p w:rsidR="00AC2131" w:rsidRDefault="00AC2131" w:rsidP="00AC2131">
                  <w:pPr>
                    <w:pStyle w:val="TableUnitsRow"/>
                    <w:ind w:right="28"/>
                  </w:pPr>
                </w:p>
              </w:tc>
            </w:tr>
            <w:tr w:rsidR="00AC2131" w:rsidTr="00AC2131">
              <w:tc>
                <w:tcPr>
                  <w:tcW w:w="2200" w:type="pct"/>
                </w:tcPr>
                <w:p w:rsidR="00AC2131" w:rsidRPr="00817CA5" w:rsidRDefault="00AC2131" w:rsidP="00AC2131">
                  <w:pPr>
                    <w:pStyle w:val="TableBodyText"/>
                    <w:spacing w:before="40" w:after="0"/>
                    <w:ind w:left="113"/>
                    <w:jc w:val="left"/>
                    <w:rPr>
                      <w:i/>
                    </w:rPr>
                  </w:pPr>
                  <w:r w:rsidRPr="00817CA5">
                    <w:rPr>
                      <w:i/>
                    </w:rPr>
                    <w:t>Industry-specific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3" w:type="pct"/>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ABC and SBS Digital Interference Scheme</w:t>
                  </w:r>
                </w:p>
              </w:tc>
              <w:tc>
                <w:tcPr>
                  <w:tcW w:w="468" w:type="pct"/>
                  <w:vAlign w:val="bottom"/>
                </w:tcPr>
                <w:p w:rsidR="00AC2131" w:rsidRDefault="00AC2131" w:rsidP="00AC2131">
                  <w:pPr>
                    <w:pStyle w:val="TableBodyText"/>
                    <w:spacing w:after="0"/>
                    <w:ind w:left="0" w:right="57"/>
                  </w:pPr>
                  <w:r>
                    <w:t>&lt;0.1</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Community Broadcasting Program</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14.9</w:t>
                  </w:r>
                </w:p>
              </w:tc>
              <w:tc>
                <w:tcPr>
                  <w:tcW w:w="463" w:type="pct"/>
                  <w:shd w:val="clear" w:color="auto" w:fill="auto"/>
                  <w:vAlign w:val="bottom"/>
                </w:tcPr>
                <w:p w:rsidR="00AC2131" w:rsidRDefault="00AC2131" w:rsidP="00AC2131">
                  <w:pPr>
                    <w:pStyle w:val="TableBodyText"/>
                    <w:spacing w:after="0"/>
                    <w:ind w:left="0" w:right="57"/>
                  </w:pPr>
                  <w:r>
                    <w:t>18.2</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Rebate for broadcasting licence fees</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45.0</w:t>
                  </w:r>
                </w:p>
              </w:tc>
              <w:tc>
                <w:tcPr>
                  <w:tcW w:w="467" w:type="pct"/>
                  <w:vAlign w:val="bottom"/>
                </w:tcPr>
                <w:p w:rsidR="00AC2131" w:rsidRDefault="00AC2131" w:rsidP="00AC2131">
                  <w:pPr>
                    <w:pStyle w:val="TableBodyText"/>
                    <w:spacing w:after="0"/>
                    <w:ind w:left="0" w:right="57"/>
                  </w:pPr>
                  <w:r>
                    <w:t>130.0</w:t>
                  </w:r>
                </w:p>
              </w:tc>
              <w:tc>
                <w:tcPr>
                  <w:tcW w:w="467" w:type="pct"/>
                  <w:shd w:val="clear" w:color="auto" w:fill="auto"/>
                  <w:vAlign w:val="bottom"/>
                </w:tcPr>
                <w:p w:rsidR="00AC2131" w:rsidRDefault="00AC2131" w:rsidP="00AC2131">
                  <w:pPr>
                    <w:pStyle w:val="TableBodyText"/>
                    <w:spacing w:after="0"/>
                    <w:ind w:left="0" w:right="57"/>
                  </w:pPr>
                  <w:r>
                    <w:t>155.0</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Regional Equalisation Plan</w:t>
                  </w:r>
                </w:p>
              </w:tc>
              <w:tc>
                <w:tcPr>
                  <w:tcW w:w="468" w:type="pct"/>
                  <w:vAlign w:val="bottom"/>
                </w:tcPr>
                <w:p w:rsidR="00AC2131" w:rsidRDefault="00AC2131" w:rsidP="00AC2131">
                  <w:pPr>
                    <w:pStyle w:val="TableBodyText"/>
                    <w:spacing w:after="0"/>
                    <w:ind w:left="0" w:right="57"/>
                  </w:pPr>
                  <w:r>
                    <w:t>0.3</w:t>
                  </w:r>
                </w:p>
              </w:tc>
              <w:tc>
                <w:tcPr>
                  <w:tcW w:w="468"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1.1</w:t>
                  </w:r>
                </w:p>
              </w:tc>
              <w:tc>
                <w:tcPr>
                  <w:tcW w:w="467" w:type="pct"/>
                  <w:shd w:val="clear" w:color="auto" w:fill="auto"/>
                  <w:vAlign w:val="bottom"/>
                </w:tcPr>
                <w:p w:rsidR="00AC2131" w:rsidRDefault="00AC2131" w:rsidP="00AC2131">
                  <w:pPr>
                    <w:pStyle w:val="TableBodyText"/>
                    <w:spacing w:after="0"/>
                    <w:ind w:left="0" w:right="57"/>
                  </w:pPr>
                  <w:r>
                    <w:t>1.0</w:t>
                  </w:r>
                </w:p>
              </w:tc>
              <w:tc>
                <w:tcPr>
                  <w:tcW w:w="463" w:type="pct"/>
                  <w:shd w:val="clear" w:color="auto" w:fill="auto"/>
                  <w:vAlign w:val="bottom"/>
                </w:tcPr>
                <w:p w:rsidR="00AC2131" w:rsidRDefault="00AC2131" w:rsidP="00AC2131">
                  <w:pPr>
                    <w:pStyle w:val="TableBodyText"/>
                    <w:spacing w:after="0"/>
                    <w:ind w:left="0" w:right="57"/>
                  </w:pPr>
                  <w:r>
                    <w:t>4.7</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 xml:space="preserve">Vodafone Hutchison Australia </w:t>
                  </w:r>
                  <w:r>
                    <w:rPr>
                      <w:rFonts w:ascii="Arial" w:hAnsi="Arial" w:cs="Arial"/>
                      <w:color w:val="000000"/>
                      <w:sz w:val="18"/>
                      <w:szCs w:val="18"/>
                    </w:rPr>
                    <w:t>–</w:t>
                  </w:r>
                  <w:r w:rsidRPr="00817CA5">
                    <w:rPr>
                      <w:rFonts w:ascii="Arial" w:hAnsi="Arial" w:cs="Arial"/>
                      <w:color w:val="000000"/>
                      <w:sz w:val="18"/>
                      <w:szCs w:val="18"/>
                    </w:rPr>
                    <w:t xml:space="preserve"> Tasmania Call Centre Expansion</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4.0</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817CA5" w:rsidRDefault="00AC2131" w:rsidP="00AC2131">
                  <w:pPr>
                    <w:pStyle w:val="TableBodyText"/>
                    <w:spacing w:before="40" w:after="0"/>
                    <w:ind w:left="113"/>
                    <w:jc w:val="left"/>
                    <w:rPr>
                      <w:i/>
                    </w:rPr>
                  </w:pPr>
                  <w:r w:rsidRPr="00817CA5">
                    <w:rPr>
                      <w:i/>
                    </w:rPr>
                    <w:t>General export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spacing w:after="0"/>
                    <w:ind w:left="227" w:right="0"/>
                    <w:jc w:val="left"/>
                  </w:pPr>
                  <w:r w:rsidRPr="00817CA5">
                    <w:t>Export Market Development Grants Scheme</w:t>
                  </w:r>
                </w:p>
              </w:tc>
              <w:tc>
                <w:tcPr>
                  <w:tcW w:w="468" w:type="pct"/>
                  <w:vAlign w:val="bottom"/>
                </w:tcPr>
                <w:p w:rsidR="00AC2131" w:rsidRDefault="00AC2131" w:rsidP="00AC2131">
                  <w:pPr>
                    <w:pStyle w:val="TableBodyText"/>
                    <w:spacing w:after="0"/>
                    <w:ind w:left="0" w:right="57"/>
                  </w:pPr>
                  <w:r>
                    <w:t>27.7</w:t>
                  </w:r>
                </w:p>
              </w:tc>
              <w:tc>
                <w:tcPr>
                  <w:tcW w:w="468" w:type="pct"/>
                  <w:vAlign w:val="bottom"/>
                </w:tcPr>
                <w:p w:rsidR="00AC2131" w:rsidRDefault="00AC2131" w:rsidP="00AC2131">
                  <w:pPr>
                    <w:pStyle w:val="TableBodyText"/>
                    <w:spacing w:after="0"/>
                    <w:ind w:left="0" w:right="57"/>
                  </w:pPr>
                  <w:r>
                    <w:t>27.8</w:t>
                  </w:r>
                </w:p>
              </w:tc>
              <w:tc>
                <w:tcPr>
                  <w:tcW w:w="467" w:type="pct"/>
                  <w:vAlign w:val="bottom"/>
                </w:tcPr>
                <w:p w:rsidR="00AC2131" w:rsidRDefault="00AC2131" w:rsidP="00AC2131">
                  <w:pPr>
                    <w:pStyle w:val="TableBodyText"/>
                    <w:spacing w:after="0"/>
                    <w:ind w:left="0" w:right="57"/>
                  </w:pPr>
                  <w:r>
                    <w:t>19.4</w:t>
                  </w:r>
                </w:p>
              </w:tc>
              <w:tc>
                <w:tcPr>
                  <w:tcW w:w="467" w:type="pct"/>
                  <w:vAlign w:val="bottom"/>
                </w:tcPr>
                <w:p w:rsidR="00AC2131" w:rsidRDefault="00AC2131" w:rsidP="00AC2131">
                  <w:pPr>
                    <w:pStyle w:val="TableBodyText"/>
                    <w:spacing w:after="0"/>
                    <w:ind w:left="0" w:right="57"/>
                  </w:pPr>
                  <w:r>
                    <w:t>19.2</w:t>
                  </w:r>
                </w:p>
              </w:tc>
              <w:tc>
                <w:tcPr>
                  <w:tcW w:w="467" w:type="pct"/>
                  <w:shd w:val="clear" w:color="auto" w:fill="auto"/>
                  <w:vAlign w:val="bottom"/>
                </w:tcPr>
                <w:p w:rsidR="00AC2131" w:rsidRDefault="00AC2131" w:rsidP="00AC2131">
                  <w:pPr>
                    <w:pStyle w:val="TableBodyText"/>
                    <w:spacing w:after="0"/>
                    <w:ind w:left="0" w:right="57"/>
                  </w:pPr>
                  <w:r>
                    <w:t>18.2</w:t>
                  </w:r>
                </w:p>
              </w:tc>
              <w:tc>
                <w:tcPr>
                  <w:tcW w:w="463" w:type="pct"/>
                  <w:shd w:val="clear" w:color="auto" w:fill="auto"/>
                  <w:vAlign w:val="bottom"/>
                </w:tcPr>
                <w:p w:rsidR="00AC2131" w:rsidRDefault="00AC2131" w:rsidP="00AC2131">
                  <w:pPr>
                    <w:pStyle w:val="TableBodyText"/>
                    <w:spacing w:after="0"/>
                    <w:ind w:left="0" w:right="57"/>
                  </w:pPr>
                  <w:r>
                    <w:t>17.0</w:t>
                  </w:r>
                </w:p>
              </w:tc>
            </w:tr>
            <w:tr w:rsidR="00AC2131" w:rsidTr="00AC2131">
              <w:tc>
                <w:tcPr>
                  <w:tcW w:w="2200" w:type="pct"/>
                  <w:shd w:val="clear" w:color="auto" w:fill="auto"/>
                </w:tcPr>
                <w:p w:rsidR="00AC2131" w:rsidRPr="00817CA5" w:rsidRDefault="00AC2131" w:rsidP="00AC2131">
                  <w:pPr>
                    <w:pStyle w:val="TableBodyText"/>
                    <w:spacing w:before="40" w:after="0"/>
                    <w:ind w:left="113"/>
                    <w:jc w:val="left"/>
                    <w:rPr>
                      <w:i/>
                    </w:rPr>
                  </w:pPr>
                  <w:r w:rsidRPr="00817CA5">
                    <w:rPr>
                      <w:i/>
                    </w:rPr>
                    <w:t>General R&amp;D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 xml:space="preserve">Clean Business Australia </w:t>
                  </w:r>
                  <w:r>
                    <w:rPr>
                      <w:rFonts w:ascii="Arial" w:hAnsi="Arial" w:cs="Arial"/>
                      <w:color w:val="000000"/>
                      <w:sz w:val="18"/>
                      <w:szCs w:val="18"/>
                    </w:rPr>
                    <w:t>–</w:t>
                  </w:r>
                  <w:r w:rsidRPr="00817CA5">
                    <w:rPr>
                      <w:rFonts w:ascii="Arial" w:hAnsi="Arial" w:cs="Arial"/>
                      <w:color w:val="000000"/>
                      <w:sz w:val="18"/>
                      <w:szCs w:val="18"/>
                    </w:rPr>
                    <w:t xml:space="preserve"> Climate Ready Program</w:t>
                  </w:r>
                </w:p>
              </w:tc>
              <w:tc>
                <w:tcPr>
                  <w:tcW w:w="468"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Clean Technology Innovation Program</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0.8</w:t>
                  </w:r>
                </w:p>
              </w:tc>
              <w:tc>
                <w:tcPr>
                  <w:tcW w:w="463" w:type="pct"/>
                  <w:shd w:val="clear" w:color="auto" w:fill="auto"/>
                  <w:vAlign w:val="bottom"/>
                </w:tcPr>
                <w:p w:rsidR="00AC2131" w:rsidRDefault="00AC2131" w:rsidP="00AC2131">
                  <w:pPr>
                    <w:pStyle w:val="TableBodyText"/>
                    <w:spacing w:after="0"/>
                    <w:ind w:left="0" w:right="57"/>
                  </w:pPr>
                  <w:r>
                    <w:t>1.1</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COMET Program</w:t>
                  </w:r>
                </w:p>
              </w:tc>
              <w:tc>
                <w:tcPr>
                  <w:tcW w:w="468" w:type="pct"/>
                  <w:vAlign w:val="bottom"/>
                </w:tcPr>
                <w:p w:rsidR="00AC2131" w:rsidRDefault="00AC2131" w:rsidP="00AC2131">
                  <w:pPr>
                    <w:pStyle w:val="TableBodyText"/>
                    <w:spacing w:after="0"/>
                    <w:ind w:left="0" w:right="57"/>
                  </w:pPr>
                  <w:r>
                    <w:t>1.2</w:t>
                  </w:r>
                </w:p>
              </w:tc>
              <w:tc>
                <w:tcPr>
                  <w:tcW w:w="468"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Commercial Ready Program</w:t>
                  </w:r>
                </w:p>
              </w:tc>
              <w:tc>
                <w:tcPr>
                  <w:tcW w:w="468" w:type="pct"/>
                  <w:vAlign w:val="bottom"/>
                </w:tcPr>
                <w:p w:rsidR="00AC2131" w:rsidRDefault="00AC2131" w:rsidP="00AC2131">
                  <w:pPr>
                    <w:pStyle w:val="TableBodyText"/>
                    <w:spacing w:after="0"/>
                    <w:ind w:left="0" w:right="57"/>
                  </w:pPr>
                  <w:r>
                    <w:t>1.8</w:t>
                  </w:r>
                </w:p>
              </w:tc>
              <w:tc>
                <w:tcPr>
                  <w:tcW w:w="468"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Commercialisation Australia</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2.6</w:t>
                  </w:r>
                </w:p>
              </w:tc>
              <w:tc>
                <w:tcPr>
                  <w:tcW w:w="467" w:type="pct"/>
                  <w:vAlign w:val="bottom"/>
                </w:tcPr>
                <w:p w:rsidR="00AC2131" w:rsidRDefault="00AC2131" w:rsidP="00AC2131">
                  <w:pPr>
                    <w:pStyle w:val="TableBodyText"/>
                    <w:spacing w:after="0"/>
                    <w:ind w:left="0" w:right="57"/>
                  </w:pPr>
                  <w:r>
                    <w:t>8.1</w:t>
                  </w:r>
                </w:p>
              </w:tc>
              <w:tc>
                <w:tcPr>
                  <w:tcW w:w="467" w:type="pct"/>
                  <w:shd w:val="clear" w:color="auto" w:fill="auto"/>
                  <w:vAlign w:val="bottom"/>
                </w:tcPr>
                <w:p w:rsidR="00AC2131" w:rsidRDefault="00AC2131" w:rsidP="00AC2131">
                  <w:pPr>
                    <w:pStyle w:val="TableBodyText"/>
                    <w:spacing w:after="0"/>
                    <w:ind w:left="0" w:right="57"/>
                  </w:pPr>
                  <w:r>
                    <w:t>9.3</w:t>
                  </w:r>
                </w:p>
              </w:tc>
              <w:tc>
                <w:tcPr>
                  <w:tcW w:w="463" w:type="pct"/>
                  <w:shd w:val="clear" w:color="auto" w:fill="auto"/>
                  <w:vAlign w:val="bottom"/>
                </w:tcPr>
                <w:p w:rsidR="00AC2131" w:rsidRDefault="00AC2131" w:rsidP="00AC2131">
                  <w:pPr>
                    <w:pStyle w:val="TableBodyText"/>
                    <w:spacing w:after="0"/>
                    <w:ind w:left="0" w:right="57"/>
                  </w:pPr>
                  <w:r>
                    <w:t>11.1</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Cooperative Research Centres</w:t>
                  </w:r>
                </w:p>
              </w:tc>
              <w:tc>
                <w:tcPr>
                  <w:tcW w:w="468" w:type="pct"/>
                  <w:vAlign w:val="bottom"/>
                </w:tcPr>
                <w:p w:rsidR="00AC2131" w:rsidRDefault="00AC2131" w:rsidP="00AC2131">
                  <w:pPr>
                    <w:pStyle w:val="TableBodyText"/>
                    <w:spacing w:after="0"/>
                    <w:ind w:left="0" w:right="57"/>
                  </w:pPr>
                  <w:r>
                    <w:t>4.4</w:t>
                  </w:r>
                </w:p>
              </w:tc>
              <w:tc>
                <w:tcPr>
                  <w:tcW w:w="468" w:type="pct"/>
                  <w:vAlign w:val="bottom"/>
                </w:tcPr>
                <w:p w:rsidR="00AC2131" w:rsidRDefault="00AC2131" w:rsidP="00AC2131">
                  <w:pPr>
                    <w:pStyle w:val="TableBodyText"/>
                    <w:spacing w:after="0"/>
                    <w:ind w:left="0" w:right="57"/>
                  </w:pPr>
                  <w:r>
                    <w:t>4.4</w:t>
                  </w:r>
                </w:p>
              </w:tc>
              <w:tc>
                <w:tcPr>
                  <w:tcW w:w="467" w:type="pct"/>
                  <w:vAlign w:val="bottom"/>
                </w:tcPr>
                <w:p w:rsidR="00AC2131" w:rsidRDefault="00AC2131" w:rsidP="00AC2131">
                  <w:pPr>
                    <w:pStyle w:val="TableBodyText"/>
                    <w:spacing w:after="0"/>
                    <w:ind w:left="0" w:right="57"/>
                  </w:pPr>
                  <w:r>
                    <w:t>4.4</w:t>
                  </w:r>
                </w:p>
              </w:tc>
              <w:tc>
                <w:tcPr>
                  <w:tcW w:w="467" w:type="pct"/>
                  <w:vAlign w:val="bottom"/>
                </w:tcPr>
                <w:p w:rsidR="00AC2131" w:rsidRDefault="00AC2131" w:rsidP="00AC2131">
                  <w:pPr>
                    <w:pStyle w:val="TableBodyText"/>
                    <w:spacing w:after="0"/>
                    <w:ind w:left="0" w:right="57"/>
                  </w:pPr>
                  <w:r>
                    <w:t>4.4</w:t>
                  </w:r>
                </w:p>
              </w:tc>
              <w:tc>
                <w:tcPr>
                  <w:tcW w:w="467" w:type="pct"/>
                  <w:shd w:val="clear" w:color="auto" w:fill="auto"/>
                  <w:vAlign w:val="bottom"/>
                </w:tcPr>
                <w:p w:rsidR="00AC2131" w:rsidRDefault="00AC2131" w:rsidP="00AC2131">
                  <w:pPr>
                    <w:pStyle w:val="TableBodyText"/>
                    <w:spacing w:after="0"/>
                    <w:ind w:left="0" w:right="57"/>
                  </w:pPr>
                  <w:r>
                    <w:t>4.4</w:t>
                  </w:r>
                </w:p>
              </w:tc>
              <w:tc>
                <w:tcPr>
                  <w:tcW w:w="463" w:type="pct"/>
                  <w:shd w:val="clear" w:color="auto" w:fill="auto"/>
                  <w:vAlign w:val="bottom"/>
                </w:tcPr>
                <w:p w:rsidR="00AC2131" w:rsidRDefault="00AC2131" w:rsidP="00AC2131">
                  <w:pPr>
                    <w:pStyle w:val="TableBodyText"/>
                    <w:spacing w:after="0"/>
                    <w:ind w:left="0" w:right="57"/>
                  </w:pPr>
                  <w:r>
                    <w:t>4.4</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CSIRO</w:t>
                  </w:r>
                </w:p>
              </w:tc>
              <w:tc>
                <w:tcPr>
                  <w:tcW w:w="468" w:type="pct"/>
                  <w:vAlign w:val="bottom"/>
                </w:tcPr>
                <w:p w:rsidR="00AC2131" w:rsidRDefault="00AC2131" w:rsidP="00AC2131">
                  <w:pPr>
                    <w:pStyle w:val="TableBodyText"/>
                    <w:spacing w:after="0"/>
                    <w:ind w:left="0" w:right="57"/>
                  </w:pPr>
                  <w:r>
                    <w:t>24.2</w:t>
                  </w:r>
                </w:p>
              </w:tc>
              <w:tc>
                <w:tcPr>
                  <w:tcW w:w="468" w:type="pct"/>
                  <w:vAlign w:val="bottom"/>
                </w:tcPr>
                <w:p w:rsidR="00AC2131" w:rsidRDefault="00AC2131" w:rsidP="00AC2131">
                  <w:pPr>
                    <w:pStyle w:val="TableBodyText"/>
                    <w:spacing w:after="0"/>
                    <w:ind w:left="0" w:right="57"/>
                  </w:pPr>
                  <w:r>
                    <w:t>26.1</w:t>
                  </w:r>
                </w:p>
              </w:tc>
              <w:tc>
                <w:tcPr>
                  <w:tcW w:w="467" w:type="pct"/>
                  <w:vAlign w:val="bottom"/>
                </w:tcPr>
                <w:p w:rsidR="00AC2131" w:rsidRDefault="00AC2131" w:rsidP="00AC2131">
                  <w:pPr>
                    <w:pStyle w:val="TableBodyText"/>
                    <w:spacing w:after="0"/>
                    <w:ind w:left="0" w:right="57"/>
                  </w:pPr>
                  <w:r>
                    <w:t>26.7</w:t>
                  </w:r>
                </w:p>
              </w:tc>
              <w:tc>
                <w:tcPr>
                  <w:tcW w:w="467" w:type="pct"/>
                  <w:vAlign w:val="bottom"/>
                </w:tcPr>
                <w:p w:rsidR="00AC2131" w:rsidRDefault="00AC2131" w:rsidP="00AC2131">
                  <w:pPr>
                    <w:pStyle w:val="TableBodyText"/>
                    <w:spacing w:after="0"/>
                    <w:ind w:left="0" w:right="57"/>
                  </w:pPr>
                  <w:r>
                    <w:t>12.1</w:t>
                  </w:r>
                </w:p>
              </w:tc>
              <w:tc>
                <w:tcPr>
                  <w:tcW w:w="467" w:type="pct"/>
                  <w:shd w:val="clear" w:color="auto" w:fill="auto"/>
                  <w:vAlign w:val="bottom"/>
                </w:tcPr>
                <w:p w:rsidR="00AC2131" w:rsidRDefault="00AC2131" w:rsidP="00AC2131">
                  <w:pPr>
                    <w:pStyle w:val="TableBodyText"/>
                    <w:spacing w:after="0"/>
                    <w:ind w:left="0" w:right="57"/>
                  </w:pPr>
                  <w:r>
                    <w:t>17.0</w:t>
                  </w:r>
                </w:p>
              </w:tc>
              <w:tc>
                <w:tcPr>
                  <w:tcW w:w="463" w:type="pct"/>
                  <w:shd w:val="clear" w:color="auto" w:fill="auto"/>
                  <w:vAlign w:val="bottom"/>
                </w:tcPr>
                <w:p w:rsidR="00AC2131" w:rsidRDefault="00AC2131" w:rsidP="00AC2131">
                  <w:pPr>
                    <w:pStyle w:val="TableBodyText"/>
                    <w:spacing w:after="0"/>
                    <w:ind w:left="0" w:right="57"/>
                  </w:pPr>
                  <w:r>
                    <w:t>21.9</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ICT centre of excellence</w:t>
                  </w:r>
                </w:p>
              </w:tc>
              <w:tc>
                <w:tcPr>
                  <w:tcW w:w="468" w:type="pct"/>
                  <w:vAlign w:val="bottom"/>
                </w:tcPr>
                <w:p w:rsidR="00AC2131" w:rsidRDefault="00AC2131" w:rsidP="00AC2131">
                  <w:pPr>
                    <w:pStyle w:val="TableBodyText"/>
                    <w:spacing w:after="0"/>
                    <w:ind w:left="0" w:right="57"/>
                  </w:pPr>
                  <w:r>
                    <w:t>27.3</w:t>
                  </w:r>
                </w:p>
              </w:tc>
              <w:tc>
                <w:tcPr>
                  <w:tcW w:w="468" w:type="pct"/>
                  <w:vAlign w:val="bottom"/>
                </w:tcPr>
                <w:p w:rsidR="00AC2131" w:rsidRDefault="00AC2131" w:rsidP="00AC2131">
                  <w:pPr>
                    <w:pStyle w:val="TableBodyText"/>
                    <w:spacing w:after="0"/>
                    <w:ind w:left="0" w:right="57"/>
                  </w:pPr>
                  <w:r>
                    <w:t>25.4</w:t>
                  </w:r>
                </w:p>
              </w:tc>
              <w:tc>
                <w:tcPr>
                  <w:tcW w:w="467" w:type="pct"/>
                  <w:vAlign w:val="bottom"/>
                </w:tcPr>
                <w:p w:rsidR="00AC2131" w:rsidRDefault="00AC2131" w:rsidP="00AC2131">
                  <w:pPr>
                    <w:pStyle w:val="TableBodyText"/>
                    <w:spacing w:after="0"/>
                    <w:ind w:left="0" w:right="57"/>
                  </w:pPr>
                  <w:r>
                    <w:t>25.9</w:t>
                  </w:r>
                </w:p>
              </w:tc>
              <w:tc>
                <w:tcPr>
                  <w:tcW w:w="467" w:type="pct"/>
                  <w:vAlign w:val="bottom"/>
                </w:tcPr>
                <w:p w:rsidR="00AC2131" w:rsidRDefault="00AC2131" w:rsidP="00AC2131">
                  <w:pPr>
                    <w:pStyle w:val="TableBodyText"/>
                    <w:spacing w:after="0"/>
                    <w:ind w:left="0" w:right="57"/>
                  </w:pPr>
                  <w:r>
                    <w:t>25.0</w:t>
                  </w:r>
                </w:p>
              </w:tc>
              <w:tc>
                <w:tcPr>
                  <w:tcW w:w="467" w:type="pct"/>
                  <w:shd w:val="clear" w:color="auto" w:fill="auto"/>
                  <w:vAlign w:val="bottom"/>
                </w:tcPr>
                <w:p w:rsidR="00AC2131" w:rsidRDefault="00AC2131" w:rsidP="00AC2131">
                  <w:pPr>
                    <w:pStyle w:val="TableBodyText"/>
                    <w:spacing w:after="0"/>
                    <w:ind w:left="0" w:right="57"/>
                  </w:pPr>
                  <w:r>
                    <w:t>23.8</w:t>
                  </w:r>
                </w:p>
              </w:tc>
              <w:tc>
                <w:tcPr>
                  <w:tcW w:w="463" w:type="pct"/>
                  <w:shd w:val="clear" w:color="auto" w:fill="auto"/>
                  <w:vAlign w:val="bottom"/>
                </w:tcPr>
                <w:p w:rsidR="00AC2131" w:rsidRDefault="00AC2131" w:rsidP="00AC2131">
                  <w:pPr>
                    <w:pStyle w:val="TableBodyText"/>
                    <w:spacing w:after="0"/>
                    <w:ind w:left="0" w:right="57"/>
                  </w:pPr>
                  <w:r>
                    <w:t>22.5</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Innovation Investment Fund</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3"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Premium R&amp;D tax concession</w:t>
                  </w:r>
                </w:p>
              </w:tc>
              <w:tc>
                <w:tcPr>
                  <w:tcW w:w="468" w:type="pct"/>
                  <w:vAlign w:val="bottom"/>
                </w:tcPr>
                <w:p w:rsidR="00AC2131" w:rsidRDefault="00AC2131" w:rsidP="00AC2131">
                  <w:pPr>
                    <w:pStyle w:val="TableBodyText"/>
                    <w:spacing w:after="0"/>
                    <w:ind w:left="0" w:right="57"/>
                  </w:pPr>
                  <w:r>
                    <w:t>2.2</w:t>
                  </w:r>
                </w:p>
              </w:tc>
              <w:tc>
                <w:tcPr>
                  <w:tcW w:w="468" w:type="pct"/>
                  <w:vAlign w:val="bottom"/>
                </w:tcPr>
                <w:p w:rsidR="00AC2131" w:rsidRDefault="00AC2131" w:rsidP="00AC2131">
                  <w:pPr>
                    <w:pStyle w:val="TableBodyText"/>
                    <w:spacing w:after="0"/>
                    <w:ind w:left="0" w:right="57"/>
                  </w:pPr>
                  <w:r>
                    <w:t>6.2</w:t>
                  </w:r>
                </w:p>
              </w:tc>
              <w:tc>
                <w:tcPr>
                  <w:tcW w:w="467" w:type="pct"/>
                  <w:vAlign w:val="bottom"/>
                </w:tcPr>
                <w:p w:rsidR="00AC2131" w:rsidRDefault="00AC2131" w:rsidP="00AC2131">
                  <w:pPr>
                    <w:pStyle w:val="TableBodyText"/>
                    <w:spacing w:after="0"/>
                    <w:ind w:left="0" w:right="57"/>
                  </w:pPr>
                  <w:r>
                    <w:t>5.3</w:t>
                  </w:r>
                </w:p>
              </w:tc>
              <w:tc>
                <w:tcPr>
                  <w:tcW w:w="467" w:type="pct"/>
                  <w:vAlign w:val="bottom"/>
                </w:tcPr>
                <w:p w:rsidR="00AC2131" w:rsidRDefault="00AC2131" w:rsidP="00AC2131">
                  <w:pPr>
                    <w:pStyle w:val="TableBodyText"/>
                    <w:spacing w:after="0"/>
                    <w:ind w:left="0" w:right="57"/>
                  </w:pPr>
                  <w:r>
                    <w:t>28.9</w:t>
                  </w:r>
                </w:p>
              </w:tc>
              <w:tc>
                <w:tcPr>
                  <w:tcW w:w="467" w:type="pct"/>
                  <w:shd w:val="clear" w:color="auto" w:fill="auto"/>
                  <w:vAlign w:val="bottom"/>
                </w:tcPr>
                <w:p w:rsidR="00AC2131" w:rsidRDefault="00AC2131" w:rsidP="00AC2131">
                  <w:pPr>
                    <w:pStyle w:val="TableBodyText"/>
                    <w:spacing w:after="0"/>
                    <w:ind w:left="0" w:right="57"/>
                  </w:pPr>
                  <w:r>
                    <w:t>7.9</w:t>
                  </w:r>
                </w:p>
              </w:tc>
              <w:tc>
                <w:tcPr>
                  <w:tcW w:w="463" w:type="pct"/>
                  <w:shd w:val="clear" w:color="auto" w:fill="auto"/>
                  <w:vAlign w:val="bottom"/>
                </w:tcPr>
                <w:p w:rsidR="00AC2131" w:rsidRDefault="00AC2131" w:rsidP="00AC2131">
                  <w:pPr>
                    <w:pStyle w:val="TableBodyText"/>
                    <w:spacing w:after="0"/>
                    <w:ind w:left="0" w:right="57"/>
                  </w:pPr>
                  <w:r>
                    <w:t>3.3</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Pr>
                      <w:rFonts w:ascii="Arial" w:hAnsi="Arial" w:cs="Arial"/>
                      <w:color w:val="000000"/>
                      <w:sz w:val="18"/>
                      <w:szCs w:val="18"/>
                    </w:rPr>
                    <w:t>Pre-seed fund</w:t>
                  </w:r>
                </w:p>
              </w:tc>
              <w:tc>
                <w:tcPr>
                  <w:tcW w:w="468" w:type="pct"/>
                  <w:vAlign w:val="bottom"/>
                </w:tcPr>
                <w:p w:rsidR="00AC2131" w:rsidRDefault="00AC2131" w:rsidP="00AC2131">
                  <w:pPr>
                    <w:pStyle w:val="TableBodyText"/>
                    <w:spacing w:after="0"/>
                    <w:ind w:left="0" w:right="57"/>
                  </w:pPr>
                  <w:r>
                    <w:t>0.7</w:t>
                  </w:r>
                </w:p>
              </w:tc>
              <w:tc>
                <w:tcPr>
                  <w:tcW w:w="468"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R&amp;D tax concession</w:t>
                  </w:r>
                </w:p>
              </w:tc>
              <w:tc>
                <w:tcPr>
                  <w:tcW w:w="468" w:type="pct"/>
                  <w:vAlign w:val="bottom"/>
                </w:tcPr>
                <w:p w:rsidR="00AC2131" w:rsidRDefault="00AC2131" w:rsidP="00AC2131">
                  <w:pPr>
                    <w:pStyle w:val="TableBodyText"/>
                    <w:spacing w:after="0"/>
                    <w:ind w:left="0" w:right="57"/>
                  </w:pPr>
                  <w:r>
                    <w:t>21.2</w:t>
                  </w:r>
                </w:p>
              </w:tc>
              <w:tc>
                <w:tcPr>
                  <w:tcW w:w="468" w:type="pct"/>
                  <w:vAlign w:val="bottom"/>
                </w:tcPr>
                <w:p w:rsidR="00AC2131" w:rsidRDefault="00AC2131" w:rsidP="00AC2131">
                  <w:pPr>
                    <w:pStyle w:val="TableBodyText"/>
                    <w:spacing w:after="0"/>
                    <w:ind w:left="0" w:right="57"/>
                  </w:pPr>
                  <w:r>
                    <w:t>33.9</w:t>
                  </w:r>
                </w:p>
              </w:tc>
              <w:tc>
                <w:tcPr>
                  <w:tcW w:w="467" w:type="pct"/>
                  <w:vAlign w:val="bottom"/>
                </w:tcPr>
                <w:p w:rsidR="00AC2131" w:rsidRDefault="00AC2131" w:rsidP="00AC2131">
                  <w:pPr>
                    <w:pStyle w:val="TableBodyText"/>
                    <w:spacing w:after="0"/>
                    <w:ind w:left="0" w:right="57"/>
                  </w:pPr>
                  <w:r>
                    <w:t>33.9</w:t>
                  </w:r>
                </w:p>
              </w:tc>
              <w:tc>
                <w:tcPr>
                  <w:tcW w:w="467" w:type="pct"/>
                  <w:vAlign w:val="bottom"/>
                </w:tcPr>
                <w:p w:rsidR="00AC2131" w:rsidRDefault="00AC2131" w:rsidP="00AC2131">
                  <w:pPr>
                    <w:pStyle w:val="TableBodyText"/>
                    <w:spacing w:after="0"/>
                    <w:ind w:left="0" w:right="57"/>
                  </w:pPr>
                  <w:r>
                    <w:t>39.2</w:t>
                  </w:r>
                </w:p>
              </w:tc>
              <w:tc>
                <w:tcPr>
                  <w:tcW w:w="467" w:type="pct"/>
                  <w:shd w:val="clear" w:color="auto" w:fill="auto"/>
                  <w:vAlign w:val="bottom"/>
                </w:tcPr>
                <w:p w:rsidR="00AC2131" w:rsidRDefault="00AC2131" w:rsidP="00AC2131">
                  <w:pPr>
                    <w:pStyle w:val="TableBodyText"/>
                    <w:spacing w:after="0"/>
                    <w:ind w:left="0" w:right="57"/>
                  </w:pPr>
                  <w:r>
                    <w:t>17.5</w:t>
                  </w:r>
                </w:p>
              </w:tc>
              <w:tc>
                <w:tcPr>
                  <w:tcW w:w="463" w:type="pct"/>
                  <w:shd w:val="clear" w:color="auto" w:fill="auto"/>
                  <w:vAlign w:val="bottom"/>
                </w:tcPr>
                <w:p w:rsidR="00AC2131" w:rsidRDefault="00AC2131" w:rsidP="00AC2131">
                  <w:pPr>
                    <w:pStyle w:val="TableBodyText"/>
                    <w:spacing w:after="0"/>
                    <w:ind w:left="0" w:right="57"/>
                  </w:pPr>
                  <w:r>
                    <w:t>5.9</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-7.9</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60.6</w:t>
                  </w:r>
                </w:p>
              </w:tc>
              <w:tc>
                <w:tcPr>
                  <w:tcW w:w="463" w:type="pct"/>
                  <w:shd w:val="clear" w:color="auto" w:fill="auto"/>
                  <w:vAlign w:val="bottom"/>
                </w:tcPr>
                <w:p w:rsidR="00AC2131" w:rsidRDefault="00AC2131" w:rsidP="00AC2131">
                  <w:pPr>
                    <w:pStyle w:val="TableBodyText"/>
                    <w:spacing w:after="0"/>
                    <w:ind w:left="0" w:right="57"/>
                  </w:pPr>
                  <w:r>
                    <w:t>5.6</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14.7</w:t>
                  </w:r>
                </w:p>
              </w:tc>
              <w:tc>
                <w:tcPr>
                  <w:tcW w:w="463" w:type="pct"/>
                  <w:shd w:val="clear" w:color="auto" w:fill="auto"/>
                  <w:vAlign w:val="bottom"/>
                </w:tcPr>
                <w:p w:rsidR="00AC2131" w:rsidRDefault="00AC2131" w:rsidP="00AC2131">
                  <w:pPr>
                    <w:pStyle w:val="TableBodyText"/>
                    <w:spacing w:after="0"/>
                    <w:ind w:left="0" w:right="57"/>
                  </w:pPr>
                  <w:r>
                    <w:t>26.3</w:t>
                  </w:r>
                </w:p>
              </w:tc>
            </w:tr>
            <w:tr w:rsidR="00AC2131" w:rsidTr="00AC2131">
              <w:tc>
                <w:tcPr>
                  <w:tcW w:w="2200" w:type="pct"/>
                  <w:tcBorders>
                    <w:bottom w:val="single" w:sz="6" w:space="0" w:color="BFBFBF"/>
                  </w:tcBorders>
                  <w:shd w:val="clear" w:color="auto" w:fill="auto"/>
                  <w:vAlign w:val="bottom"/>
                </w:tcPr>
                <w:p w:rsidR="00AC2131" w:rsidRPr="00817CA5"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8" w:type="pct"/>
                  <w:tcBorders>
                    <w:bottom w:val="single" w:sz="6" w:space="0" w:color="BFBFBF"/>
                  </w:tcBorders>
                  <w:vAlign w:val="bottom"/>
                </w:tcPr>
                <w:p w:rsidR="00AC2131" w:rsidRDefault="00AC2131" w:rsidP="00AC2131">
                  <w:pPr>
                    <w:pStyle w:val="TableBodyText"/>
                    <w:spacing w:after="0"/>
                    <w:ind w:left="0" w:right="57"/>
                  </w:pPr>
                  <w:r>
                    <w:t>23.2</w:t>
                  </w:r>
                </w:p>
              </w:tc>
              <w:tc>
                <w:tcPr>
                  <w:tcW w:w="468" w:type="pct"/>
                  <w:tcBorders>
                    <w:bottom w:val="single" w:sz="6" w:space="0" w:color="BFBFBF"/>
                  </w:tcBorders>
                  <w:vAlign w:val="bottom"/>
                </w:tcPr>
                <w:p w:rsidR="00AC2131" w:rsidRDefault="00AC2131" w:rsidP="00AC2131">
                  <w:pPr>
                    <w:pStyle w:val="TableBodyText"/>
                    <w:spacing w:after="0"/>
                    <w:ind w:left="0" w:right="57"/>
                  </w:pPr>
                  <w:r>
                    <w:t>24.1</w:t>
                  </w:r>
                </w:p>
              </w:tc>
              <w:tc>
                <w:tcPr>
                  <w:tcW w:w="467" w:type="pct"/>
                  <w:tcBorders>
                    <w:bottom w:val="single" w:sz="6" w:space="0" w:color="BFBFBF"/>
                  </w:tcBorders>
                  <w:vAlign w:val="bottom"/>
                </w:tcPr>
                <w:p w:rsidR="00AC2131" w:rsidRDefault="00AC2131" w:rsidP="00AC2131">
                  <w:pPr>
                    <w:pStyle w:val="TableBodyText"/>
                    <w:spacing w:after="0"/>
                    <w:ind w:left="0" w:right="57"/>
                  </w:pPr>
                  <w:r>
                    <w:t>16.8</w:t>
                  </w:r>
                </w:p>
              </w:tc>
              <w:tc>
                <w:tcPr>
                  <w:tcW w:w="467" w:type="pct"/>
                  <w:tcBorders>
                    <w:bottom w:val="single" w:sz="6" w:space="0" w:color="BFBFBF"/>
                  </w:tcBorders>
                  <w:vAlign w:val="bottom"/>
                </w:tcPr>
                <w:p w:rsidR="00AC2131" w:rsidRDefault="00AC2131" w:rsidP="00AC2131">
                  <w:pPr>
                    <w:pStyle w:val="TableBodyText"/>
                    <w:spacing w:after="0"/>
                    <w:ind w:left="0" w:right="57"/>
                  </w:pPr>
                  <w:r>
                    <w:t>18.9</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3"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640"/>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796"/>
              <w:gridCol w:w="796"/>
              <w:gridCol w:w="794"/>
              <w:gridCol w:w="794"/>
              <w:gridCol w:w="794"/>
              <w:gridCol w:w="788"/>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8"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8"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3"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shd w:val="clear" w:color="auto" w:fill="auto"/>
                </w:tcPr>
                <w:p w:rsidR="00AC2131" w:rsidRPr="00817CA5" w:rsidRDefault="00AC2131" w:rsidP="00AC2131">
                  <w:pPr>
                    <w:pStyle w:val="TableBodyText"/>
                    <w:spacing w:before="40" w:after="0"/>
                    <w:ind w:left="113"/>
                    <w:jc w:val="left"/>
                    <w:rPr>
                      <w:i/>
                    </w:rPr>
                  </w:pPr>
                  <w:r w:rsidRPr="00817CA5">
                    <w:rPr>
                      <w:i/>
                    </w:rPr>
                    <w:t>Other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25 per cent entrepreneurs' tax offset</w:t>
                  </w:r>
                </w:p>
              </w:tc>
              <w:tc>
                <w:tcPr>
                  <w:tcW w:w="468" w:type="pct"/>
                  <w:vAlign w:val="bottom"/>
                </w:tcPr>
                <w:p w:rsidR="00AC2131" w:rsidRDefault="00AC2131" w:rsidP="00AC2131">
                  <w:pPr>
                    <w:pStyle w:val="TableBodyText"/>
                    <w:spacing w:after="0"/>
                    <w:ind w:left="0" w:right="57"/>
                  </w:pPr>
                  <w:r>
                    <w:t>1.5</w:t>
                  </w:r>
                </w:p>
              </w:tc>
              <w:tc>
                <w:tcPr>
                  <w:tcW w:w="468"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1.4</w:t>
                  </w:r>
                </w:p>
              </w:tc>
              <w:tc>
                <w:tcPr>
                  <w:tcW w:w="467" w:type="pct"/>
                  <w:shd w:val="clear" w:color="auto" w:fill="auto"/>
                  <w:vAlign w:val="bottom"/>
                </w:tcPr>
                <w:p w:rsidR="00AC2131" w:rsidRDefault="00AC2131" w:rsidP="00AC2131">
                  <w:pPr>
                    <w:pStyle w:val="TableBodyText"/>
                    <w:spacing w:after="0"/>
                    <w:ind w:left="0" w:right="57"/>
                  </w:pPr>
                  <w:r>
                    <w:t>3.0</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Enterprise Connect Innovation Centres</w:t>
                  </w:r>
                </w:p>
              </w:tc>
              <w:tc>
                <w:tcPr>
                  <w:tcW w:w="468" w:type="pct"/>
                  <w:vAlign w:val="bottom"/>
                </w:tcPr>
                <w:p w:rsidR="00AC2131" w:rsidRDefault="00AC2131" w:rsidP="00AC2131">
                  <w:pPr>
                    <w:pStyle w:val="TableBodyText"/>
                    <w:spacing w:after="0"/>
                    <w:ind w:left="0" w:right="57"/>
                  </w:pPr>
                  <w:r>
                    <w:t>0.1</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3"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Illawarra Region Innovation and Investment Fund</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0.1</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Industry Cooperative Innovation Program</w:t>
                  </w:r>
                </w:p>
              </w:tc>
              <w:tc>
                <w:tcPr>
                  <w:tcW w:w="468" w:type="pct"/>
                  <w:vAlign w:val="bottom"/>
                </w:tcPr>
                <w:p w:rsidR="00AC2131" w:rsidRDefault="00AC2131" w:rsidP="00AC2131">
                  <w:pPr>
                    <w:pStyle w:val="TableBodyText"/>
                    <w:spacing w:after="0"/>
                    <w:ind w:left="0" w:right="57"/>
                  </w:pPr>
                  <w:r>
                    <w:t>0.5</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Innovation Investment Fund for South Australia</w:t>
                  </w:r>
                </w:p>
              </w:tc>
              <w:tc>
                <w:tcPr>
                  <w:tcW w:w="468" w:type="pct"/>
                  <w:vAlign w:val="bottom"/>
                </w:tcPr>
                <w:p w:rsidR="00AC2131" w:rsidRDefault="00AC2131" w:rsidP="00AC2131">
                  <w:pPr>
                    <w:pStyle w:val="TableBodyText"/>
                    <w:spacing w:after="0"/>
                    <w:ind w:left="0" w:right="57"/>
                  </w:pPr>
                  <w:r>
                    <w:t>0.9</w:t>
                  </w:r>
                </w:p>
              </w:tc>
              <w:tc>
                <w:tcPr>
                  <w:tcW w:w="468"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North West and Northern Tasmania Innovation and Investment Fund</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8" w:type="pct"/>
                  <w:vAlign w:val="bottom"/>
                </w:tcPr>
                <w:p w:rsidR="00AC2131" w:rsidRDefault="00AC2131" w:rsidP="00AC2131">
                  <w:pPr>
                    <w:pStyle w:val="TableBodyText"/>
                    <w:spacing w:after="0"/>
                    <w:ind w:left="0" w:right="57"/>
                  </w:pPr>
                  <w:r>
                    <w:t>0.5</w:t>
                  </w:r>
                </w:p>
              </w:tc>
              <w:tc>
                <w:tcPr>
                  <w:tcW w:w="468"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-0.4</w:t>
                  </w:r>
                </w:p>
              </w:tc>
              <w:tc>
                <w:tcPr>
                  <w:tcW w:w="463" w:type="pct"/>
                  <w:shd w:val="clear" w:color="auto" w:fill="auto"/>
                  <w:vAlign w:val="bottom"/>
                </w:tcPr>
                <w:p w:rsidR="00AC2131" w:rsidRDefault="00AC2131" w:rsidP="00AC2131">
                  <w:pPr>
                    <w:pStyle w:val="TableBodyText"/>
                    <w:spacing w:after="0"/>
                    <w:ind w:left="0" w:right="57"/>
                  </w:pPr>
                  <w:r>
                    <w:t>12.4</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 xml:space="preserve">Small business </w:t>
                  </w:r>
                  <w:r>
                    <w:rPr>
                      <w:rFonts w:ascii="Arial" w:hAnsi="Arial" w:cs="Arial"/>
                      <w:color w:val="000000"/>
                      <w:sz w:val="18"/>
                      <w:szCs w:val="18"/>
                    </w:rPr>
                    <w:t>capital gains tax</w:t>
                  </w:r>
                  <w:r w:rsidRPr="00817CA5">
                    <w:rPr>
                      <w:rFonts w:ascii="Arial" w:hAnsi="Arial" w:cs="Arial"/>
                      <w:color w:val="000000"/>
                      <w:sz w:val="18"/>
                      <w:szCs w:val="18"/>
                    </w:rPr>
                    <w:t xml:space="preserve"> 50 per cent reduction</w:t>
                  </w:r>
                </w:p>
              </w:tc>
              <w:tc>
                <w:tcPr>
                  <w:tcW w:w="468" w:type="pct"/>
                  <w:vAlign w:val="bottom"/>
                </w:tcPr>
                <w:p w:rsidR="00AC2131" w:rsidRDefault="00AC2131" w:rsidP="00AC2131">
                  <w:pPr>
                    <w:pStyle w:val="TableBodyText"/>
                    <w:spacing w:after="0"/>
                    <w:ind w:left="0" w:right="57"/>
                  </w:pPr>
                  <w:r>
                    <w:t>3.1</w:t>
                  </w:r>
                </w:p>
              </w:tc>
              <w:tc>
                <w:tcPr>
                  <w:tcW w:w="468" w:type="pct"/>
                  <w:vAlign w:val="bottom"/>
                </w:tcPr>
                <w:p w:rsidR="00AC2131" w:rsidRDefault="00AC2131" w:rsidP="00AC2131">
                  <w:pPr>
                    <w:pStyle w:val="TableBodyText"/>
                    <w:spacing w:after="0"/>
                    <w:ind w:left="0" w:right="57"/>
                  </w:pPr>
                  <w:r>
                    <w:t>3.5</w:t>
                  </w:r>
                </w:p>
              </w:tc>
              <w:tc>
                <w:tcPr>
                  <w:tcW w:w="467" w:type="pct"/>
                  <w:vAlign w:val="bottom"/>
                </w:tcPr>
                <w:p w:rsidR="00AC2131" w:rsidRDefault="00AC2131" w:rsidP="00AC2131">
                  <w:pPr>
                    <w:pStyle w:val="TableBodyText"/>
                    <w:spacing w:after="0"/>
                    <w:ind w:left="0" w:right="57"/>
                  </w:pPr>
                  <w:r>
                    <w:t>3.3</w:t>
                  </w:r>
                </w:p>
              </w:tc>
              <w:tc>
                <w:tcPr>
                  <w:tcW w:w="467" w:type="pct"/>
                  <w:vAlign w:val="bottom"/>
                </w:tcPr>
                <w:p w:rsidR="00AC2131" w:rsidRDefault="00AC2131" w:rsidP="00AC2131">
                  <w:pPr>
                    <w:pStyle w:val="TableBodyText"/>
                    <w:spacing w:after="0"/>
                    <w:ind w:left="0" w:right="57"/>
                  </w:pPr>
                  <w:r>
                    <w:t>1.4</w:t>
                  </w:r>
                </w:p>
              </w:tc>
              <w:tc>
                <w:tcPr>
                  <w:tcW w:w="467" w:type="pct"/>
                  <w:shd w:val="clear" w:color="auto" w:fill="auto"/>
                  <w:vAlign w:val="bottom"/>
                </w:tcPr>
                <w:p w:rsidR="00AC2131" w:rsidRDefault="00AC2131" w:rsidP="00AC2131">
                  <w:pPr>
                    <w:pStyle w:val="TableBodyText"/>
                    <w:spacing w:after="0"/>
                    <w:ind w:left="0" w:right="57"/>
                  </w:pPr>
                  <w:r>
                    <w:t>1.4</w:t>
                  </w:r>
                </w:p>
              </w:tc>
              <w:tc>
                <w:tcPr>
                  <w:tcW w:w="463" w:type="pct"/>
                  <w:shd w:val="clear" w:color="auto" w:fill="auto"/>
                  <w:vAlign w:val="bottom"/>
                </w:tcPr>
                <w:p w:rsidR="00AC2131" w:rsidRDefault="00AC2131" w:rsidP="00AC2131">
                  <w:pPr>
                    <w:pStyle w:val="TableBodyText"/>
                    <w:spacing w:after="0"/>
                    <w:ind w:left="0" w:right="57"/>
                  </w:pPr>
                  <w:r>
                    <w:t>1.5</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 xml:space="preserve">Small business </w:t>
                  </w:r>
                  <w:r>
                    <w:rPr>
                      <w:rFonts w:ascii="Arial" w:hAnsi="Arial" w:cs="Arial"/>
                      <w:color w:val="000000"/>
                      <w:sz w:val="18"/>
                      <w:szCs w:val="18"/>
                    </w:rPr>
                    <w:t>capital gains tax</w:t>
                  </w:r>
                  <w:r w:rsidRPr="00817CA5">
                    <w:rPr>
                      <w:rFonts w:ascii="Arial" w:hAnsi="Arial" w:cs="Arial"/>
                      <w:color w:val="000000"/>
                      <w:sz w:val="18"/>
                      <w:szCs w:val="18"/>
                    </w:rPr>
                    <w:t xml:space="preserve"> retirement exemption</w:t>
                  </w:r>
                </w:p>
              </w:tc>
              <w:tc>
                <w:tcPr>
                  <w:tcW w:w="468"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 xml:space="preserve">Small business </w:t>
                  </w:r>
                  <w:r>
                    <w:rPr>
                      <w:rFonts w:ascii="Arial" w:hAnsi="Arial" w:cs="Arial"/>
                      <w:color w:val="000000"/>
                      <w:sz w:val="18"/>
                      <w:szCs w:val="18"/>
                    </w:rPr>
                    <w:t>capital gains tax</w:t>
                  </w:r>
                  <w:r w:rsidRPr="00817CA5">
                    <w:rPr>
                      <w:rFonts w:ascii="Arial" w:hAnsi="Arial" w:cs="Arial"/>
                      <w:color w:val="000000"/>
                      <w:sz w:val="18"/>
                      <w:szCs w:val="18"/>
                    </w:rPr>
                    <w:t xml:space="preserve"> rollover deferral</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17CA5" w:rsidRDefault="00AC2131" w:rsidP="00AC2131">
                  <w:pPr>
                    <w:ind w:left="227"/>
                    <w:rPr>
                      <w:rFonts w:ascii="Arial" w:hAnsi="Arial" w:cs="Arial"/>
                      <w:color w:val="000000"/>
                      <w:sz w:val="18"/>
                      <w:szCs w:val="18"/>
                    </w:rPr>
                  </w:pPr>
                  <w:r w:rsidRPr="00817CA5">
                    <w:rPr>
                      <w:rFonts w:ascii="Arial" w:hAnsi="Arial" w:cs="Arial"/>
                      <w:color w:val="000000"/>
                      <w:sz w:val="18"/>
                      <w:szCs w:val="18"/>
                    </w:rPr>
                    <w:t>The Small Business and General Business Tax Break</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50.9</w:t>
                  </w:r>
                </w:p>
              </w:tc>
              <w:tc>
                <w:tcPr>
                  <w:tcW w:w="467" w:type="pct"/>
                  <w:vAlign w:val="bottom"/>
                </w:tcPr>
                <w:p w:rsidR="00AC2131" w:rsidRDefault="00AC2131" w:rsidP="00AC2131">
                  <w:pPr>
                    <w:pStyle w:val="TableBodyText"/>
                    <w:spacing w:after="0"/>
                    <w:ind w:left="0" w:right="57"/>
                  </w:pPr>
                  <w:r>
                    <w:t>75.0</w:t>
                  </w:r>
                </w:p>
              </w:tc>
              <w:tc>
                <w:tcPr>
                  <w:tcW w:w="467" w:type="pct"/>
                  <w:vAlign w:val="bottom"/>
                </w:tcPr>
                <w:p w:rsidR="00AC2131" w:rsidRDefault="00AC2131" w:rsidP="00AC2131">
                  <w:pPr>
                    <w:pStyle w:val="TableBodyText"/>
                    <w:spacing w:after="0"/>
                    <w:ind w:left="0" w:right="57"/>
                  </w:pPr>
                  <w:r>
                    <w:t>3.5</w:t>
                  </w:r>
                </w:p>
              </w:tc>
              <w:tc>
                <w:tcPr>
                  <w:tcW w:w="467" w:type="pct"/>
                  <w:shd w:val="clear" w:color="auto" w:fill="auto"/>
                  <w:vAlign w:val="bottom"/>
                </w:tcPr>
                <w:p w:rsidR="00AC2131" w:rsidRDefault="00AC2131" w:rsidP="00AC2131">
                  <w:pPr>
                    <w:pStyle w:val="TableBodyText"/>
                    <w:spacing w:after="0"/>
                    <w:ind w:left="0" w:right="57"/>
                  </w:pPr>
                  <w:r>
                    <w:t>1.2</w:t>
                  </w:r>
                </w:p>
              </w:tc>
              <w:tc>
                <w:tcPr>
                  <w:tcW w:w="463"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tcPr>
                <w:p w:rsidR="00AC2131" w:rsidRPr="00817CA5" w:rsidRDefault="00AC2131" w:rsidP="00AC2131">
                  <w:pPr>
                    <w:pStyle w:val="TableBodyText"/>
                    <w:spacing w:before="20" w:after="20"/>
                    <w:jc w:val="left"/>
                    <w:rPr>
                      <w:i/>
                    </w:rPr>
                  </w:pPr>
                  <w:r w:rsidRPr="00817CA5">
                    <w:rPr>
                      <w:i/>
                    </w:rPr>
                    <w:t>Total</w:t>
                  </w:r>
                </w:p>
              </w:tc>
              <w:tc>
                <w:tcPr>
                  <w:tcW w:w="468" w:type="pct"/>
                  <w:vAlign w:val="bottom"/>
                </w:tcPr>
                <w:p w:rsidR="00AC2131" w:rsidRPr="009E1F45" w:rsidRDefault="00AC2131" w:rsidP="00AC2131">
                  <w:pPr>
                    <w:pStyle w:val="TableBodyText"/>
                    <w:spacing w:before="20" w:after="20"/>
                    <w:ind w:left="0" w:right="57"/>
                    <w:rPr>
                      <w:i/>
                    </w:rPr>
                  </w:pPr>
                  <w:r w:rsidRPr="009E1F45">
                    <w:rPr>
                      <w:i/>
                    </w:rPr>
                    <w:t>141.2</w:t>
                  </w:r>
                </w:p>
              </w:tc>
              <w:tc>
                <w:tcPr>
                  <w:tcW w:w="468" w:type="pct"/>
                  <w:vAlign w:val="bottom"/>
                </w:tcPr>
                <w:p w:rsidR="00AC2131" w:rsidRPr="009E1F45" w:rsidRDefault="00AC2131" w:rsidP="00AC2131">
                  <w:pPr>
                    <w:pStyle w:val="TableBodyText"/>
                    <w:spacing w:before="20" w:after="20"/>
                    <w:ind w:left="0" w:right="57"/>
                    <w:rPr>
                      <w:i/>
                    </w:rPr>
                  </w:pPr>
                  <w:r w:rsidRPr="009E1F45">
                    <w:rPr>
                      <w:i/>
                    </w:rPr>
                    <w:t>209.4</w:t>
                  </w:r>
                </w:p>
              </w:tc>
              <w:tc>
                <w:tcPr>
                  <w:tcW w:w="467" w:type="pct"/>
                  <w:vAlign w:val="bottom"/>
                </w:tcPr>
                <w:p w:rsidR="00AC2131" w:rsidRPr="009E1F45" w:rsidRDefault="00AC2131" w:rsidP="00AC2131">
                  <w:pPr>
                    <w:pStyle w:val="TableBodyText"/>
                    <w:spacing w:before="20" w:after="20"/>
                    <w:ind w:left="0" w:right="57"/>
                    <w:rPr>
                      <w:i/>
                    </w:rPr>
                  </w:pPr>
                  <w:r w:rsidRPr="009E1F45">
                    <w:rPr>
                      <w:i/>
                    </w:rPr>
                    <w:t>263.2</w:t>
                  </w:r>
                </w:p>
              </w:tc>
              <w:tc>
                <w:tcPr>
                  <w:tcW w:w="467" w:type="pct"/>
                  <w:vAlign w:val="bottom"/>
                </w:tcPr>
                <w:p w:rsidR="00AC2131" w:rsidRPr="009E1F45" w:rsidRDefault="00AC2131" w:rsidP="00AC2131">
                  <w:pPr>
                    <w:pStyle w:val="TableBodyText"/>
                    <w:spacing w:before="20" w:after="20"/>
                    <w:ind w:left="0" w:right="57"/>
                    <w:rPr>
                      <w:i/>
                    </w:rPr>
                  </w:pPr>
                  <w:r w:rsidRPr="009E1F45">
                    <w:rPr>
                      <w:i/>
                    </w:rPr>
                    <w:t>293.6</w:t>
                  </w:r>
                </w:p>
              </w:tc>
              <w:tc>
                <w:tcPr>
                  <w:tcW w:w="467" w:type="pct"/>
                  <w:shd w:val="clear" w:color="auto" w:fill="auto"/>
                  <w:vAlign w:val="bottom"/>
                </w:tcPr>
                <w:p w:rsidR="00AC2131" w:rsidRPr="009E1F45" w:rsidRDefault="00AC2131" w:rsidP="00AC2131">
                  <w:pPr>
                    <w:pStyle w:val="TableBodyText"/>
                    <w:spacing w:before="20" w:after="20"/>
                    <w:ind w:left="0" w:right="57"/>
                    <w:rPr>
                      <w:i/>
                    </w:rPr>
                  </w:pPr>
                  <w:r w:rsidRPr="009E1F45">
                    <w:rPr>
                      <w:i/>
                    </w:rPr>
                    <w:t>354.7</w:t>
                  </w:r>
                </w:p>
              </w:tc>
              <w:tc>
                <w:tcPr>
                  <w:tcW w:w="463" w:type="pct"/>
                  <w:shd w:val="clear" w:color="auto" w:fill="auto"/>
                  <w:vAlign w:val="bottom"/>
                </w:tcPr>
                <w:p w:rsidR="00AC2131" w:rsidRPr="009E1F45" w:rsidRDefault="00AC2131" w:rsidP="00AC2131">
                  <w:pPr>
                    <w:pStyle w:val="TableBodyText"/>
                    <w:spacing w:before="20" w:after="20"/>
                    <w:ind w:left="0" w:right="57"/>
                    <w:rPr>
                      <w:i/>
                    </w:rPr>
                  </w:pPr>
                  <w:r w:rsidRPr="009E1F45">
                    <w:rPr>
                      <w:i/>
                    </w:rPr>
                    <w:t>148.5</w:t>
                  </w:r>
                </w:p>
              </w:tc>
            </w:tr>
            <w:tr w:rsidR="00AC2131" w:rsidTr="00AC2131">
              <w:tc>
                <w:tcPr>
                  <w:tcW w:w="2200" w:type="pct"/>
                </w:tcPr>
                <w:p w:rsidR="00AC2131" w:rsidRPr="00D63BAC" w:rsidRDefault="00AC2131" w:rsidP="00AC2131">
                  <w:pPr>
                    <w:pStyle w:val="TableUnitsRow"/>
                    <w:jc w:val="left"/>
                    <w:rPr>
                      <w:b/>
                    </w:rPr>
                  </w:pPr>
                  <w:r w:rsidRPr="00D63BAC">
                    <w:rPr>
                      <w:b/>
                    </w:rPr>
                    <w:t>Financial and insurance services</w:t>
                  </w:r>
                </w:p>
              </w:tc>
              <w:tc>
                <w:tcPr>
                  <w:tcW w:w="468" w:type="pct"/>
                </w:tcPr>
                <w:p w:rsidR="00AC2131" w:rsidRDefault="00AC2131" w:rsidP="00AC2131">
                  <w:pPr>
                    <w:pStyle w:val="TableUnitsRow"/>
                  </w:pPr>
                </w:p>
              </w:tc>
              <w:tc>
                <w:tcPr>
                  <w:tcW w:w="468" w:type="pct"/>
                </w:tcPr>
                <w:p w:rsidR="00AC2131" w:rsidRDefault="00AC2131" w:rsidP="00AC2131">
                  <w:pPr>
                    <w:pStyle w:val="TableUnitsRow"/>
                  </w:pPr>
                </w:p>
              </w:tc>
              <w:tc>
                <w:tcPr>
                  <w:tcW w:w="467" w:type="pct"/>
                </w:tcPr>
                <w:p w:rsidR="00AC2131" w:rsidRDefault="00AC2131" w:rsidP="00AC2131">
                  <w:pPr>
                    <w:pStyle w:val="TableUnitsRow"/>
                  </w:pPr>
                </w:p>
              </w:tc>
              <w:tc>
                <w:tcPr>
                  <w:tcW w:w="467" w:type="pct"/>
                </w:tcPr>
                <w:p w:rsidR="00AC2131" w:rsidRDefault="00AC2131" w:rsidP="00AC2131">
                  <w:pPr>
                    <w:pStyle w:val="TableUnitsRow"/>
                  </w:pPr>
                </w:p>
              </w:tc>
              <w:tc>
                <w:tcPr>
                  <w:tcW w:w="467" w:type="pct"/>
                </w:tcPr>
                <w:p w:rsidR="00AC2131" w:rsidRDefault="00AC2131" w:rsidP="00AC2131">
                  <w:pPr>
                    <w:pStyle w:val="TableUnitsRow"/>
                  </w:pPr>
                </w:p>
              </w:tc>
              <w:tc>
                <w:tcPr>
                  <w:tcW w:w="463" w:type="pct"/>
                </w:tcPr>
                <w:p w:rsidR="00AC2131" w:rsidRDefault="00AC2131" w:rsidP="00AC2131">
                  <w:pPr>
                    <w:pStyle w:val="TableUnitsRow"/>
                    <w:ind w:right="28"/>
                  </w:pPr>
                </w:p>
              </w:tc>
            </w:tr>
            <w:tr w:rsidR="00AC2131" w:rsidTr="00AC2131">
              <w:tc>
                <w:tcPr>
                  <w:tcW w:w="2200" w:type="pct"/>
                </w:tcPr>
                <w:p w:rsidR="00AC2131" w:rsidRPr="00D63BAC" w:rsidRDefault="00AC2131" w:rsidP="00AC2131">
                  <w:pPr>
                    <w:pStyle w:val="TableBodyText"/>
                    <w:spacing w:before="40" w:after="0"/>
                    <w:ind w:left="113"/>
                    <w:jc w:val="left"/>
                    <w:rPr>
                      <w:i/>
                    </w:rPr>
                  </w:pPr>
                  <w:r w:rsidRPr="00D63BAC">
                    <w:rPr>
                      <w:i/>
                    </w:rPr>
                    <w:t>Industry-specific measures</w:t>
                  </w:r>
                </w:p>
              </w:tc>
              <w:tc>
                <w:tcPr>
                  <w:tcW w:w="468" w:type="pct"/>
                  <w:vAlign w:val="bottom"/>
                </w:tcPr>
                <w:p w:rsidR="00AC2131" w:rsidRDefault="00AC2131" w:rsidP="00AC2131">
                  <w:pPr>
                    <w:spacing w:before="40"/>
                    <w:ind w:left="113"/>
                    <w:jc w:val="right"/>
                    <w:rPr>
                      <w:rFonts w:ascii="Arial" w:hAnsi="Arial" w:cs="Arial"/>
                      <w:sz w:val="18"/>
                      <w:szCs w:val="18"/>
                    </w:rPr>
                  </w:pPr>
                </w:p>
              </w:tc>
              <w:tc>
                <w:tcPr>
                  <w:tcW w:w="468"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3" w:type="pct"/>
                  <w:vAlign w:val="bottom"/>
                </w:tcPr>
                <w:p w:rsidR="00AC2131" w:rsidRDefault="00AC2131" w:rsidP="00AC2131">
                  <w:pPr>
                    <w:spacing w:before="40"/>
                    <w:ind w:left="113"/>
                    <w:jc w:val="right"/>
                    <w:rPr>
                      <w:rFonts w:ascii="Arial" w:hAnsi="Arial" w:cs="Arial"/>
                      <w:sz w:val="18"/>
                      <w:szCs w:val="18"/>
                    </w:rPr>
                  </w:pP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High Costs Claims Scheme</w:t>
                  </w:r>
                </w:p>
              </w:tc>
              <w:tc>
                <w:tcPr>
                  <w:tcW w:w="468" w:type="pct"/>
                  <w:vAlign w:val="bottom"/>
                </w:tcPr>
                <w:p w:rsidR="00AC2131" w:rsidRDefault="00AC2131" w:rsidP="00AC2131">
                  <w:pPr>
                    <w:pStyle w:val="TableBodyText"/>
                    <w:spacing w:after="0"/>
                    <w:ind w:left="0" w:right="57"/>
                  </w:pPr>
                  <w:r>
                    <w:t>19.5</w:t>
                  </w:r>
                </w:p>
              </w:tc>
              <w:tc>
                <w:tcPr>
                  <w:tcW w:w="468" w:type="pct"/>
                  <w:vAlign w:val="bottom"/>
                </w:tcPr>
                <w:p w:rsidR="00AC2131" w:rsidRDefault="00AC2131" w:rsidP="00AC2131">
                  <w:pPr>
                    <w:pStyle w:val="TableBodyText"/>
                    <w:spacing w:after="0"/>
                    <w:ind w:left="0" w:right="57"/>
                  </w:pPr>
                  <w:r>
                    <w:t>21.4</w:t>
                  </w:r>
                </w:p>
              </w:tc>
              <w:tc>
                <w:tcPr>
                  <w:tcW w:w="467" w:type="pct"/>
                  <w:vAlign w:val="bottom"/>
                </w:tcPr>
                <w:p w:rsidR="00AC2131" w:rsidRDefault="00AC2131" w:rsidP="00AC2131">
                  <w:pPr>
                    <w:pStyle w:val="TableBodyText"/>
                    <w:spacing w:after="0"/>
                    <w:ind w:left="0" w:right="57"/>
                  </w:pPr>
                  <w:r>
                    <w:t>24.5</w:t>
                  </w:r>
                </w:p>
              </w:tc>
              <w:tc>
                <w:tcPr>
                  <w:tcW w:w="467" w:type="pct"/>
                  <w:vAlign w:val="bottom"/>
                </w:tcPr>
                <w:p w:rsidR="00AC2131" w:rsidRDefault="00AC2131" w:rsidP="00AC2131">
                  <w:pPr>
                    <w:pStyle w:val="TableBodyText"/>
                    <w:spacing w:after="0"/>
                    <w:ind w:left="0" w:right="57"/>
                  </w:pPr>
                  <w:r>
                    <w:t>20.3</w:t>
                  </w:r>
                </w:p>
              </w:tc>
              <w:tc>
                <w:tcPr>
                  <w:tcW w:w="467" w:type="pct"/>
                  <w:shd w:val="clear" w:color="auto" w:fill="auto"/>
                  <w:vAlign w:val="bottom"/>
                </w:tcPr>
                <w:p w:rsidR="00AC2131" w:rsidRDefault="00AC2131" w:rsidP="00AC2131">
                  <w:pPr>
                    <w:pStyle w:val="TableBodyText"/>
                    <w:spacing w:after="0"/>
                    <w:ind w:left="0" w:right="57"/>
                  </w:pPr>
                  <w:r>
                    <w:t>33.4</w:t>
                  </w:r>
                </w:p>
              </w:tc>
              <w:tc>
                <w:tcPr>
                  <w:tcW w:w="463" w:type="pct"/>
                  <w:shd w:val="clear" w:color="auto" w:fill="auto"/>
                  <w:vAlign w:val="bottom"/>
                </w:tcPr>
                <w:p w:rsidR="00AC2131" w:rsidRDefault="00AC2131" w:rsidP="00AC2131">
                  <w:pPr>
                    <w:pStyle w:val="TableBodyText"/>
                    <w:spacing w:after="0"/>
                    <w:ind w:left="0" w:right="57"/>
                  </w:pPr>
                  <w:r>
                    <w:t>30.1</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 xml:space="preserve">Offshore </w:t>
                  </w:r>
                  <w:r>
                    <w:rPr>
                      <w:rFonts w:ascii="Arial" w:hAnsi="Arial" w:cs="Arial"/>
                      <w:color w:val="000000"/>
                      <w:sz w:val="18"/>
                      <w:szCs w:val="18"/>
                    </w:rPr>
                    <w:t>B</w:t>
                  </w:r>
                  <w:r w:rsidRPr="00D63BAC">
                    <w:rPr>
                      <w:rFonts w:ascii="Arial" w:hAnsi="Arial" w:cs="Arial"/>
                      <w:color w:val="000000"/>
                      <w:sz w:val="18"/>
                      <w:szCs w:val="18"/>
                    </w:rPr>
                    <w:t xml:space="preserve">anking </w:t>
                  </w:r>
                  <w:r>
                    <w:rPr>
                      <w:rFonts w:ascii="Arial" w:hAnsi="Arial" w:cs="Arial"/>
                      <w:color w:val="000000"/>
                      <w:sz w:val="18"/>
                      <w:szCs w:val="18"/>
                    </w:rPr>
                    <w:t>U</w:t>
                  </w:r>
                  <w:r w:rsidRPr="00D63BAC">
                    <w:rPr>
                      <w:rFonts w:ascii="Arial" w:hAnsi="Arial" w:cs="Arial"/>
                      <w:color w:val="000000"/>
                      <w:sz w:val="18"/>
                      <w:szCs w:val="18"/>
                    </w:rPr>
                    <w:t xml:space="preserve">nit </w:t>
                  </w:r>
                  <w:r>
                    <w:rPr>
                      <w:rFonts w:ascii="Arial" w:hAnsi="Arial" w:cs="Arial"/>
                      <w:color w:val="000000"/>
                      <w:sz w:val="18"/>
                      <w:szCs w:val="18"/>
                    </w:rPr>
                    <w:t>T</w:t>
                  </w:r>
                  <w:r w:rsidRPr="00D63BAC">
                    <w:rPr>
                      <w:rFonts w:ascii="Arial" w:hAnsi="Arial" w:cs="Arial"/>
                      <w:color w:val="000000"/>
                      <w:sz w:val="18"/>
                      <w:szCs w:val="18"/>
                    </w:rPr>
                    <w:t xml:space="preserve">ax </w:t>
                  </w:r>
                  <w:r>
                    <w:rPr>
                      <w:rFonts w:ascii="Arial" w:hAnsi="Arial" w:cs="Arial"/>
                      <w:color w:val="000000"/>
                      <w:sz w:val="18"/>
                      <w:szCs w:val="18"/>
                    </w:rPr>
                    <w:t>C</w:t>
                  </w:r>
                  <w:r w:rsidRPr="00D63BAC">
                    <w:rPr>
                      <w:rFonts w:ascii="Arial" w:hAnsi="Arial" w:cs="Arial"/>
                      <w:color w:val="000000"/>
                      <w:sz w:val="18"/>
                      <w:szCs w:val="18"/>
                    </w:rPr>
                    <w:t>oncession</w:t>
                  </w:r>
                </w:p>
              </w:tc>
              <w:tc>
                <w:tcPr>
                  <w:tcW w:w="468" w:type="pct"/>
                  <w:vAlign w:val="bottom"/>
                </w:tcPr>
                <w:p w:rsidR="00AC2131" w:rsidRDefault="00AC2131" w:rsidP="00AC2131">
                  <w:pPr>
                    <w:pStyle w:val="TableBodyText"/>
                    <w:spacing w:after="0"/>
                    <w:ind w:left="0" w:right="57"/>
                  </w:pPr>
                  <w:r>
                    <w:t>265.0</w:t>
                  </w:r>
                </w:p>
              </w:tc>
              <w:tc>
                <w:tcPr>
                  <w:tcW w:w="468" w:type="pct"/>
                  <w:vAlign w:val="bottom"/>
                </w:tcPr>
                <w:p w:rsidR="00AC2131" w:rsidRDefault="00AC2131" w:rsidP="00AC2131">
                  <w:pPr>
                    <w:pStyle w:val="TableBodyText"/>
                    <w:spacing w:after="0"/>
                    <w:ind w:left="0" w:right="57"/>
                  </w:pPr>
                  <w:r>
                    <w:t>245.0</w:t>
                  </w:r>
                </w:p>
              </w:tc>
              <w:tc>
                <w:tcPr>
                  <w:tcW w:w="467" w:type="pct"/>
                  <w:vAlign w:val="bottom"/>
                </w:tcPr>
                <w:p w:rsidR="00AC2131" w:rsidRDefault="00AC2131" w:rsidP="00AC2131">
                  <w:pPr>
                    <w:pStyle w:val="TableBodyText"/>
                    <w:spacing w:after="0"/>
                    <w:ind w:left="0" w:right="57"/>
                  </w:pPr>
                  <w:r>
                    <w:t>180.0</w:t>
                  </w:r>
                </w:p>
              </w:tc>
              <w:tc>
                <w:tcPr>
                  <w:tcW w:w="467" w:type="pct"/>
                  <w:vAlign w:val="bottom"/>
                </w:tcPr>
                <w:p w:rsidR="00AC2131" w:rsidRDefault="00AC2131" w:rsidP="00AC2131">
                  <w:pPr>
                    <w:pStyle w:val="TableBodyText"/>
                    <w:spacing w:after="0"/>
                    <w:ind w:left="0" w:right="57"/>
                  </w:pPr>
                  <w:r>
                    <w:t>145.0</w:t>
                  </w:r>
                </w:p>
              </w:tc>
              <w:tc>
                <w:tcPr>
                  <w:tcW w:w="467" w:type="pct"/>
                  <w:shd w:val="clear" w:color="auto" w:fill="auto"/>
                  <w:vAlign w:val="bottom"/>
                </w:tcPr>
                <w:p w:rsidR="00AC2131" w:rsidRDefault="00AC2131" w:rsidP="00AC2131">
                  <w:pPr>
                    <w:pStyle w:val="TableBodyText"/>
                    <w:spacing w:after="0"/>
                    <w:ind w:left="0" w:right="57"/>
                  </w:pPr>
                  <w:r>
                    <w:t>185.0</w:t>
                  </w:r>
                </w:p>
              </w:tc>
              <w:tc>
                <w:tcPr>
                  <w:tcW w:w="463" w:type="pct"/>
                  <w:shd w:val="clear" w:color="auto" w:fill="auto"/>
                  <w:vAlign w:val="bottom"/>
                </w:tcPr>
                <w:p w:rsidR="00AC2131" w:rsidRDefault="00AC2131" w:rsidP="00AC2131">
                  <w:pPr>
                    <w:pStyle w:val="TableBodyText"/>
                    <w:spacing w:after="0"/>
                    <w:ind w:left="0" w:right="57"/>
                  </w:pPr>
                  <w:r>
                    <w:t>185.0</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TCF Small Business Program</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Pr>
                      <w:rFonts w:ascii="Arial" w:hAnsi="Arial" w:cs="Arial"/>
                      <w:color w:val="000000"/>
                      <w:sz w:val="18"/>
                      <w:szCs w:val="18"/>
                    </w:rPr>
                    <w:t>Venture Capital Limited Partnerships</w:t>
                  </w:r>
                </w:p>
              </w:tc>
              <w:tc>
                <w:tcPr>
                  <w:tcW w:w="468" w:type="pct"/>
                  <w:vAlign w:val="bottom"/>
                </w:tcPr>
                <w:p w:rsidR="00AC2131" w:rsidRDefault="00AC2131" w:rsidP="00AC2131">
                  <w:pPr>
                    <w:pStyle w:val="TableBodyText"/>
                    <w:spacing w:after="0"/>
                    <w:ind w:left="0" w:right="57"/>
                  </w:pPr>
                  <w:r>
                    <w:t>11.5</w:t>
                  </w:r>
                </w:p>
              </w:tc>
              <w:tc>
                <w:tcPr>
                  <w:tcW w:w="468" w:type="pct"/>
                  <w:vAlign w:val="bottom"/>
                </w:tcPr>
                <w:p w:rsidR="00AC2131" w:rsidRDefault="00AC2131" w:rsidP="00AC2131">
                  <w:pPr>
                    <w:pStyle w:val="TableBodyText"/>
                    <w:spacing w:after="0"/>
                    <w:ind w:left="0" w:right="57"/>
                  </w:pPr>
                  <w:r>
                    <w:t>11.5</w:t>
                  </w:r>
                </w:p>
              </w:tc>
              <w:tc>
                <w:tcPr>
                  <w:tcW w:w="467" w:type="pct"/>
                  <w:vAlign w:val="bottom"/>
                </w:tcPr>
                <w:p w:rsidR="00AC2131" w:rsidRDefault="00AC2131" w:rsidP="00AC2131">
                  <w:pPr>
                    <w:pStyle w:val="TableBodyText"/>
                    <w:spacing w:after="0"/>
                    <w:ind w:left="0" w:right="57"/>
                  </w:pPr>
                  <w:r>
                    <w:t>11.5</w:t>
                  </w:r>
                </w:p>
              </w:tc>
              <w:tc>
                <w:tcPr>
                  <w:tcW w:w="467" w:type="pct"/>
                  <w:vAlign w:val="bottom"/>
                </w:tcPr>
                <w:p w:rsidR="00AC2131" w:rsidRDefault="00AC2131" w:rsidP="00AC2131">
                  <w:pPr>
                    <w:pStyle w:val="TableBodyText"/>
                    <w:spacing w:after="0"/>
                    <w:ind w:left="0" w:right="57"/>
                  </w:pPr>
                  <w:r>
                    <w:t>11.5</w:t>
                  </w:r>
                </w:p>
              </w:tc>
              <w:tc>
                <w:tcPr>
                  <w:tcW w:w="467" w:type="pct"/>
                  <w:shd w:val="clear" w:color="auto" w:fill="auto"/>
                  <w:vAlign w:val="bottom"/>
                </w:tcPr>
                <w:p w:rsidR="00AC2131" w:rsidRDefault="00AC2131" w:rsidP="00AC2131">
                  <w:pPr>
                    <w:pStyle w:val="TableBodyText"/>
                    <w:spacing w:after="0"/>
                    <w:ind w:left="0" w:right="57"/>
                  </w:pPr>
                  <w:r>
                    <w:t>11.5</w:t>
                  </w:r>
                </w:p>
              </w:tc>
              <w:tc>
                <w:tcPr>
                  <w:tcW w:w="463" w:type="pct"/>
                  <w:shd w:val="clear" w:color="auto" w:fill="auto"/>
                  <w:vAlign w:val="bottom"/>
                </w:tcPr>
                <w:p w:rsidR="00AC2131" w:rsidRDefault="00AC2131" w:rsidP="00AC2131">
                  <w:pPr>
                    <w:pStyle w:val="TableBodyText"/>
                    <w:spacing w:after="0"/>
                    <w:ind w:left="0" w:right="57"/>
                  </w:pPr>
                  <w:r>
                    <w:t>11.5</w:t>
                  </w:r>
                </w:p>
              </w:tc>
            </w:tr>
            <w:tr w:rsidR="00AC2131" w:rsidTr="00AC2131">
              <w:tc>
                <w:tcPr>
                  <w:tcW w:w="2200" w:type="pct"/>
                  <w:shd w:val="clear" w:color="auto" w:fill="auto"/>
                </w:tcPr>
                <w:p w:rsidR="00AC2131" w:rsidRPr="00D63BAC" w:rsidRDefault="00AC2131" w:rsidP="00AC2131">
                  <w:pPr>
                    <w:pStyle w:val="TableBodyText"/>
                    <w:spacing w:before="40" w:after="0"/>
                    <w:ind w:left="113"/>
                    <w:jc w:val="left"/>
                    <w:rPr>
                      <w:i/>
                    </w:rPr>
                  </w:pPr>
                  <w:r w:rsidRPr="00D63BAC">
                    <w:rPr>
                      <w:i/>
                    </w:rPr>
                    <w:t>General export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Export Market Development Grants Scheme</w:t>
                  </w:r>
                </w:p>
              </w:tc>
              <w:tc>
                <w:tcPr>
                  <w:tcW w:w="468" w:type="pct"/>
                  <w:vAlign w:val="bottom"/>
                </w:tcPr>
                <w:p w:rsidR="00AC2131" w:rsidRDefault="00AC2131" w:rsidP="00AC2131">
                  <w:pPr>
                    <w:pStyle w:val="TableBodyText"/>
                    <w:spacing w:after="0"/>
                    <w:ind w:left="0" w:right="57"/>
                  </w:pPr>
                  <w:r>
                    <w:t>0.9</w:t>
                  </w:r>
                </w:p>
              </w:tc>
              <w:tc>
                <w:tcPr>
                  <w:tcW w:w="468"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0.8</w:t>
                  </w:r>
                </w:p>
              </w:tc>
              <w:tc>
                <w:tcPr>
                  <w:tcW w:w="463" w:type="pct"/>
                  <w:shd w:val="clear" w:color="auto" w:fill="auto"/>
                  <w:vAlign w:val="bottom"/>
                </w:tcPr>
                <w:p w:rsidR="00AC2131" w:rsidRDefault="00AC2131" w:rsidP="00AC2131">
                  <w:pPr>
                    <w:pStyle w:val="TableBodyText"/>
                    <w:spacing w:after="0"/>
                    <w:ind w:left="0" w:right="57"/>
                  </w:pPr>
                  <w:r>
                    <w:t>1.1</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TRADEX</w:t>
                  </w:r>
                </w:p>
              </w:tc>
              <w:tc>
                <w:tcPr>
                  <w:tcW w:w="468" w:type="pct"/>
                  <w:vAlign w:val="bottom"/>
                </w:tcPr>
                <w:p w:rsidR="00AC2131" w:rsidRDefault="00AC2131" w:rsidP="00AC2131">
                  <w:pPr>
                    <w:pStyle w:val="TableBodyText"/>
                    <w:spacing w:after="0"/>
                    <w:ind w:left="0" w:right="57"/>
                  </w:pPr>
                  <w:r>
                    <w:t>&lt;0.1</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&lt;0.1</w:t>
                  </w:r>
                </w:p>
              </w:tc>
              <w:tc>
                <w:tcPr>
                  <w:tcW w:w="463"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tcPr>
                <w:p w:rsidR="00AC2131" w:rsidRPr="00D63BAC" w:rsidRDefault="00AC2131" w:rsidP="00AC2131">
                  <w:pPr>
                    <w:pStyle w:val="TableBodyText"/>
                    <w:spacing w:before="40" w:after="0"/>
                    <w:ind w:left="113"/>
                    <w:jc w:val="left"/>
                    <w:rPr>
                      <w:i/>
                    </w:rPr>
                  </w:pPr>
                  <w:r w:rsidRPr="00D63BAC">
                    <w:rPr>
                      <w:i/>
                    </w:rPr>
                    <w:t>General investment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spacing w:after="0"/>
                    <w:ind w:left="227" w:right="0"/>
                    <w:jc w:val="left"/>
                  </w:pPr>
                  <w:r>
                    <w:t>Infrastructure borrowing’s tax offset scheme</w:t>
                  </w:r>
                </w:p>
              </w:tc>
              <w:tc>
                <w:tcPr>
                  <w:tcW w:w="468" w:type="pct"/>
                  <w:vAlign w:val="bottom"/>
                </w:tcPr>
                <w:p w:rsidR="00AC2131" w:rsidRDefault="00AC2131" w:rsidP="00AC2131">
                  <w:pPr>
                    <w:pStyle w:val="TableBodyText"/>
                    <w:spacing w:after="0"/>
                    <w:ind w:left="0" w:right="57"/>
                  </w:pPr>
                  <w:r>
                    <w:t>0.1</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D63BAC" w:rsidRDefault="00AC2131" w:rsidP="00AC2131">
                  <w:pPr>
                    <w:pStyle w:val="TableBodyText"/>
                    <w:spacing w:before="40" w:after="0"/>
                    <w:ind w:left="113"/>
                    <w:jc w:val="left"/>
                    <w:rPr>
                      <w:i/>
                    </w:rPr>
                  </w:pPr>
                  <w:r w:rsidRPr="00D63BAC">
                    <w:rPr>
                      <w:i/>
                    </w:rPr>
                    <w:t>General R&amp;D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COMET Program</w:t>
                  </w:r>
                </w:p>
              </w:tc>
              <w:tc>
                <w:tcPr>
                  <w:tcW w:w="468" w:type="pct"/>
                  <w:vAlign w:val="bottom"/>
                </w:tcPr>
                <w:p w:rsidR="00AC2131" w:rsidRDefault="00AC2131" w:rsidP="00AC2131">
                  <w:pPr>
                    <w:pStyle w:val="TableBodyText"/>
                    <w:spacing w:after="0"/>
                    <w:ind w:left="0" w:right="57"/>
                  </w:pPr>
                  <w:r>
                    <w:t>0.2</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Commercialisation Australia</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1.1</w:t>
                  </w:r>
                </w:p>
              </w:tc>
              <w:tc>
                <w:tcPr>
                  <w:tcW w:w="463" w:type="pct"/>
                  <w:shd w:val="clear" w:color="auto" w:fill="auto"/>
                  <w:vAlign w:val="bottom"/>
                </w:tcPr>
                <w:p w:rsidR="00AC2131" w:rsidRDefault="00AC2131" w:rsidP="00AC2131">
                  <w:pPr>
                    <w:pStyle w:val="TableBodyText"/>
                    <w:spacing w:after="0"/>
                    <w:ind w:left="0" w:right="57"/>
                  </w:pPr>
                  <w:r>
                    <w:t>1.2</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CSIRO</w:t>
                  </w:r>
                </w:p>
              </w:tc>
              <w:tc>
                <w:tcPr>
                  <w:tcW w:w="468" w:type="pct"/>
                  <w:vAlign w:val="bottom"/>
                </w:tcPr>
                <w:p w:rsidR="00AC2131" w:rsidRDefault="00AC2131" w:rsidP="00AC2131">
                  <w:pPr>
                    <w:pStyle w:val="TableBodyText"/>
                    <w:spacing w:after="0"/>
                    <w:ind w:left="0" w:right="57"/>
                  </w:pPr>
                  <w:r>
                    <w:t>0.7</w:t>
                  </w:r>
                </w:p>
              </w:tc>
              <w:tc>
                <w:tcPr>
                  <w:tcW w:w="468"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2.2</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2.3</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Innovation Investment Fund</w:t>
                  </w:r>
                </w:p>
              </w:tc>
              <w:tc>
                <w:tcPr>
                  <w:tcW w:w="468" w:type="pct"/>
                  <w:vAlign w:val="bottom"/>
                </w:tcPr>
                <w:p w:rsidR="00AC2131" w:rsidRDefault="00AC2131" w:rsidP="00AC2131">
                  <w:pPr>
                    <w:pStyle w:val="TableBodyText"/>
                    <w:spacing w:after="0"/>
                    <w:ind w:left="0" w:right="57"/>
                  </w:pPr>
                  <w:r>
                    <w:t>1.9</w:t>
                  </w:r>
                </w:p>
              </w:tc>
              <w:tc>
                <w:tcPr>
                  <w:tcW w:w="468" w:type="pct"/>
                  <w:vAlign w:val="bottom"/>
                </w:tcPr>
                <w:p w:rsidR="00AC2131" w:rsidRDefault="00AC2131" w:rsidP="00AC2131">
                  <w:pPr>
                    <w:pStyle w:val="TableBodyText"/>
                    <w:spacing w:after="0"/>
                    <w:ind w:left="0" w:right="57"/>
                  </w:pPr>
                  <w:r>
                    <w:t>3.0</w:t>
                  </w:r>
                </w:p>
              </w:tc>
              <w:tc>
                <w:tcPr>
                  <w:tcW w:w="467" w:type="pct"/>
                  <w:vAlign w:val="bottom"/>
                </w:tcPr>
                <w:p w:rsidR="00AC2131" w:rsidRDefault="00AC2131" w:rsidP="00AC2131">
                  <w:pPr>
                    <w:pStyle w:val="TableBodyText"/>
                    <w:spacing w:after="0"/>
                    <w:ind w:left="0" w:right="57"/>
                  </w:pPr>
                  <w:r>
                    <w:t>5.3</w:t>
                  </w:r>
                </w:p>
              </w:tc>
              <w:tc>
                <w:tcPr>
                  <w:tcW w:w="467" w:type="pct"/>
                  <w:vAlign w:val="bottom"/>
                </w:tcPr>
                <w:p w:rsidR="00AC2131" w:rsidRDefault="00AC2131" w:rsidP="00AC2131">
                  <w:pPr>
                    <w:pStyle w:val="TableBodyText"/>
                    <w:spacing w:after="0"/>
                    <w:ind w:left="0" w:right="57"/>
                  </w:pPr>
                  <w:r>
                    <w:t>6.9</w:t>
                  </w:r>
                </w:p>
              </w:tc>
              <w:tc>
                <w:tcPr>
                  <w:tcW w:w="467" w:type="pct"/>
                  <w:shd w:val="clear" w:color="auto" w:fill="auto"/>
                  <w:vAlign w:val="bottom"/>
                </w:tcPr>
                <w:p w:rsidR="00AC2131" w:rsidRDefault="00AC2131" w:rsidP="00AC2131">
                  <w:pPr>
                    <w:pStyle w:val="TableBodyText"/>
                    <w:spacing w:after="0"/>
                    <w:ind w:left="0" w:right="57"/>
                  </w:pPr>
                  <w:r>
                    <w:t>8.1</w:t>
                  </w:r>
                </w:p>
              </w:tc>
              <w:tc>
                <w:tcPr>
                  <w:tcW w:w="463" w:type="pct"/>
                  <w:shd w:val="clear" w:color="auto" w:fill="auto"/>
                  <w:vAlign w:val="bottom"/>
                </w:tcPr>
                <w:p w:rsidR="00AC2131" w:rsidRDefault="00AC2131" w:rsidP="00AC2131">
                  <w:pPr>
                    <w:pStyle w:val="TableBodyText"/>
                    <w:spacing w:after="0"/>
                    <w:ind w:left="0" w:right="57"/>
                  </w:pPr>
                  <w:r>
                    <w:t>9.5</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Premium R&amp;D tax concession</w:t>
                  </w:r>
                </w:p>
              </w:tc>
              <w:tc>
                <w:tcPr>
                  <w:tcW w:w="468" w:type="pct"/>
                  <w:vAlign w:val="bottom"/>
                </w:tcPr>
                <w:p w:rsidR="00AC2131" w:rsidRDefault="00AC2131" w:rsidP="00AC2131">
                  <w:pPr>
                    <w:pStyle w:val="TableBodyText"/>
                    <w:spacing w:after="0"/>
                    <w:ind w:left="0" w:right="57"/>
                  </w:pPr>
                  <w:r>
                    <w:t>68.1</w:t>
                  </w:r>
                </w:p>
              </w:tc>
              <w:tc>
                <w:tcPr>
                  <w:tcW w:w="468" w:type="pct"/>
                  <w:vAlign w:val="bottom"/>
                </w:tcPr>
                <w:p w:rsidR="00AC2131" w:rsidRDefault="00AC2131" w:rsidP="00AC2131">
                  <w:pPr>
                    <w:pStyle w:val="TableBodyText"/>
                    <w:spacing w:after="0"/>
                    <w:ind w:left="0" w:right="57"/>
                  </w:pPr>
                  <w:r>
                    <w:t>81.0</w:t>
                  </w:r>
                </w:p>
              </w:tc>
              <w:tc>
                <w:tcPr>
                  <w:tcW w:w="467" w:type="pct"/>
                  <w:vAlign w:val="bottom"/>
                </w:tcPr>
                <w:p w:rsidR="00AC2131" w:rsidRDefault="00AC2131" w:rsidP="00AC2131">
                  <w:pPr>
                    <w:pStyle w:val="TableBodyText"/>
                    <w:spacing w:after="0"/>
                    <w:ind w:left="0" w:right="57"/>
                  </w:pPr>
                  <w:r>
                    <w:t>69.6</w:t>
                  </w:r>
                </w:p>
              </w:tc>
              <w:tc>
                <w:tcPr>
                  <w:tcW w:w="467" w:type="pct"/>
                  <w:vAlign w:val="bottom"/>
                </w:tcPr>
                <w:p w:rsidR="00AC2131" w:rsidRDefault="00AC2131" w:rsidP="00AC2131">
                  <w:pPr>
                    <w:pStyle w:val="TableBodyText"/>
                    <w:spacing w:after="0"/>
                    <w:ind w:left="0" w:right="57"/>
                  </w:pPr>
                  <w:r>
                    <w:t>71.7</w:t>
                  </w:r>
                </w:p>
              </w:tc>
              <w:tc>
                <w:tcPr>
                  <w:tcW w:w="467" w:type="pct"/>
                  <w:shd w:val="clear" w:color="auto" w:fill="auto"/>
                  <w:vAlign w:val="bottom"/>
                </w:tcPr>
                <w:p w:rsidR="00AC2131" w:rsidRDefault="00AC2131" w:rsidP="00AC2131">
                  <w:pPr>
                    <w:pStyle w:val="TableBodyText"/>
                    <w:spacing w:after="0"/>
                    <w:ind w:left="0" w:right="57"/>
                  </w:pPr>
                  <w:r>
                    <w:t>19.6</w:t>
                  </w:r>
                </w:p>
              </w:tc>
              <w:tc>
                <w:tcPr>
                  <w:tcW w:w="463" w:type="pct"/>
                  <w:shd w:val="clear" w:color="auto" w:fill="auto"/>
                  <w:vAlign w:val="bottom"/>
                </w:tcPr>
                <w:p w:rsidR="00AC2131" w:rsidRDefault="00AC2131" w:rsidP="00AC2131">
                  <w:pPr>
                    <w:pStyle w:val="TableBodyText"/>
                    <w:spacing w:after="0"/>
                    <w:ind w:left="0" w:right="57"/>
                  </w:pPr>
                  <w:r>
                    <w:t>8.1</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Pr>
                      <w:rFonts w:ascii="Arial" w:hAnsi="Arial" w:cs="Arial"/>
                      <w:color w:val="000000"/>
                      <w:sz w:val="18"/>
                      <w:szCs w:val="18"/>
                    </w:rPr>
                    <w:t>Pre-seed fund</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R&amp;D tax concession</w:t>
                  </w:r>
                </w:p>
              </w:tc>
              <w:tc>
                <w:tcPr>
                  <w:tcW w:w="468" w:type="pct"/>
                  <w:vAlign w:val="bottom"/>
                </w:tcPr>
                <w:p w:rsidR="00AC2131" w:rsidRDefault="00AC2131" w:rsidP="00AC2131">
                  <w:pPr>
                    <w:pStyle w:val="TableBodyText"/>
                    <w:spacing w:after="0"/>
                    <w:ind w:left="0" w:right="57"/>
                  </w:pPr>
                  <w:r>
                    <w:t>95.6</w:t>
                  </w:r>
                </w:p>
              </w:tc>
              <w:tc>
                <w:tcPr>
                  <w:tcW w:w="468" w:type="pct"/>
                  <w:vAlign w:val="bottom"/>
                </w:tcPr>
                <w:p w:rsidR="00AC2131" w:rsidRDefault="00AC2131" w:rsidP="00AC2131">
                  <w:pPr>
                    <w:pStyle w:val="TableBodyText"/>
                    <w:spacing w:after="0"/>
                    <w:ind w:left="0" w:right="57"/>
                  </w:pPr>
                  <w:r>
                    <w:t>158.7</w:t>
                  </w:r>
                </w:p>
              </w:tc>
              <w:tc>
                <w:tcPr>
                  <w:tcW w:w="467" w:type="pct"/>
                  <w:vAlign w:val="bottom"/>
                </w:tcPr>
                <w:p w:rsidR="00AC2131" w:rsidRDefault="00AC2131" w:rsidP="00AC2131">
                  <w:pPr>
                    <w:pStyle w:val="TableBodyText"/>
                    <w:spacing w:after="0"/>
                    <w:ind w:left="0" w:right="57"/>
                  </w:pPr>
                  <w:r>
                    <w:t>158.7</w:t>
                  </w:r>
                </w:p>
              </w:tc>
              <w:tc>
                <w:tcPr>
                  <w:tcW w:w="467" w:type="pct"/>
                  <w:vAlign w:val="bottom"/>
                </w:tcPr>
                <w:p w:rsidR="00AC2131" w:rsidRDefault="00AC2131" w:rsidP="00AC2131">
                  <w:pPr>
                    <w:pStyle w:val="TableBodyText"/>
                    <w:spacing w:after="0"/>
                    <w:ind w:left="0" w:right="57"/>
                  </w:pPr>
                  <w:r>
                    <w:t>182.5</w:t>
                  </w:r>
                </w:p>
              </w:tc>
              <w:tc>
                <w:tcPr>
                  <w:tcW w:w="467" w:type="pct"/>
                  <w:shd w:val="clear" w:color="auto" w:fill="auto"/>
                  <w:vAlign w:val="bottom"/>
                </w:tcPr>
                <w:p w:rsidR="00AC2131" w:rsidRDefault="00AC2131" w:rsidP="00AC2131">
                  <w:pPr>
                    <w:pStyle w:val="TableBodyText"/>
                    <w:spacing w:after="0"/>
                    <w:ind w:left="0" w:right="57"/>
                  </w:pPr>
                  <w:r>
                    <w:t>81.5</w:t>
                  </w:r>
                </w:p>
              </w:tc>
              <w:tc>
                <w:tcPr>
                  <w:tcW w:w="463" w:type="pct"/>
                  <w:shd w:val="clear" w:color="auto" w:fill="auto"/>
                  <w:vAlign w:val="bottom"/>
                </w:tcPr>
                <w:p w:rsidR="00AC2131" w:rsidRDefault="00AC2131" w:rsidP="00AC2131">
                  <w:pPr>
                    <w:pStyle w:val="TableBodyText"/>
                    <w:spacing w:after="0"/>
                    <w:ind w:left="0" w:right="57"/>
                  </w:pPr>
                  <w:r>
                    <w:t>27.7</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-44.8</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176.0</w:t>
                  </w:r>
                </w:p>
              </w:tc>
              <w:tc>
                <w:tcPr>
                  <w:tcW w:w="463" w:type="pct"/>
                  <w:shd w:val="clear" w:color="auto" w:fill="auto"/>
                  <w:vAlign w:val="bottom"/>
                </w:tcPr>
                <w:p w:rsidR="00AC2131" w:rsidRDefault="00AC2131" w:rsidP="00AC2131">
                  <w:pPr>
                    <w:pStyle w:val="TableBodyText"/>
                    <w:spacing w:after="0"/>
                    <w:ind w:left="0" w:right="57"/>
                  </w:pPr>
                  <w:r>
                    <w:t>182.5</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82.9</w:t>
                  </w:r>
                </w:p>
              </w:tc>
              <w:tc>
                <w:tcPr>
                  <w:tcW w:w="463" w:type="pct"/>
                  <w:shd w:val="clear" w:color="auto" w:fill="auto"/>
                  <w:vAlign w:val="bottom"/>
                </w:tcPr>
                <w:p w:rsidR="00AC2131" w:rsidRDefault="00AC2131" w:rsidP="00AC2131">
                  <w:pPr>
                    <w:pStyle w:val="TableBodyText"/>
                    <w:spacing w:after="0"/>
                    <w:ind w:left="0" w:right="57"/>
                  </w:pPr>
                  <w:r>
                    <w:t>148.4</w:t>
                  </w:r>
                </w:p>
              </w:tc>
            </w:tr>
            <w:tr w:rsidR="00AC2131" w:rsidTr="00AC2131">
              <w:tc>
                <w:tcPr>
                  <w:tcW w:w="2200" w:type="pct"/>
                  <w:tcBorders>
                    <w:bottom w:val="single" w:sz="6" w:space="0" w:color="BFBFBF"/>
                  </w:tcBorders>
                  <w:shd w:val="clear" w:color="auto" w:fill="auto"/>
                  <w:vAlign w:val="bottom"/>
                </w:tcPr>
                <w:p w:rsidR="00AC2131" w:rsidRPr="00D63BAC"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8" w:type="pct"/>
                  <w:tcBorders>
                    <w:bottom w:val="single" w:sz="6" w:space="0" w:color="BFBFBF"/>
                  </w:tcBorders>
                  <w:vAlign w:val="bottom"/>
                </w:tcPr>
                <w:p w:rsidR="00AC2131" w:rsidRDefault="00AC2131" w:rsidP="00AC2131">
                  <w:pPr>
                    <w:pStyle w:val="TableBodyText"/>
                    <w:spacing w:after="0"/>
                    <w:ind w:left="0" w:right="57"/>
                  </w:pPr>
                  <w:r>
                    <w:t>26.2</w:t>
                  </w:r>
                </w:p>
              </w:tc>
              <w:tc>
                <w:tcPr>
                  <w:tcW w:w="468" w:type="pct"/>
                  <w:tcBorders>
                    <w:bottom w:val="single" w:sz="6" w:space="0" w:color="BFBFBF"/>
                  </w:tcBorders>
                  <w:vAlign w:val="bottom"/>
                </w:tcPr>
                <w:p w:rsidR="00AC2131" w:rsidRDefault="00AC2131" w:rsidP="00AC2131">
                  <w:pPr>
                    <w:pStyle w:val="TableBodyText"/>
                    <w:spacing w:after="0"/>
                    <w:ind w:left="0" w:right="57"/>
                  </w:pPr>
                  <w:r>
                    <w:t>33.6</w:t>
                  </w:r>
                </w:p>
              </w:tc>
              <w:tc>
                <w:tcPr>
                  <w:tcW w:w="467" w:type="pct"/>
                  <w:tcBorders>
                    <w:bottom w:val="single" w:sz="6" w:space="0" w:color="BFBFBF"/>
                  </w:tcBorders>
                  <w:vAlign w:val="bottom"/>
                </w:tcPr>
                <w:p w:rsidR="00AC2131" w:rsidRDefault="00AC2131" w:rsidP="00AC2131">
                  <w:pPr>
                    <w:pStyle w:val="TableBodyText"/>
                    <w:spacing w:after="0"/>
                    <w:ind w:left="0" w:right="57"/>
                  </w:pPr>
                  <w:r>
                    <w:t>89.2</w:t>
                  </w:r>
                </w:p>
              </w:tc>
              <w:tc>
                <w:tcPr>
                  <w:tcW w:w="467" w:type="pct"/>
                  <w:tcBorders>
                    <w:bottom w:val="single" w:sz="6" w:space="0" w:color="BFBFBF"/>
                  </w:tcBorders>
                  <w:vAlign w:val="bottom"/>
                </w:tcPr>
                <w:p w:rsidR="00AC2131" w:rsidRDefault="00AC2131" w:rsidP="00AC2131">
                  <w:pPr>
                    <w:pStyle w:val="TableBodyText"/>
                    <w:spacing w:after="0"/>
                    <w:ind w:left="0" w:right="57"/>
                  </w:pPr>
                  <w:r>
                    <w:t>106.7</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3"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640"/>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2"/>
              <w:gridCol w:w="796"/>
              <w:gridCol w:w="796"/>
              <w:gridCol w:w="794"/>
              <w:gridCol w:w="794"/>
              <w:gridCol w:w="6"/>
              <w:gridCol w:w="801"/>
              <w:gridCol w:w="776"/>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8"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8"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74" w:type="pct"/>
                  <w:gridSpan w:val="2"/>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56"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shd w:val="clear" w:color="auto" w:fill="auto"/>
                </w:tcPr>
                <w:p w:rsidR="00AC2131" w:rsidRPr="00D63BAC" w:rsidRDefault="00AC2131" w:rsidP="00AC2131">
                  <w:pPr>
                    <w:pStyle w:val="TableBodyText"/>
                    <w:spacing w:before="40" w:after="0"/>
                    <w:ind w:left="113"/>
                    <w:jc w:val="left"/>
                    <w:rPr>
                      <w:i/>
                    </w:rPr>
                  </w:pPr>
                  <w:r w:rsidRPr="00D63BAC">
                    <w:rPr>
                      <w:i/>
                    </w:rPr>
                    <w:t>Other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74" w:type="pct"/>
                  <w:gridSpan w:val="2"/>
                  <w:shd w:val="clear" w:color="auto" w:fill="auto"/>
                </w:tcPr>
                <w:p w:rsidR="00AC2131" w:rsidRDefault="00AC2131" w:rsidP="00AC2131">
                  <w:pPr>
                    <w:pStyle w:val="TableBodyText"/>
                    <w:spacing w:before="40" w:after="0"/>
                    <w:ind w:left="113"/>
                  </w:pPr>
                </w:p>
              </w:tc>
              <w:tc>
                <w:tcPr>
                  <w:tcW w:w="45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25 per cent entrepreneurs' tax offset</w:t>
                  </w:r>
                </w:p>
              </w:tc>
              <w:tc>
                <w:tcPr>
                  <w:tcW w:w="468" w:type="pct"/>
                  <w:vAlign w:val="bottom"/>
                </w:tcPr>
                <w:p w:rsidR="00AC2131" w:rsidRDefault="00AC2131" w:rsidP="00AC2131">
                  <w:pPr>
                    <w:pStyle w:val="TableBodyText"/>
                    <w:spacing w:after="0"/>
                    <w:ind w:left="0" w:right="57"/>
                  </w:pPr>
                  <w:r>
                    <w:t>6.0</w:t>
                  </w:r>
                </w:p>
              </w:tc>
              <w:tc>
                <w:tcPr>
                  <w:tcW w:w="468" w:type="pct"/>
                  <w:vAlign w:val="bottom"/>
                </w:tcPr>
                <w:p w:rsidR="00AC2131" w:rsidRDefault="00AC2131" w:rsidP="00AC2131">
                  <w:pPr>
                    <w:pStyle w:val="TableBodyText"/>
                    <w:spacing w:after="0"/>
                    <w:ind w:left="0" w:right="57"/>
                  </w:pPr>
                  <w:r>
                    <w:t>5.6</w:t>
                  </w:r>
                </w:p>
              </w:tc>
              <w:tc>
                <w:tcPr>
                  <w:tcW w:w="467" w:type="pct"/>
                  <w:vAlign w:val="bottom"/>
                </w:tcPr>
                <w:p w:rsidR="00AC2131" w:rsidRDefault="00AC2131" w:rsidP="00AC2131">
                  <w:pPr>
                    <w:pStyle w:val="TableBodyText"/>
                    <w:spacing w:after="0"/>
                    <w:ind w:left="0" w:right="57"/>
                  </w:pPr>
                  <w:r>
                    <w:t>5.5</w:t>
                  </w:r>
                </w:p>
              </w:tc>
              <w:tc>
                <w:tcPr>
                  <w:tcW w:w="470" w:type="pct"/>
                  <w:gridSpan w:val="2"/>
                  <w:vAlign w:val="bottom"/>
                </w:tcPr>
                <w:p w:rsidR="00AC2131" w:rsidRDefault="00AC2131" w:rsidP="00AC2131">
                  <w:pPr>
                    <w:pStyle w:val="TableBodyText"/>
                    <w:spacing w:after="0"/>
                    <w:ind w:left="0" w:right="57"/>
                  </w:pPr>
                  <w:r>
                    <w:t>5.5</w:t>
                  </w:r>
                </w:p>
              </w:tc>
              <w:tc>
                <w:tcPr>
                  <w:tcW w:w="471" w:type="pct"/>
                  <w:shd w:val="clear" w:color="auto" w:fill="auto"/>
                  <w:vAlign w:val="bottom"/>
                </w:tcPr>
                <w:p w:rsidR="00AC2131" w:rsidRDefault="00AC2131" w:rsidP="00AC2131">
                  <w:pPr>
                    <w:pStyle w:val="TableBodyText"/>
                    <w:spacing w:after="0"/>
                    <w:ind w:left="0" w:right="57"/>
                  </w:pPr>
                  <w:r>
                    <w:t>1.2</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Concessional rate of withholding tax</w:t>
                  </w:r>
                </w:p>
              </w:tc>
              <w:tc>
                <w:tcPr>
                  <w:tcW w:w="468" w:type="pct"/>
                  <w:vAlign w:val="bottom"/>
                </w:tcPr>
                <w:p w:rsidR="00AC2131" w:rsidRDefault="00AC2131" w:rsidP="00AC2131">
                  <w:pPr>
                    <w:pStyle w:val="TableBodyText"/>
                    <w:spacing w:after="0"/>
                    <w:ind w:left="0" w:right="57"/>
                  </w:pPr>
                  <w:r>
                    <w:t>30.0</w:t>
                  </w:r>
                </w:p>
              </w:tc>
              <w:tc>
                <w:tcPr>
                  <w:tcW w:w="468" w:type="pct"/>
                  <w:vAlign w:val="bottom"/>
                </w:tcPr>
                <w:p w:rsidR="00AC2131" w:rsidRDefault="00AC2131" w:rsidP="00AC2131">
                  <w:pPr>
                    <w:pStyle w:val="TableBodyText"/>
                    <w:spacing w:after="0"/>
                    <w:ind w:left="0" w:right="57"/>
                  </w:pPr>
                  <w:r>
                    <w:t>70.0</w:t>
                  </w:r>
                </w:p>
              </w:tc>
              <w:tc>
                <w:tcPr>
                  <w:tcW w:w="467" w:type="pct"/>
                  <w:vAlign w:val="bottom"/>
                </w:tcPr>
                <w:p w:rsidR="00AC2131" w:rsidRDefault="00AC2131" w:rsidP="00AC2131">
                  <w:pPr>
                    <w:pStyle w:val="TableBodyText"/>
                    <w:spacing w:after="0"/>
                    <w:ind w:left="0" w:right="57"/>
                  </w:pPr>
                  <w:r>
                    <w:t>155.0</w:t>
                  </w:r>
                </w:p>
              </w:tc>
              <w:tc>
                <w:tcPr>
                  <w:tcW w:w="470" w:type="pct"/>
                  <w:gridSpan w:val="2"/>
                  <w:vAlign w:val="bottom"/>
                </w:tcPr>
                <w:p w:rsidR="00AC2131" w:rsidRDefault="00AC2131" w:rsidP="00AC2131">
                  <w:pPr>
                    <w:pStyle w:val="TableBodyText"/>
                    <w:spacing w:after="0"/>
                    <w:ind w:left="0" w:right="57"/>
                  </w:pPr>
                  <w:r>
                    <w:t>190.0</w:t>
                  </w:r>
                </w:p>
              </w:tc>
              <w:tc>
                <w:tcPr>
                  <w:tcW w:w="471" w:type="pct"/>
                  <w:shd w:val="clear" w:color="auto" w:fill="auto"/>
                  <w:vAlign w:val="bottom"/>
                </w:tcPr>
                <w:p w:rsidR="00AC2131" w:rsidRDefault="00AC2131" w:rsidP="00AC2131">
                  <w:pPr>
                    <w:pStyle w:val="TableBodyText"/>
                    <w:spacing w:after="0"/>
                    <w:ind w:left="0" w:right="57"/>
                  </w:pPr>
                  <w:r>
                    <w:t>195.0</w:t>
                  </w:r>
                </w:p>
              </w:tc>
              <w:tc>
                <w:tcPr>
                  <w:tcW w:w="456" w:type="pct"/>
                  <w:shd w:val="clear" w:color="auto" w:fill="auto"/>
                  <w:vAlign w:val="bottom"/>
                </w:tcPr>
                <w:p w:rsidR="00AC2131" w:rsidRDefault="00AC2131" w:rsidP="00AC2131">
                  <w:pPr>
                    <w:pStyle w:val="TableBodyText"/>
                    <w:spacing w:after="0"/>
                    <w:ind w:left="0" w:right="57"/>
                  </w:pPr>
                  <w:r>
                    <w:t>200.0</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Enterprise Connect Innovation Centres</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70" w:type="pct"/>
                  <w:gridSpan w:val="2"/>
                  <w:vAlign w:val="bottom"/>
                </w:tcPr>
                <w:p w:rsidR="00AC2131" w:rsidRDefault="00AC2131" w:rsidP="00AC2131">
                  <w:pPr>
                    <w:pStyle w:val="TableBodyText"/>
                    <w:spacing w:after="0"/>
                    <w:ind w:left="0" w:right="57"/>
                  </w:pPr>
                  <w:r>
                    <w:t>–</w:t>
                  </w:r>
                </w:p>
              </w:tc>
              <w:tc>
                <w:tcPr>
                  <w:tcW w:w="471" w:type="pct"/>
                  <w:shd w:val="clear" w:color="auto" w:fill="auto"/>
                  <w:vAlign w:val="bottom"/>
                </w:tcPr>
                <w:p w:rsidR="00AC2131" w:rsidRDefault="00AC2131" w:rsidP="00AC2131">
                  <w:pPr>
                    <w:pStyle w:val="TableBodyText"/>
                    <w:spacing w:after="0"/>
                    <w:ind w:left="0" w:right="57"/>
                  </w:pPr>
                  <w:r>
                    <w:t>&lt;0.1</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Industry Cooperative Innovation Program</w:t>
                  </w:r>
                </w:p>
              </w:tc>
              <w:tc>
                <w:tcPr>
                  <w:tcW w:w="468" w:type="pct"/>
                  <w:vAlign w:val="bottom"/>
                </w:tcPr>
                <w:p w:rsidR="00AC2131" w:rsidRDefault="00AC2131" w:rsidP="00AC2131">
                  <w:pPr>
                    <w:pStyle w:val="TableBodyText"/>
                    <w:spacing w:after="0"/>
                    <w:ind w:left="0" w:right="57"/>
                  </w:pPr>
                  <w:r>
                    <w:t>0.3</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0" w:type="pct"/>
                  <w:gridSpan w:val="2"/>
                  <w:vAlign w:val="bottom"/>
                </w:tcPr>
                <w:p w:rsidR="00AC2131" w:rsidRDefault="00AC2131" w:rsidP="00AC2131">
                  <w:pPr>
                    <w:pStyle w:val="TableBodyText"/>
                    <w:spacing w:after="0"/>
                    <w:ind w:left="0" w:right="57"/>
                  </w:pPr>
                  <w:r>
                    <w:t>–</w:t>
                  </w:r>
                </w:p>
              </w:tc>
              <w:tc>
                <w:tcPr>
                  <w:tcW w:w="471" w:type="pct"/>
                  <w:shd w:val="clear" w:color="auto" w:fill="auto"/>
                  <w:vAlign w:val="bottom"/>
                </w:tcPr>
                <w:p w:rsidR="00AC2131" w:rsidRDefault="00AC2131" w:rsidP="00AC2131">
                  <w:pPr>
                    <w:pStyle w:val="TableBodyText"/>
                    <w:spacing w:after="0"/>
                    <w:ind w:left="0" w:right="57"/>
                  </w:pPr>
                  <w:r>
                    <w:t>–</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Pooled development funds</w:t>
                  </w:r>
                </w:p>
              </w:tc>
              <w:tc>
                <w:tcPr>
                  <w:tcW w:w="468" w:type="pct"/>
                  <w:vAlign w:val="bottom"/>
                </w:tcPr>
                <w:p w:rsidR="00AC2131" w:rsidRDefault="00AC2131" w:rsidP="00AC2131">
                  <w:pPr>
                    <w:pStyle w:val="TableBodyText"/>
                    <w:spacing w:after="0"/>
                    <w:ind w:left="0" w:right="57"/>
                  </w:pPr>
                  <w:r>
                    <w:t>10.0</w:t>
                  </w:r>
                </w:p>
              </w:tc>
              <w:tc>
                <w:tcPr>
                  <w:tcW w:w="468" w:type="pct"/>
                  <w:vAlign w:val="bottom"/>
                </w:tcPr>
                <w:p w:rsidR="00AC2131" w:rsidRDefault="00AC2131" w:rsidP="00AC2131">
                  <w:pPr>
                    <w:pStyle w:val="TableBodyText"/>
                    <w:spacing w:after="0"/>
                    <w:ind w:left="0" w:right="57"/>
                  </w:pPr>
                  <w:r>
                    <w:t>5.0</w:t>
                  </w:r>
                </w:p>
              </w:tc>
              <w:tc>
                <w:tcPr>
                  <w:tcW w:w="467" w:type="pct"/>
                  <w:vAlign w:val="bottom"/>
                </w:tcPr>
                <w:p w:rsidR="00AC2131" w:rsidRDefault="00AC2131" w:rsidP="00AC2131">
                  <w:pPr>
                    <w:pStyle w:val="TableBodyText"/>
                    <w:spacing w:after="0"/>
                    <w:ind w:left="0" w:right="57"/>
                  </w:pPr>
                  <w:r>
                    <w:t>5.0</w:t>
                  </w:r>
                </w:p>
              </w:tc>
              <w:tc>
                <w:tcPr>
                  <w:tcW w:w="470" w:type="pct"/>
                  <w:gridSpan w:val="2"/>
                  <w:vAlign w:val="bottom"/>
                </w:tcPr>
                <w:p w:rsidR="00AC2131" w:rsidRDefault="00AC2131" w:rsidP="00AC2131">
                  <w:pPr>
                    <w:pStyle w:val="TableBodyText"/>
                    <w:spacing w:after="0"/>
                    <w:ind w:left="0" w:right="57"/>
                  </w:pPr>
                  <w:r>
                    <w:t>40.0</w:t>
                  </w:r>
                </w:p>
              </w:tc>
              <w:tc>
                <w:tcPr>
                  <w:tcW w:w="471" w:type="pct"/>
                  <w:shd w:val="clear" w:color="auto" w:fill="auto"/>
                  <w:vAlign w:val="bottom"/>
                </w:tcPr>
                <w:p w:rsidR="00AC2131" w:rsidRDefault="00AC2131" w:rsidP="00AC2131">
                  <w:pPr>
                    <w:pStyle w:val="TableBodyText"/>
                    <w:spacing w:after="0"/>
                    <w:ind w:left="0" w:right="57"/>
                  </w:pPr>
                  <w:r>
                    <w:t>0.5</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8" w:type="pct"/>
                  <w:vAlign w:val="bottom"/>
                </w:tcPr>
                <w:p w:rsidR="00AC2131" w:rsidRDefault="00AC2131" w:rsidP="00AC2131">
                  <w:pPr>
                    <w:pStyle w:val="TableBodyText"/>
                    <w:spacing w:after="0"/>
                    <w:ind w:left="0" w:right="57"/>
                  </w:pPr>
                  <w:r>
                    <w:t>4.7</w:t>
                  </w:r>
                </w:p>
              </w:tc>
              <w:tc>
                <w:tcPr>
                  <w:tcW w:w="468" w:type="pct"/>
                  <w:vAlign w:val="bottom"/>
                </w:tcPr>
                <w:p w:rsidR="00AC2131" w:rsidRDefault="00AC2131" w:rsidP="00AC2131">
                  <w:pPr>
                    <w:pStyle w:val="TableBodyText"/>
                    <w:spacing w:after="0"/>
                    <w:ind w:left="0" w:right="57"/>
                  </w:pPr>
                  <w:r>
                    <w:t>6.3</w:t>
                  </w:r>
                </w:p>
              </w:tc>
              <w:tc>
                <w:tcPr>
                  <w:tcW w:w="467" w:type="pct"/>
                  <w:vAlign w:val="bottom"/>
                </w:tcPr>
                <w:p w:rsidR="00AC2131" w:rsidRDefault="00AC2131" w:rsidP="00AC2131">
                  <w:pPr>
                    <w:pStyle w:val="TableBodyText"/>
                    <w:spacing w:after="0"/>
                    <w:ind w:left="0" w:right="57"/>
                  </w:pPr>
                  <w:r>
                    <w:t>10.3</w:t>
                  </w:r>
                </w:p>
              </w:tc>
              <w:tc>
                <w:tcPr>
                  <w:tcW w:w="470" w:type="pct"/>
                  <w:gridSpan w:val="2"/>
                  <w:vAlign w:val="bottom"/>
                </w:tcPr>
                <w:p w:rsidR="00AC2131" w:rsidRDefault="00AC2131" w:rsidP="00AC2131">
                  <w:pPr>
                    <w:pStyle w:val="TableBodyText"/>
                    <w:spacing w:after="0"/>
                    <w:ind w:left="0" w:right="57"/>
                  </w:pPr>
                  <w:r>
                    <w:t>0.8</w:t>
                  </w:r>
                </w:p>
              </w:tc>
              <w:tc>
                <w:tcPr>
                  <w:tcW w:w="471" w:type="pct"/>
                  <w:shd w:val="clear" w:color="auto" w:fill="auto"/>
                  <w:vAlign w:val="bottom"/>
                </w:tcPr>
                <w:p w:rsidR="00AC2131" w:rsidRDefault="00AC2131" w:rsidP="00AC2131">
                  <w:pPr>
                    <w:pStyle w:val="TableBodyText"/>
                    <w:spacing w:after="0"/>
                    <w:ind w:left="0" w:right="57"/>
                  </w:pPr>
                  <w:r>
                    <w:t>-3.2</w:t>
                  </w:r>
                </w:p>
              </w:tc>
              <w:tc>
                <w:tcPr>
                  <w:tcW w:w="456" w:type="pct"/>
                  <w:shd w:val="clear" w:color="auto" w:fill="auto"/>
                  <w:vAlign w:val="bottom"/>
                </w:tcPr>
                <w:p w:rsidR="00AC2131" w:rsidRDefault="00AC2131" w:rsidP="00AC2131">
                  <w:pPr>
                    <w:pStyle w:val="TableBodyText"/>
                    <w:spacing w:after="0"/>
                    <w:ind w:left="0" w:right="57"/>
                  </w:pPr>
                  <w:r>
                    <w:t>112.3</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8" w:type="pct"/>
                  <w:vAlign w:val="bottom"/>
                </w:tcPr>
                <w:p w:rsidR="00AC2131" w:rsidRDefault="00AC2131" w:rsidP="00AC2131">
                  <w:pPr>
                    <w:pStyle w:val="TableBodyText"/>
                    <w:spacing w:after="0"/>
                    <w:ind w:left="0" w:right="57"/>
                  </w:pPr>
                  <w:r>
                    <w:t>34.6</w:t>
                  </w:r>
                </w:p>
              </w:tc>
              <w:tc>
                <w:tcPr>
                  <w:tcW w:w="468" w:type="pct"/>
                  <w:vAlign w:val="bottom"/>
                </w:tcPr>
                <w:p w:rsidR="00AC2131" w:rsidRDefault="00AC2131" w:rsidP="00AC2131">
                  <w:pPr>
                    <w:pStyle w:val="TableBodyText"/>
                    <w:spacing w:after="0"/>
                    <w:ind w:left="0" w:right="57"/>
                  </w:pPr>
                  <w:r>
                    <w:t>21.9</w:t>
                  </w:r>
                </w:p>
              </w:tc>
              <w:tc>
                <w:tcPr>
                  <w:tcW w:w="467" w:type="pct"/>
                  <w:vAlign w:val="bottom"/>
                </w:tcPr>
                <w:p w:rsidR="00AC2131" w:rsidRDefault="00AC2131" w:rsidP="00AC2131">
                  <w:pPr>
                    <w:pStyle w:val="TableBodyText"/>
                    <w:spacing w:after="0"/>
                    <w:ind w:left="0" w:right="57"/>
                  </w:pPr>
                  <w:r>
                    <w:t>4.1</w:t>
                  </w:r>
                </w:p>
              </w:tc>
              <w:tc>
                <w:tcPr>
                  <w:tcW w:w="470" w:type="pct"/>
                  <w:gridSpan w:val="2"/>
                  <w:vAlign w:val="bottom"/>
                </w:tcPr>
                <w:p w:rsidR="00AC2131" w:rsidRDefault="00AC2131" w:rsidP="00AC2131">
                  <w:pPr>
                    <w:pStyle w:val="TableBodyText"/>
                    <w:spacing w:after="0"/>
                    <w:ind w:left="0" w:right="57"/>
                  </w:pPr>
                  <w:r>
                    <w:t>5.4</w:t>
                  </w:r>
                </w:p>
              </w:tc>
              <w:tc>
                <w:tcPr>
                  <w:tcW w:w="471" w:type="pct"/>
                  <w:shd w:val="clear" w:color="auto" w:fill="auto"/>
                  <w:vAlign w:val="bottom"/>
                </w:tcPr>
                <w:p w:rsidR="00AC2131" w:rsidRDefault="00AC2131" w:rsidP="00AC2131">
                  <w:pPr>
                    <w:pStyle w:val="TableBodyText"/>
                    <w:spacing w:after="0"/>
                    <w:ind w:left="0" w:right="57"/>
                  </w:pPr>
                  <w:r>
                    <w:t>5.6</w:t>
                  </w:r>
                </w:p>
              </w:tc>
              <w:tc>
                <w:tcPr>
                  <w:tcW w:w="456" w:type="pct"/>
                  <w:shd w:val="clear" w:color="auto" w:fill="auto"/>
                  <w:vAlign w:val="bottom"/>
                </w:tcPr>
                <w:p w:rsidR="00AC2131" w:rsidRDefault="00AC2131" w:rsidP="00AC2131">
                  <w:pPr>
                    <w:pStyle w:val="TableBodyText"/>
                    <w:spacing w:after="0"/>
                    <w:ind w:left="0" w:right="57"/>
                  </w:pPr>
                  <w:r>
                    <w:t>6.9</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 xml:space="preserve">Small business </w:t>
                  </w:r>
                  <w:r>
                    <w:rPr>
                      <w:rFonts w:ascii="Arial" w:hAnsi="Arial" w:cs="Arial"/>
                      <w:color w:val="000000"/>
                      <w:sz w:val="18"/>
                      <w:szCs w:val="18"/>
                    </w:rPr>
                    <w:t>capital gains tax</w:t>
                  </w:r>
                  <w:r w:rsidRPr="00D63BAC">
                    <w:rPr>
                      <w:rFonts w:ascii="Arial" w:hAnsi="Arial" w:cs="Arial"/>
                      <w:color w:val="000000"/>
                      <w:sz w:val="18"/>
                      <w:szCs w:val="18"/>
                    </w:rPr>
                    <w:t xml:space="preserve"> 50 per cent reduction</w:t>
                  </w:r>
                </w:p>
              </w:tc>
              <w:tc>
                <w:tcPr>
                  <w:tcW w:w="468" w:type="pct"/>
                  <w:vAlign w:val="bottom"/>
                </w:tcPr>
                <w:p w:rsidR="00AC2131" w:rsidRDefault="00AC2131" w:rsidP="00AC2131">
                  <w:pPr>
                    <w:pStyle w:val="TableBodyText"/>
                    <w:spacing w:after="0"/>
                    <w:ind w:left="0" w:right="57"/>
                  </w:pPr>
                  <w:r>
                    <w:t>169.7</w:t>
                  </w:r>
                </w:p>
              </w:tc>
              <w:tc>
                <w:tcPr>
                  <w:tcW w:w="468" w:type="pct"/>
                  <w:vAlign w:val="bottom"/>
                </w:tcPr>
                <w:p w:rsidR="00AC2131" w:rsidRDefault="00AC2131" w:rsidP="00AC2131">
                  <w:pPr>
                    <w:pStyle w:val="TableBodyText"/>
                    <w:spacing w:after="0"/>
                    <w:ind w:left="0" w:right="57"/>
                  </w:pPr>
                  <w:r>
                    <w:t>100.8</w:t>
                  </w:r>
                </w:p>
              </w:tc>
              <w:tc>
                <w:tcPr>
                  <w:tcW w:w="467" w:type="pct"/>
                  <w:vAlign w:val="bottom"/>
                </w:tcPr>
                <w:p w:rsidR="00AC2131" w:rsidRDefault="00AC2131" w:rsidP="00AC2131">
                  <w:pPr>
                    <w:pStyle w:val="TableBodyText"/>
                    <w:spacing w:after="0"/>
                    <w:ind w:left="0" w:right="57"/>
                  </w:pPr>
                  <w:r>
                    <w:t>31.5</w:t>
                  </w:r>
                </w:p>
              </w:tc>
              <w:tc>
                <w:tcPr>
                  <w:tcW w:w="470" w:type="pct"/>
                  <w:gridSpan w:val="2"/>
                  <w:vAlign w:val="bottom"/>
                </w:tcPr>
                <w:p w:rsidR="00AC2131" w:rsidRDefault="00AC2131" w:rsidP="00AC2131">
                  <w:pPr>
                    <w:pStyle w:val="TableBodyText"/>
                    <w:spacing w:after="0"/>
                    <w:ind w:left="0" w:right="57"/>
                  </w:pPr>
                  <w:r>
                    <w:t>25.1</w:t>
                  </w:r>
                </w:p>
              </w:tc>
              <w:tc>
                <w:tcPr>
                  <w:tcW w:w="471" w:type="pct"/>
                  <w:shd w:val="clear" w:color="auto" w:fill="auto"/>
                  <w:vAlign w:val="bottom"/>
                </w:tcPr>
                <w:p w:rsidR="00AC2131" w:rsidRDefault="00AC2131" w:rsidP="00AC2131">
                  <w:pPr>
                    <w:pStyle w:val="TableBodyText"/>
                    <w:spacing w:after="0"/>
                    <w:ind w:left="0" w:right="57"/>
                  </w:pPr>
                  <w:r>
                    <w:t>26.0</w:t>
                  </w:r>
                </w:p>
              </w:tc>
              <w:tc>
                <w:tcPr>
                  <w:tcW w:w="456" w:type="pct"/>
                  <w:shd w:val="clear" w:color="auto" w:fill="auto"/>
                  <w:vAlign w:val="bottom"/>
                </w:tcPr>
                <w:p w:rsidR="00AC2131" w:rsidRDefault="00AC2131" w:rsidP="00AC2131">
                  <w:pPr>
                    <w:pStyle w:val="TableBodyText"/>
                    <w:spacing w:after="0"/>
                    <w:ind w:left="0" w:right="57"/>
                  </w:pPr>
                  <w:r>
                    <w:t>27.4</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 xml:space="preserve">Small business </w:t>
                  </w:r>
                  <w:r>
                    <w:rPr>
                      <w:rFonts w:ascii="Arial" w:hAnsi="Arial" w:cs="Arial"/>
                      <w:color w:val="000000"/>
                      <w:sz w:val="18"/>
                      <w:szCs w:val="18"/>
                    </w:rPr>
                    <w:t>capital gains tax</w:t>
                  </w:r>
                  <w:r w:rsidRPr="00D63BAC">
                    <w:rPr>
                      <w:rFonts w:ascii="Arial" w:hAnsi="Arial" w:cs="Arial"/>
                      <w:color w:val="000000"/>
                      <w:sz w:val="18"/>
                      <w:szCs w:val="18"/>
                    </w:rPr>
                    <w:t xml:space="preserve"> retirement exemption</w:t>
                  </w:r>
                </w:p>
              </w:tc>
              <w:tc>
                <w:tcPr>
                  <w:tcW w:w="468" w:type="pct"/>
                  <w:vAlign w:val="bottom"/>
                </w:tcPr>
                <w:p w:rsidR="00AC2131" w:rsidRDefault="00AC2131" w:rsidP="00AC2131">
                  <w:pPr>
                    <w:pStyle w:val="TableBodyText"/>
                    <w:spacing w:after="0"/>
                    <w:ind w:left="0" w:right="57"/>
                  </w:pPr>
                  <w:r>
                    <w:t>113.9</w:t>
                  </w:r>
                </w:p>
              </w:tc>
              <w:tc>
                <w:tcPr>
                  <w:tcW w:w="468" w:type="pct"/>
                  <w:vAlign w:val="bottom"/>
                </w:tcPr>
                <w:p w:rsidR="00AC2131" w:rsidRDefault="00AC2131" w:rsidP="00AC2131">
                  <w:pPr>
                    <w:pStyle w:val="TableBodyText"/>
                    <w:spacing w:after="0"/>
                    <w:ind w:left="0" w:right="57"/>
                  </w:pPr>
                  <w:r>
                    <w:t>72.6</w:t>
                  </w:r>
                </w:p>
              </w:tc>
              <w:tc>
                <w:tcPr>
                  <w:tcW w:w="467" w:type="pct"/>
                  <w:vAlign w:val="bottom"/>
                </w:tcPr>
                <w:p w:rsidR="00AC2131" w:rsidRDefault="00AC2131" w:rsidP="00AC2131">
                  <w:pPr>
                    <w:pStyle w:val="TableBodyText"/>
                    <w:spacing w:after="0"/>
                    <w:ind w:left="0" w:right="57"/>
                  </w:pPr>
                  <w:r>
                    <w:t>21.0</w:t>
                  </w:r>
                </w:p>
              </w:tc>
              <w:tc>
                <w:tcPr>
                  <w:tcW w:w="470" w:type="pct"/>
                  <w:gridSpan w:val="2"/>
                  <w:vAlign w:val="bottom"/>
                </w:tcPr>
                <w:p w:rsidR="00AC2131" w:rsidRDefault="00AC2131" w:rsidP="00AC2131">
                  <w:pPr>
                    <w:pStyle w:val="TableBodyText"/>
                    <w:spacing w:after="0"/>
                    <w:ind w:left="0" w:right="57"/>
                  </w:pPr>
                  <w:r>
                    <w:t>27.7</w:t>
                  </w:r>
                </w:p>
              </w:tc>
              <w:tc>
                <w:tcPr>
                  <w:tcW w:w="471" w:type="pct"/>
                  <w:shd w:val="clear" w:color="auto" w:fill="auto"/>
                  <w:vAlign w:val="bottom"/>
                </w:tcPr>
                <w:p w:rsidR="00AC2131" w:rsidRDefault="00AC2131" w:rsidP="00AC2131">
                  <w:pPr>
                    <w:pStyle w:val="TableBodyText"/>
                    <w:spacing w:after="0"/>
                    <w:ind w:left="0" w:right="57"/>
                  </w:pPr>
                  <w:r>
                    <w:t>27.7</w:t>
                  </w:r>
                </w:p>
              </w:tc>
              <w:tc>
                <w:tcPr>
                  <w:tcW w:w="456" w:type="pct"/>
                  <w:shd w:val="clear" w:color="auto" w:fill="auto"/>
                  <w:vAlign w:val="bottom"/>
                </w:tcPr>
                <w:p w:rsidR="00AC2131" w:rsidRDefault="00AC2131" w:rsidP="00AC2131">
                  <w:pPr>
                    <w:pStyle w:val="TableBodyText"/>
                    <w:spacing w:after="0"/>
                    <w:ind w:left="0" w:right="57"/>
                  </w:pPr>
                  <w:r>
                    <w:t>29.2</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 xml:space="preserve">Small business </w:t>
                  </w:r>
                  <w:r>
                    <w:rPr>
                      <w:rFonts w:ascii="Arial" w:hAnsi="Arial" w:cs="Arial"/>
                      <w:color w:val="000000"/>
                      <w:sz w:val="18"/>
                      <w:szCs w:val="18"/>
                    </w:rPr>
                    <w:t>capital gains tax</w:t>
                  </w:r>
                  <w:r w:rsidRPr="00D63BAC">
                    <w:rPr>
                      <w:rFonts w:ascii="Arial" w:hAnsi="Arial" w:cs="Arial"/>
                      <w:color w:val="000000"/>
                      <w:sz w:val="18"/>
                      <w:szCs w:val="18"/>
                    </w:rPr>
                    <w:t xml:space="preserve"> rollover deferral</w:t>
                  </w:r>
                </w:p>
              </w:tc>
              <w:tc>
                <w:tcPr>
                  <w:tcW w:w="468" w:type="pct"/>
                  <w:vAlign w:val="bottom"/>
                </w:tcPr>
                <w:p w:rsidR="00AC2131" w:rsidRDefault="00AC2131" w:rsidP="00AC2131">
                  <w:pPr>
                    <w:pStyle w:val="TableBodyText"/>
                    <w:spacing w:after="0"/>
                    <w:ind w:left="0" w:right="57"/>
                  </w:pPr>
                  <w:r>
                    <w:t>64.4</w:t>
                  </w:r>
                </w:p>
              </w:tc>
              <w:tc>
                <w:tcPr>
                  <w:tcW w:w="468" w:type="pct"/>
                  <w:vAlign w:val="bottom"/>
                </w:tcPr>
                <w:p w:rsidR="00AC2131" w:rsidRDefault="00AC2131" w:rsidP="00AC2131">
                  <w:pPr>
                    <w:pStyle w:val="TableBodyText"/>
                    <w:spacing w:after="0"/>
                    <w:ind w:left="0" w:right="57"/>
                  </w:pPr>
                  <w:r>
                    <w:t>33.7</w:t>
                  </w:r>
                </w:p>
              </w:tc>
              <w:tc>
                <w:tcPr>
                  <w:tcW w:w="467" w:type="pct"/>
                  <w:vAlign w:val="bottom"/>
                </w:tcPr>
                <w:p w:rsidR="00AC2131" w:rsidRDefault="00AC2131" w:rsidP="00AC2131">
                  <w:pPr>
                    <w:pStyle w:val="TableBodyText"/>
                    <w:spacing w:after="0"/>
                    <w:ind w:left="0" w:right="57"/>
                  </w:pPr>
                  <w:r>
                    <w:t>13.3</w:t>
                  </w:r>
                </w:p>
              </w:tc>
              <w:tc>
                <w:tcPr>
                  <w:tcW w:w="467" w:type="pct"/>
                  <w:vAlign w:val="bottom"/>
                </w:tcPr>
                <w:p w:rsidR="00AC2131" w:rsidRDefault="00AC2131" w:rsidP="00AC2131">
                  <w:pPr>
                    <w:pStyle w:val="TableBodyText"/>
                    <w:spacing w:after="0"/>
                    <w:ind w:left="0" w:right="57"/>
                  </w:pPr>
                  <w:r>
                    <w:t>11.2</w:t>
                  </w:r>
                </w:p>
              </w:tc>
              <w:tc>
                <w:tcPr>
                  <w:tcW w:w="474" w:type="pct"/>
                  <w:gridSpan w:val="2"/>
                  <w:shd w:val="clear" w:color="auto" w:fill="auto"/>
                  <w:vAlign w:val="bottom"/>
                </w:tcPr>
                <w:p w:rsidR="00AC2131" w:rsidRDefault="00AC2131" w:rsidP="00AC2131">
                  <w:pPr>
                    <w:pStyle w:val="TableBodyText"/>
                    <w:spacing w:after="0"/>
                    <w:ind w:left="0" w:right="57"/>
                  </w:pPr>
                  <w:r>
                    <w:t>13.1</w:t>
                  </w:r>
                </w:p>
              </w:tc>
              <w:tc>
                <w:tcPr>
                  <w:tcW w:w="456" w:type="pct"/>
                  <w:shd w:val="clear" w:color="auto" w:fill="auto"/>
                  <w:vAlign w:val="bottom"/>
                </w:tcPr>
                <w:p w:rsidR="00AC2131" w:rsidRDefault="00AC2131" w:rsidP="00AC2131">
                  <w:pPr>
                    <w:pStyle w:val="TableBodyText"/>
                    <w:spacing w:after="0"/>
                    <w:ind w:left="0" w:right="57"/>
                  </w:pPr>
                  <w:r>
                    <w:t>14.5</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Small business programs</w:t>
                  </w:r>
                </w:p>
              </w:tc>
              <w:tc>
                <w:tcPr>
                  <w:tcW w:w="468" w:type="pct"/>
                  <w:vAlign w:val="bottom"/>
                </w:tcPr>
                <w:p w:rsidR="00AC2131" w:rsidRDefault="00AC2131" w:rsidP="00AC2131">
                  <w:pPr>
                    <w:pStyle w:val="TableBodyText"/>
                    <w:spacing w:after="0"/>
                    <w:ind w:left="0" w:right="57"/>
                  </w:pPr>
                  <w:r>
                    <w:t>0.1</w:t>
                  </w:r>
                </w:p>
              </w:tc>
              <w:tc>
                <w:tcPr>
                  <w:tcW w:w="468"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4" w:type="pct"/>
                  <w:gridSpan w:val="2"/>
                  <w:shd w:val="clear" w:color="auto" w:fill="auto"/>
                  <w:vAlign w:val="bottom"/>
                </w:tcPr>
                <w:p w:rsidR="00AC2131" w:rsidRDefault="00AC2131" w:rsidP="00AC2131">
                  <w:pPr>
                    <w:pStyle w:val="TableBodyText"/>
                    <w:spacing w:after="0"/>
                    <w:ind w:left="0" w:right="57"/>
                  </w:pPr>
                  <w:r>
                    <w:t>–</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D63BAC" w:rsidRDefault="00AC2131" w:rsidP="00AC2131">
                  <w:pPr>
                    <w:ind w:left="227"/>
                    <w:rPr>
                      <w:rFonts w:ascii="Arial" w:hAnsi="Arial" w:cs="Arial"/>
                      <w:color w:val="000000"/>
                      <w:sz w:val="18"/>
                      <w:szCs w:val="18"/>
                    </w:rPr>
                  </w:pPr>
                  <w:r w:rsidRPr="00D63BAC">
                    <w:rPr>
                      <w:rFonts w:ascii="Arial" w:hAnsi="Arial" w:cs="Arial"/>
                      <w:color w:val="000000"/>
                      <w:sz w:val="18"/>
                      <w:szCs w:val="18"/>
                    </w:rPr>
                    <w:t>The Small Business and General Business Tax Break</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129.2</w:t>
                  </w:r>
                </w:p>
              </w:tc>
              <w:tc>
                <w:tcPr>
                  <w:tcW w:w="467" w:type="pct"/>
                  <w:vAlign w:val="bottom"/>
                </w:tcPr>
                <w:p w:rsidR="00AC2131" w:rsidRDefault="00AC2131" w:rsidP="00AC2131">
                  <w:pPr>
                    <w:pStyle w:val="TableBodyText"/>
                    <w:spacing w:after="0"/>
                    <w:ind w:left="0" w:right="57"/>
                  </w:pPr>
                  <w:r>
                    <w:t>115.2</w:t>
                  </w:r>
                </w:p>
              </w:tc>
              <w:tc>
                <w:tcPr>
                  <w:tcW w:w="467" w:type="pct"/>
                  <w:vAlign w:val="bottom"/>
                </w:tcPr>
                <w:p w:rsidR="00AC2131" w:rsidRDefault="00AC2131" w:rsidP="00AC2131">
                  <w:pPr>
                    <w:pStyle w:val="TableBodyText"/>
                    <w:spacing w:after="0"/>
                    <w:ind w:left="0" w:right="57"/>
                  </w:pPr>
                  <w:r>
                    <w:t>182.6</w:t>
                  </w:r>
                </w:p>
              </w:tc>
              <w:tc>
                <w:tcPr>
                  <w:tcW w:w="474" w:type="pct"/>
                  <w:gridSpan w:val="2"/>
                  <w:shd w:val="clear" w:color="auto" w:fill="auto"/>
                  <w:vAlign w:val="bottom"/>
                </w:tcPr>
                <w:p w:rsidR="00AC2131" w:rsidRDefault="00AC2131" w:rsidP="00AC2131">
                  <w:pPr>
                    <w:pStyle w:val="TableBodyText"/>
                    <w:spacing w:after="0"/>
                    <w:ind w:left="0" w:right="57"/>
                  </w:pPr>
                  <w:r>
                    <w:t>63.4</w:t>
                  </w:r>
                </w:p>
              </w:tc>
              <w:tc>
                <w:tcPr>
                  <w:tcW w:w="456" w:type="pct"/>
                  <w:shd w:val="clear" w:color="auto" w:fill="auto"/>
                  <w:vAlign w:val="bottom"/>
                </w:tcPr>
                <w:p w:rsidR="00AC2131" w:rsidRDefault="00AC2131" w:rsidP="00AC2131">
                  <w:pPr>
                    <w:pStyle w:val="TableBodyText"/>
                    <w:spacing w:after="0"/>
                    <w:ind w:left="0" w:right="57"/>
                  </w:pPr>
                  <w:r>
                    <w:t>7.6</w:t>
                  </w:r>
                </w:p>
              </w:tc>
            </w:tr>
            <w:tr w:rsidR="00AC2131" w:rsidTr="00AC2131">
              <w:tc>
                <w:tcPr>
                  <w:tcW w:w="2200" w:type="pct"/>
                  <w:shd w:val="clear" w:color="auto" w:fill="auto"/>
                </w:tcPr>
                <w:p w:rsidR="00AC2131" w:rsidRPr="00D63BAC" w:rsidRDefault="00AC2131" w:rsidP="00AC2131">
                  <w:pPr>
                    <w:pStyle w:val="TableBodyText"/>
                    <w:spacing w:before="20" w:after="20"/>
                    <w:jc w:val="left"/>
                    <w:rPr>
                      <w:i/>
                    </w:rPr>
                  </w:pPr>
                  <w:r w:rsidRPr="00D63BAC">
                    <w:rPr>
                      <w:i/>
                    </w:rPr>
                    <w:t>Total</w:t>
                  </w:r>
                </w:p>
              </w:tc>
              <w:tc>
                <w:tcPr>
                  <w:tcW w:w="468" w:type="pct"/>
                  <w:vAlign w:val="bottom"/>
                </w:tcPr>
                <w:p w:rsidR="00AC2131" w:rsidRPr="00EB56C5" w:rsidRDefault="00AC2131" w:rsidP="00AC2131">
                  <w:pPr>
                    <w:pStyle w:val="TableBodyText"/>
                    <w:spacing w:before="20" w:after="20"/>
                    <w:ind w:left="0" w:right="57"/>
                    <w:rPr>
                      <w:i/>
                    </w:rPr>
                  </w:pPr>
                  <w:r w:rsidRPr="00EB56C5">
                    <w:rPr>
                      <w:i/>
                    </w:rPr>
                    <w:t>923.5</w:t>
                  </w:r>
                </w:p>
              </w:tc>
              <w:tc>
                <w:tcPr>
                  <w:tcW w:w="468" w:type="pct"/>
                  <w:vAlign w:val="bottom"/>
                </w:tcPr>
                <w:p w:rsidR="00AC2131" w:rsidRPr="00EB56C5" w:rsidRDefault="00AC2131" w:rsidP="00AC2131">
                  <w:pPr>
                    <w:pStyle w:val="TableBodyText"/>
                    <w:spacing w:before="20" w:after="20"/>
                    <w:ind w:left="0" w:right="57"/>
                    <w:rPr>
                      <w:i/>
                    </w:rPr>
                  </w:pPr>
                  <w:r w:rsidRPr="00EB56C5">
                    <w:rPr>
                      <w:i/>
                    </w:rPr>
                    <w:t>1003.5</w:t>
                  </w:r>
                </w:p>
              </w:tc>
              <w:tc>
                <w:tcPr>
                  <w:tcW w:w="467" w:type="pct"/>
                  <w:vAlign w:val="bottom"/>
                </w:tcPr>
                <w:p w:rsidR="00AC2131" w:rsidRPr="00EB56C5" w:rsidRDefault="00AC2131" w:rsidP="00AC2131">
                  <w:pPr>
                    <w:pStyle w:val="TableBodyText"/>
                    <w:spacing w:before="20" w:after="20"/>
                    <w:ind w:left="0" w:right="57"/>
                    <w:rPr>
                      <w:i/>
                    </w:rPr>
                  </w:pPr>
                  <w:r w:rsidRPr="00EB56C5">
                    <w:rPr>
                      <w:i/>
                    </w:rPr>
                    <w:t>901.3</w:t>
                  </w:r>
                </w:p>
              </w:tc>
              <w:tc>
                <w:tcPr>
                  <w:tcW w:w="467" w:type="pct"/>
                  <w:vAlign w:val="bottom"/>
                </w:tcPr>
                <w:p w:rsidR="00AC2131" w:rsidRPr="00EB56C5" w:rsidRDefault="00AC2131" w:rsidP="00AC2131">
                  <w:pPr>
                    <w:pStyle w:val="TableBodyText"/>
                    <w:spacing w:before="20" w:after="20"/>
                    <w:ind w:left="0" w:right="57"/>
                    <w:rPr>
                      <w:i/>
                    </w:rPr>
                  </w:pPr>
                  <w:r w:rsidRPr="00EB56C5">
                    <w:rPr>
                      <w:i/>
                    </w:rPr>
                    <w:t>1036.2</w:t>
                  </w:r>
                </w:p>
              </w:tc>
              <w:tc>
                <w:tcPr>
                  <w:tcW w:w="474" w:type="pct"/>
                  <w:gridSpan w:val="2"/>
                  <w:shd w:val="clear" w:color="auto" w:fill="auto"/>
                  <w:vAlign w:val="bottom"/>
                </w:tcPr>
                <w:p w:rsidR="00AC2131" w:rsidRPr="00EB56C5" w:rsidRDefault="00AC2131" w:rsidP="00AC2131">
                  <w:pPr>
                    <w:pStyle w:val="TableBodyText"/>
                    <w:spacing w:before="20" w:after="20"/>
                    <w:ind w:left="0" w:right="57"/>
                    <w:rPr>
                      <w:i/>
                    </w:rPr>
                  </w:pPr>
                  <w:r w:rsidRPr="00EB56C5">
                    <w:rPr>
                      <w:i/>
                    </w:rPr>
                    <w:t>929.4</w:t>
                  </w:r>
                </w:p>
              </w:tc>
              <w:tc>
                <w:tcPr>
                  <w:tcW w:w="456" w:type="pct"/>
                  <w:shd w:val="clear" w:color="auto" w:fill="auto"/>
                  <w:vAlign w:val="bottom"/>
                </w:tcPr>
                <w:p w:rsidR="00AC2131" w:rsidRPr="00EB56C5" w:rsidRDefault="00AC2131" w:rsidP="00AC2131">
                  <w:pPr>
                    <w:pStyle w:val="TableBodyText"/>
                    <w:spacing w:before="20" w:after="20"/>
                    <w:ind w:left="0" w:right="57"/>
                    <w:rPr>
                      <w:i/>
                    </w:rPr>
                  </w:pPr>
                  <w:r w:rsidRPr="00EB56C5">
                    <w:rPr>
                      <w:i/>
                    </w:rPr>
                    <w:t>960.5</w:t>
                  </w:r>
                </w:p>
              </w:tc>
            </w:tr>
            <w:tr w:rsidR="00AC2131" w:rsidTr="00AC2131">
              <w:tc>
                <w:tcPr>
                  <w:tcW w:w="2668" w:type="pct"/>
                  <w:gridSpan w:val="2"/>
                </w:tcPr>
                <w:p w:rsidR="00AC2131" w:rsidRDefault="00AC2131" w:rsidP="00AC2131">
                  <w:pPr>
                    <w:pStyle w:val="TableUnitsRow"/>
                  </w:pPr>
                  <w:r w:rsidRPr="00B92ED2">
                    <w:rPr>
                      <w:b/>
                    </w:rPr>
                    <w:t>Property, professional and administrative services</w:t>
                  </w:r>
                </w:p>
              </w:tc>
              <w:tc>
                <w:tcPr>
                  <w:tcW w:w="468" w:type="pct"/>
                </w:tcPr>
                <w:p w:rsidR="00AC2131" w:rsidRDefault="00AC2131" w:rsidP="00AC2131">
                  <w:pPr>
                    <w:pStyle w:val="TableUnitsRow"/>
                  </w:pPr>
                </w:p>
              </w:tc>
              <w:tc>
                <w:tcPr>
                  <w:tcW w:w="467" w:type="pct"/>
                </w:tcPr>
                <w:p w:rsidR="00AC2131" w:rsidRDefault="00AC2131" w:rsidP="00AC2131">
                  <w:pPr>
                    <w:pStyle w:val="TableUnitsRow"/>
                  </w:pPr>
                </w:p>
              </w:tc>
              <w:tc>
                <w:tcPr>
                  <w:tcW w:w="467" w:type="pct"/>
                </w:tcPr>
                <w:p w:rsidR="00AC2131" w:rsidRDefault="00AC2131" w:rsidP="00AC2131">
                  <w:pPr>
                    <w:pStyle w:val="TableUnitsRow"/>
                  </w:pPr>
                </w:p>
              </w:tc>
              <w:tc>
                <w:tcPr>
                  <w:tcW w:w="474" w:type="pct"/>
                  <w:gridSpan w:val="2"/>
                </w:tcPr>
                <w:p w:rsidR="00AC2131" w:rsidRDefault="00AC2131" w:rsidP="00AC2131">
                  <w:pPr>
                    <w:pStyle w:val="TableUnitsRow"/>
                  </w:pPr>
                </w:p>
              </w:tc>
              <w:tc>
                <w:tcPr>
                  <w:tcW w:w="456" w:type="pct"/>
                </w:tcPr>
                <w:p w:rsidR="00AC2131" w:rsidRDefault="00AC2131" w:rsidP="00AC2131">
                  <w:pPr>
                    <w:pStyle w:val="TableUnitsRow"/>
                    <w:ind w:right="28"/>
                  </w:pPr>
                </w:p>
              </w:tc>
            </w:tr>
            <w:tr w:rsidR="00AC2131" w:rsidTr="00AC2131">
              <w:tc>
                <w:tcPr>
                  <w:tcW w:w="2200" w:type="pct"/>
                </w:tcPr>
                <w:p w:rsidR="00AC2131" w:rsidRPr="00B92ED2" w:rsidRDefault="00AC2131" w:rsidP="00AC2131">
                  <w:pPr>
                    <w:pStyle w:val="TableBodyText"/>
                    <w:spacing w:before="40" w:after="0"/>
                    <w:ind w:left="113"/>
                    <w:jc w:val="left"/>
                    <w:rPr>
                      <w:i/>
                    </w:rPr>
                  </w:pPr>
                  <w:r w:rsidRPr="00B92ED2">
                    <w:rPr>
                      <w:i/>
                    </w:rPr>
                    <w:t>Industry-specific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74" w:type="pct"/>
                  <w:gridSpan w:val="2"/>
                </w:tcPr>
                <w:p w:rsidR="00AC2131" w:rsidRDefault="00AC2131" w:rsidP="00AC2131">
                  <w:pPr>
                    <w:pStyle w:val="TableBodyText"/>
                    <w:spacing w:before="40" w:after="0"/>
                    <w:ind w:left="113"/>
                  </w:pPr>
                </w:p>
              </w:tc>
              <w:tc>
                <w:tcPr>
                  <w:tcW w:w="456" w:type="pct"/>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 xml:space="preserve">Pharmaceuticals Partnerships Program </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4" w:type="pct"/>
                  <w:gridSpan w:val="2"/>
                  <w:shd w:val="clear" w:color="auto" w:fill="auto"/>
                  <w:vAlign w:val="bottom"/>
                </w:tcPr>
                <w:p w:rsidR="00AC2131" w:rsidRDefault="00AC2131" w:rsidP="00AC2131">
                  <w:pPr>
                    <w:pStyle w:val="TableBodyText"/>
                    <w:spacing w:after="0"/>
                    <w:ind w:left="0" w:right="57"/>
                  </w:pPr>
                  <w:r>
                    <w:t>–</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Solar cities initiative</w:t>
                  </w:r>
                </w:p>
              </w:tc>
              <w:tc>
                <w:tcPr>
                  <w:tcW w:w="468" w:type="pct"/>
                  <w:vAlign w:val="bottom"/>
                </w:tcPr>
                <w:p w:rsidR="00AC2131" w:rsidRDefault="00AC2131" w:rsidP="00AC2131">
                  <w:pPr>
                    <w:pStyle w:val="TableBodyText"/>
                    <w:spacing w:after="0"/>
                    <w:ind w:left="0" w:right="57"/>
                  </w:pPr>
                  <w:r>
                    <w:t>7.2</w:t>
                  </w:r>
                </w:p>
              </w:tc>
              <w:tc>
                <w:tcPr>
                  <w:tcW w:w="468" w:type="pct"/>
                  <w:vAlign w:val="bottom"/>
                </w:tcPr>
                <w:p w:rsidR="00AC2131" w:rsidRDefault="00AC2131" w:rsidP="00AC2131">
                  <w:pPr>
                    <w:pStyle w:val="TableBodyText"/>
                    <w:spacing w:after="0"/>
                    <w:ind w:left="0" w:right="57"/>
                  </w:pPr>
                  <w:r>
                    <w:t>11.7</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4" w:type="pct"/>
                  <w:gridSpan w:val="2"/>
                  <w:shd w:val="clear" w:color="auto" w:fill="auto"/>
                  <w:vAlign w:val="bottom"/>
                </w:tcPr>
                <w:p w:rsidR="00AC2131" w:rsidRDefault="00AC2131" w:rsidP="00AC2131">
                  <w:pPr>
                    <w:pStyle w:val="TableBodyText"/>
                    <w:spacing w:after="0"/>
                    <w:ind w:left="0" w:right="57"/>
                  </w:pPr>
                  <w:r>
                    <w:t>–</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TCF Small Business Program</w:t>
                  </w:r>
                </w:p>
              </w:tc>
              <w:tc>
                <w:tcPr>
                  <w:tcW w:w="468" w:type="pct"/>
                  <w:vAlign w:val="bottom"/>
                </w:tcPr>
                <w:p w:rsidR="00AC2131" w:rsidRDefault="00AC2131" w:rsidP="00AC2131">
                  <w:pPr>
                    <w:pStyle w:val="TableBodyText"/>
                    <w:spacing w:after="0"/>
                    <w:ind w:left="0" w:right="57"/>
                  </w:pPr>
                  <w:r>
                    <w:t>0.3</w:t>
                  </w:r>
                </w:p>
              </w:tc>
              <w:tc>
                <w:tcPr>
                  <w:tcW w:w="468"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0.3</w:t>
                  </w:r>
                </w:p>
              </w:tc>
              <w:tc>
                <w:tcPr>
                  <w:tcW w:w="474" w:type="pct"/>
                  <w:gridSpan w:val="2"/>
                  <w:shd w:val="clear" w:color="auto" w:fill="auto"/>
                  <w:vAlign w:val="bottom"/>
                </w:tcPr>
                <w:p w:rsidR="00AC2131" w:rsidRDefault="00AC2131" w:rsidP="00AC2131">
                  <w:pPr>
                    <w:pStyle w:val="TableBodyText"/>
                    <w:spacing w:after="0"/>
                    <w:ind w:left="0" w:right="57"/>
                  </w:pPr>
                  <w:r>
                    <w:t>0.6</w:t>
                  </w:r>
                </w:p>
              </w:tc>
              <w:tc>
                <w:tcPr>
                  <w:tcW w:w="456" w:type="pct"/>
                  <w:shd w:val="clear" w:color="auto" w:fill="auto"/>
                  <w:vAlign w:val="bottom"/>
                </w:tcPr>
                <w:p w:rsidR="00AC2131" w:rsidRDefault="00AC2131" w:rsidP="00AC2131">
                  <w:pPr>
                    <w:pStyle w:val="TableBodyText"/>
                    <w:spacing w:after="0"/>
                    <w:ind w:left="0" w:right="57"/>
                  </w:pPr>
                  <w:r>
                    <w:t>0.3</w:t>
                  </w:r>
                </w:p>
              </w:tc>
            </w:tr>
            <w:tr w:rsidR="00AC2131" w:rsidTr="00AC2131">
              <w:tc>
                <w:tcPr>
                  <w:tcW w:w="2200" w:type="pct"/>
                  <w:shd w:val="clear" w:color="auto" w:fill="auto"/>
                </w:tcPr>
                <w:p w:rsidR="00AC2131" w:rsidRPr="00B92ED2" w:rsidRDefault="00AC2131" w:rsidP="00AC2131">
                  <w:pPr>
                    <w:pStyle w:val="TableBodyText"/>
                    <w:spacing w:before="40" w:after="0"/>
                    <w:ind w:left="113"/>
                    <w:jc w:val="left"/>
                    <w:rPr>
                      <w:i/>
                    </w:rPr>
                  </w:pPr>
                  <w:r w:rsidRPr="00B92ED2">
                    <w:rPr>
                      <w:i/>
                    </w:rPr>
                    <w:t>Sector-specific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74" w:type="pct"/>
                  <w:gridSpan w:val="2"/>
                  <w:shd w:val="clear" w:color="auto" w:fill="auto"/>
                </w:tcPr>
                <w:p w:rsidR="00AC2131" w:rsidRDefault="00AC2131" w:rsidP="00AC2131">
                  <w:pPr>
                    <w:pStyle w:val="TableBodyText"/>
                    <w:spacing w:before="40" w:after="0"/>
                    <w:ind w:left="113"/>
                  </w:pPr>
                </w:p>
              </w:tc>
              <w:tc>
                <w:tcPr>
                  <w:tcW w:w="45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Clean Technology Investment - General Program</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4" w:type="pct"/>
                  <w:gridSpan w:val="2"/>
                  <w:shd w:val="clear" w:color="auto" w:fill="auto"/>
                  <w:vAlign w:val="bottom"/>
                </w:tcPr>
                <w:p w:rsidR="00AC2131" w:rsidRDefault="00AC2131" w:rsidP="00AC2131">
                  <w:pPr>
                    <w:pStyle w:val="TableBodyText"/>
                    <w:spacing w:after="0"/>
                    <w:ind w:left="0" w:right="57"/>
                  </w:pPr>
                  <w:r>
                    <w:t>0.2</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Pr>
                      <w:rFonts w:ascii="Arial" w:hAnsi="Arial" w:cs="Arial"/>
                      <w:color w:val="000000"/>
                      <w:sz w:val="18"/>
                      <w:szCs w:val="18"/>
                    </w:rPr>
                    <w:t>Exceptional Circumstances – interest rate subsidies</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74" w:type="pct"/>
                  <w:gridSpan w:val="2"/>
                  <w:shd w:val="clear" w:color="auto" w:fill="auto"/>
                  <w:vAlign w:val="bottom"/>
                </w:tcPr>
                <w:p w:rsidR="00AC2131" w:rsidRDefault="00AC2131" w:rsidP="00AC2131">
                  <w:pPr>
                    <w:pStyle w:val="TableBodyText"/>
                    <w:spacing w:after="0"/>
                    <w:ind w:left="0" w:right="57"/>
                  </w:pPr>
                  <w:r>
                    <w:t>–</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B92ED2" w:rsidRDefault="00AC2131" w:rsidP="00AC2131">
                  <w:pPr>
                    <w:pStyle w:val="TableBodyText"/>
                    <w:spacing w:before="40" w:after="0"/>
                    <w:ind w:left="113"/>
                    <w:jc w:val="left"/>
                    <w:rPr>
                      <w:i/>
                    </w:rPr>
                  </w:pPr>
                  <w:r w:rsidRPr="00B92ED2">
                    <w:rPr>
                      <w:i/>
                    </w:rPr>
                    <w:t>General export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74" w:type="pct"/>
                  <w:gridSpan w:val="2"/>
                  <w:shd w:val="clear" w:color="auto" w:fill="auto"/>
                </w:tcPr>
                <w:p w:rsidR="00AC2131" w:rsidRDefault="00AC2131" w:rsidP="00AC2131">
                  <w:pPr>
                    <w:pStyle w:val="TableBodyText"/>
                    <w:spacing w:before="40" w:after="0"/>
                    <w:ind w:left="113"/>
                  </w:pPr>
                </w:p>
              </w:tc>
              <w:tc>
                <w:tcPr>
                  <w:tcW w:w="45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Export Market Development Grants Scheme</w:t>
                  </w:r>
                </w:p>
              </w:tc>
              <w:tc>
                <w:tcPr>
                  <w:tcW w:w="468" w:type="pct"/>
                  <w:vAlign w:val="bottom"/>
                </w:tcPr>
                <w:p w:rsidR="00AC2131" w:rsidRDefault="00AC2131" w:rsidP="00AC2131">
                  <w:pPr>
                    <w:pStyle w:val="TableBodyText"/>
                    <w:spacing w:after="0"/>
                    <w:ind w:left="0" w:right="57"/>
                  </w:pPr>
                  <w:r>
                    <w:t>35.7</w:t>
                  </w:r>
                </w:p>
              </w:tc>
              <w:tc>
                <w:tcPr>
                  <w:tcW w:w="468" w:type="pct"/>
                  <w:vAlign w:val="bottom"/>
                </w:tcPr>
                <w:p w:rsidR="00AC2131" w:rsidRDefault="00AC2131" w:rsidP="00AC2131">
                  <w:pPr>
                    <w:pStyle w:val="TableBodyText"/>
                    <w:spacing w:after="0"/>
                    <w:ind w:left="0" w:right="57"/>
                  </w:pPr>
                  <w:r>
                    <w:t>37.2</w:t>
                  </w:r>
                </w:p>
              </w:tc>
              <w:tc>
                <w:tcPr>
                  <w:tcW w:w="467" w:type="pct"/>
                  <w:vAlign w:val="bottom"/>
                </w:tcPr>
                <w:p w:rsidR="00AC2131" w:rsidRDefault="00AC2131" w:rsidP="00AC2131">
                  <w:pPr>
                    <w:pStyle w:val="TableBodyText"/>
                    <w:spacing w:after="0"/>
                    <w:ind w:left="0" w:right="57"/>
                  </w:pPr>
                  <w:r>
                    <w:t>26.8</w:t>
                  </w:r>
                </w:p>
              </w:tc>
              <w:tc>
                <w:tcPr>
                  <w:tcW w:w="467" w:type="pct"/>
                  <w:vAlign w:val="bottom"/>
                </w:tcPr>
                <w:p w:rsidR="00AC2131" w:rsidRDefault="00AC2131" w:rsidP="00AC2131">
                  <w:pPr>
                    <w:pStyle w:val="TableBodyText"/>
                    <w:spacing w:after="0"/>
                    <w:ind w:left="0" w:right="57"/>
                  </w:pPr>
                  <w:r>
                    <w:t>27.1</w:t>
                  </w:r>
                </w:p>
              </w:tc>
              <w:tc>
                <w:tcPr>
                  <w:tcW w:w="474" w:type="pct"/>
                  <w:gridSpan w:val="2"/>
                  <w:shd w:val="clear" w:color="auto" w:fill="auto"/>
                  <w:vAlign w:val="bottom"/>
                </w:tcPr>
                <w:p w:rsidR="00AC2131" w:rsidRDefault="00AC2131" w:rsidP="00AC2131">
                  <w:pPr>
                    <w:pStyle w:val="TableBodyText"/>
                    <w:spacing w:after="0"/>
                    <w:ind w:left="0" w:right="57"/>
                  </w:pPr>
                  <w:r>
                    <w:t>25.7</w:t>
                  </w:r>
                </w:p>
              </w:tc>
              <w:tc>
                <w:tcPr>
                  <w:tcW w:w="456" w:type="pct"/>
                  <w:shd w:val="clear" w:color="auto" w:fill="auto"/>
                  <w:vAlign w:val="bottom"/>
                </w:tcPr>
                <w:p w:rsidR="00AC2131" w:rsidRDefault="00AC2131" w:rsidP="00AC2131">
                  <w:pPr>
                    <w:pStyle w:val="TableBodyText"/>
                    <w:spacing w:after="0"/>
                    <w:ind w:left="0" w:right="57"/>
                  </w:pPr>
                  <w:r>
                    <w:t>22.5</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TRADEX</w:t>
                  </w:r>
                </w:p>
              </w:tc>
              <w:tc>
                <w:tcPr>
                  <w:tcW w:w="468" w:type="pct"/>
                  <w:vAlign w:val="bottom"/>
                </w:tcPr>
                <w:p w:rsidR="00AC2131" w:rsidRDefault="00AC2131" w:rsidP="00AC2131">
                  <w:pPr>
                    <w:pStyle w:val="TableBodyText"/>
                    <w:spacing w:after="0"/>
                    <w:ind w:left="0" w:right="57"/>
                  </w:pPr>
                  <w:r>
                    <w:t>0.4</w:t>
                  </w:r>
                </w:p>
              </w:tc>
              <w:tc>
                <w:tcPr>
                  <w:tcW w:w="468"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74" w:type="pct"/>
                  <w:gridSpan w:val="2"/>
                  <w:shd w:val="clear" w:color="auto" w:fill="auto"/>
                  <w:vAlign w:val="bottom"/>
                </w:tcPr>
                <w:p w:rsidR="00AC2131" w:rsidRDefault="00AC2131" w:rsidP="00AC2131">
                  <w:pPr>
                    <w:pStyle w:val="TableBodyText"/>
                    <w:spacing w:after="0"/>
                    <w:ind w:left="0" w:right="57"/>
                  </w:pPr>
                  <w:r>
                    <w:t>0.2</w:t>
                  </w:r>
                </w:p>
              </w:tc>
              <w:tc>
                <w:tcPr>
                  <w:tcW w:w="456"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tcPr>
                <w:p w:rsidR="00AC2131" w:rsidRPr="00B92ED2" w:rsidRDefault="00AC2131" w:rsidP="00AC2131">
                  <w:pPr>
                    <w:pStyle w:val="TableBodyText"/>
                    <w:spacing w:before="40" w:after="0"/>
                    <w:ind w:left="113"/>
                    <w:jc w:val="left"/>
                    <w:rPr>
                      <w:i/>
                    </w:rPr>
                  </w:pPr>
                  <w:r w:rsidRPr="00B92ED2">
                    <w:rPr>
                      <w:i/>
                    </w:rPr>
                    <w:t>General R&amp;D measures</w:t>
                  </w:r>
                </w:p>
              </w:tc>
              <w:tc>
                <w:tcPr>
                  <w:tcW w:w="468" w:type="pct"/>
                </w:tcPr>
                <w:p w:rsidR="00AC2131" w:rsidRDefault="00AC2131" w:rsidP="00AC2131">
                  <w:pPr>
                    <w:pStyle w:val="TableBodyText"/>
                    <w:spacing w:before="40" w:after="0"/>
                    <w:ind w:left="113"/>
                  </w:pPr>
                </w:p>
              </w:tc>
              <w:tc>
                <w:tcPr>
                  <w:tcW w:w="468"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74" w:type="pct"/>
                  <w:gridSpan w:val="2"/>
                  <w:shd w:val="clear" w:color="auto" w:fill="auto"/>
                </w:tcPr>
                <w:p w:rsidR="00AC2131" w:rsidRDefault="00AC2131" w:rsidP="00AC2131">
                  <w:pPr>
                    <w:pStyle w:val="TableBodyText"/>
                    <w:spacing w:before="40" w:after="0"/>
                    <w:ind w:left="113"/>
                  </w:pPr>
                </w:p>
              </w:tc>
              <w:tc>
                <w:tcPr>
                  <w:tcW w:w="456"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 xml:space="preserve">Clean Business Australia </w:t>
                  </w:r>
                  <w:r>
                    <w:rPr>
                      <w:rFonts w:ascii="Arial" w:hAnsi="Arial" w:cs="Arial"/>
                      <w:color w:val="000000"/>
                      <w:sz w:val="18"/>
                      <w:szCs w:val="18"/>
                    </w:rPr>
                    <w:t>–</w:t>
                  </w:r>
                  <w:r w:rsidRPr="00B92ED2">
                    <w:rPr>
                      <w:rFonts w:ascii="Arial" w:hAnsi="Arial" w:cs="Arial"/>
                      <w:color w:val="000000"/>
                      <w:sz w:val="18"/>
                      <w:szCs w:val="18"/>
                    </w:rPr>
                    <w:t xml:space="preserve"> Climate Ready Program</w:t>
                  </w:r>
                </w:p>
              </w:tc>
              <w:tc>
                <w:tcPr>
                  <w:tcW w:w="468" w:type="pct"/>
                  <w:vAlign w:val="bottom"/>
                </w:tcPr>
                <w:p w:rsidR="00AC2131" w:rsidRDefault="00AC2131" w:rsidP="00AC2131">
                  <w:pPr>
                    <w:pStyle w:val="TableBodyText"/>
                    <w:spacing w:after="0"/>
                    <w:ind w:left="0" w:right="57"/>
                  </w:pPr>
                  <w:r>
                    <w:t>1.1</w:t>
                  </w:r>
                </w:p>
              </w:tc>
              <w:tc>
                <w:tcPr>
                  <w:tcW w:w="468" w:type="pct"/>
                  <w:vAlign w:val="bottom"/>
                </w:tcPr>
                <w:p w:rsidR="00AC2131" w:rsidRDefault="00AC2131" w:rsidP="00AC2131">
                  <w:pPr>
                    <w:pStyle w:val="TableBodyText"/>
                    <w:spacing w:after="0"/>
                    <w:ind w:left="0" w:right="57"/>
                  </w:pPr>
                  <w:r>
                    <w:t>4.5</w:t>
                  </w:r>
                </w:p>
              </w:tc>
              <w:tc>
                <w:tcPr>
                  <w:tcW w:w="467" w:type="pct"/>
                  <w:vAlign w:val="bottom"/>
                </w:tcPr>
                <w:p w:rsidR="00AC2131" w:rsidRDefault="00AC2131" w:rsidP="00AC2131">
                  <w:pPr>
                    <w:pStyle w:val="TableBodyText"/>
                    <w:spacing w:after="0"/>
                    <w:ind w:left="0" w:right="57"/>
                  </w:pPr>
                  <w:r>
                    <w:t>3.1</w:t>
                  </w:r>
                </w:p>
              </w:tc>
              <w:tc>
                <w:tcPr>
                  <w:tcW w:w="467" w:type="pct"/>
                  <w:vAlign w:val="bottom"/>
                </w:tcPr>
                <w:p w:rsidR="00AC2131" w:rsidRDefault="00AC2131" w:rsidP="00AC2131">
                  <w:pPr>
                    <w:pStyle w:val="TableBodyText"/>
                    <w:spacing w:after="0"/>
                    <w:ind w:left="0" w:right="57"/>
                  </w:pPr>
                  <w:r>
                    <w:t>0.6</w:t>
                  </w:r>
                </w:p>
              </w:tc>
              <w:tc>
                <w:tcPr>
                  <w:tcW w:w="474" w:type="pct"/>
                  <w:gridSpan w:val="2"/>
                  <w:shd w:val="clear" w:color="auto" w:fill="auto"/>
                  <w:vAlign w:val="bottom"/>
                </w:tcPr>
                <w:p w:rsidR="00AC2131" w:rsidRDefault="00AC2131" w:rsidP="00AC2131">
                  <w:pPr>
                    <w:pStyle w:val="TableBodyText"/>
                    <w:spacing w:after="0"/>
                    <w:ind w:left="0" w:right="57"/>
                  </w:pPr>
                  <w:r>
                    <w:t>–</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Clean Technology Innovation Program</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4" w:type="pct"/>
                  <w:gridSpan w:val="2"/>
                  <w:shd w:val="clear" w:color="auto" w:fill="auto"/>
                  <w:vAlign w:val="bottom"/>
                </w:tcPr>
                <w:p w:rsidR="00AC2131" w:rsidRDefault="00AC2131" w:rsidP="00AC2131">
                  <w:pPr>
                    <w:pStyle w:val="TableBodyText"/>
                    <w:spacing w:after="0"/>
                    <w:ind w:left="0" w:right="57"/>
                  </w:pPr>
                  <w:r>
                    <w:t>0.3</w:t>
                  </w:r>
                </w:p>
              </w:tc>
              <w:tc>
                <w:tcPr>
                  <w:tcW w:w="456" w:type="pct"/>
                  <w:shd w:val="clear" w:color="auto" w:fill="auto"/>
                  <w:vAlign w:val="bottom"/>
                </w:tcPr>
                <w:p w:rsidR="00AC2131" w:rsidRDefault="00AC2131" w:rsidP="00AC2131">
                  <w:pPr>
                    <w:pStyle w:val="TableBodyText"/>
                    <w:spacing w:after="0"/>
                    <w:ind w:left="0" w:right="57"/>
                  </w:pPr>
                  <w:r>
                    <w:t>2.2</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COMET Program</w:t>
                  </w:r>
                </w:p>
              </w:tc>
              <w:tc>
                <w:tcPr>
                  <w:tcW w:w="468" w:type="pct"/>
                  <w:vAlign w:val="bottom"/>
                </w:tcPr>
                <w:p w:rsidR="00AC2131" w:rsidRDefault="00AC2131" w:rsidP="00AC2131">
                  <w:pPr>
                    <w:pStyle w:val="TableBodyText"/>
                    <w:spacing w:after="0"/>
                    <w:ind w:left="0" w:right="57"/>
                  </w:pPr>
                  <w:r>
                    <w:t>3.9</w:t>
                  </w:r>
                </w:p>
              </w:tc>
              <w:tc>
                <w:tcPr>
                  <w:tcW w:w="468" w:type="pct"/>
                  <w:vAlign w:val="bottom"/>
                </w:tcPr>
                <w:p w:rsidR="00AC2131" w:rsidRDefault="00AC2131" w:rsidP="00AC2131">
                  <w:pPr>
                    <w:pStyle w:val="TableBodyText"/>
                    <w:spacing w:after="0"/>
                    <w:ind w:left="0" w:right="57"/>
                  </w:pPr>
                  <w:r>
                    <w:t>3.1</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&lt;0.1</w:t>
                  </w:r>
                </w:p>
              </w:tc>
              <w:tc>
                <w:tcPr>
                  <w:tcW w:w="474" w:type="pct"/>
                  <w:gridSpan w:val="2"/>
                  <w:shd w:val="clear" w:color="auto" w:fill="auto"/>
                  <w:vAlign w:val="bottom"/>
                </w:tcPr>
                <w:p w:rsidR="00AC2131" w:rsidRDefault="00AC2131" w:rsidP="00AC2131">
                  <w:pPr>
                    <w:pStyle w:val="TableBodyText"/>
                    <w:spacing w:after="0"/>
                    <w:ind w:left="0" w:right="57"/>
                  </w:pPr>
                  <w:r>
                    <w:t>–</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Commercial Ready Program</w:t>
                  </w:r>
                </w:p>
              </w:tc>
              <w:tc>
                <w:tcPr>
                  <w:tcW w:w="468" w:type="pct"/>
                  <w:vAlign w:val="bottom"/>
                </w:tcPr>
                <w:p w:rsidR="00AC2131" w:rsidRDefault="00AC2131" w:rsidP="00AC2131">
                  <w:pPr>
                    <w:pStyle w:val="TableBodyText"/>
                    <w:spacing w:after="0"/>
                    <w:ind w:left="0" w:right="57"/>
                  </w:pPr>
                  <w:r>
                    <w:t>36.2</w:t>
                  </w:r>
                </w:p>
              </w:tc>
              <w:tc>
                <w:tcPr>
                  <w:tcW w:w="468" w:type="pct"/>
                  <w:vAlign w:val="bottom"/>
                </w:tcPr>
                <w:p w:rsidR="00AC2131" w:rsidRDefault="00AC2131" w:rsidP="00AC2131">
                  <w:pPr>
                    <w:pStyle w:val="TableBodyText"/>
                    <w:spacing w:after="0"/>
                    <w:ind w:left="0" w:right="57"/>
                  </w:pPr>
                  <w:r>
                    <w:t>11.6</w:t>
                  </w:r>
                </w:p>
              </w:tc>
              <w:tc>
                <w:tcPr>
                  <w:tcW w:w="467" w:type="pct"/>
                  <w:vAlign w:val="bottom"/>
                </w:tcPr>
                <w:p w:rsidR="00AC2131" w:rsidRDefault="00AC2131" w:rsidP="00AC2131">
                  <w:pPr>
                    <w:pStyle w:val="TableBodyText"/>
                    <w:spacing w:after="0"/>
                    <w:ind w:left="0" w:right="57"/>
                  </w:pPr>
                  <w:r>
                    <w:t>3.2</w:t>
                  </w:r>
                </w:p>
              </w:tc>
              <w:tc>
                <w:tcPr>
                  <w:tcW w:w="467" w:type="pct"/>
                  <w:vAlign w:val="bottom"/>
                </w:tcPr>
                <w:p w:rsidR="00AC2131" w:rsidRDefault="00AC2131" w:rsidP="00AC2131">
                  <w:pPr>
                    <w:pStyle w:val="TableBodyText"/>
                    <w:spacing w:after="0"/>
                    <w:ind w:left="0" w:right="57"/>
                  </w:pPr>
                  <w:r>
                    <w:t>0.1</w:t>
                  </w:r>
                </w:p>
              </w:tc>
              <w:tc>
                <w:tcPr>
                  <w:tcW w:w="474" w:type="pct"/>
                  <w:gridSpan w:val="2"/>
                  <w:shd w:val="clear" w:color="auto" w:fill="auto"/>
                  <w:vAlign w:val="bottom"/>
                </w:tcPr>
                <w:p w:rsidR="00AC2131" w:rsidRDefault="00AC2131" w:rsidP="00AC2131">
                  <w:pPr>
                    <w:pStyle w:val="TableBodyText"/>
                    <w:spacing w:after="0"/>
                    <w:ind w:left="0" w:right="57"/>
                  </w:pPr>
                  <w:r>
                    <w:t>–</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Commercialisation Australia</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10.0</w:t>
                  </w:r>
                </w:p>
              </w:tc>
              <w:tc>
                <w:tcPr>
                  <w:tcW w:w="467" w:type="pct"/>
                  <w:vAlign w:val="bottom"/>
                </w:tcPr>
                <w:p w:rsidR="00AC2131" w:rsidRDefault="00AC2131" w:rsidP="00AC2131">
                  <w:pPr>
                    <w:pStyle w:val="TableBodyText"/>
                    <w:spacing w:after="0"/>
                    <w:ind w:left="0" w:right="57"/>
                  </w:pPr>
                  <w:r>
                    <w:t>13.6</w:t>
                  </w:r>
                </w:p>
              </w:tc>
              <w:tc>
                <w:tcPr>
                  <w:tcW w:w="474" w:type="pct"/>
                  <w:gridSpan w:val="2"/>
                  <w:shd w:val="clear" w:color="auto" w:fill="auto"/>
                  <w:vAlign w:val="bottom"/>
                </w:tcPr>
                <w:p w:rsidR="00AC2131" w:rsidRDefault="00AC2131" w:rsidP="00AC2131">
                  <w:pPr>
                    <w:pStyle w:val="TableBodyText"/>
                    <w:spacing w:after="0"/>
                    <w:ind w:left="0" w:right="57"/>
                  </w:pPr>
                  <w:r>
                    <w:t>18.7</w:t>
                  </w:r>
                </w:p>
              </w:tc>
              <w:tc>
                <w:tcPr>
                  <w:tcW w:w="456" w:type="pct"/>
                  <w:shd w:val="clear" w:color="auto" w:fill="auto"/>
                  <w:vAlign w:val="bottom"/>
                </w:tcPr>
                <w:p w:rsidR="00AC2131" w:rsidRDefault="00AC2131" w:rsidP="00AC2131">
                  <w:pPr>
                    <w:pStyle w:val="TableBodyText"/>
                    <w:spacing w:after="0"/>
                    <w:ind w:left="0" w:right="57"/>
                  </w:pPr>
                  <w:r>
                    <w:t>16.3</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Cooperative Research Centres</w:t>
                  </w:r>
                </w:p>
              </w:tc>
              <w:tc>
                <w:tcPr>
                  <w:tcW w:w="468" w:type="pct"/>
                  <w:vAlign w:val="bottom"/>
                </w:tcPr>
                <w:p w:rsidR="00AC2131" w:rsidRDefault="00AC2131" w:rsidP="00AC2131">
                  <w:pPr>
                    <w:pStyle w:val="TableBodyText"/>
                    <w:spacing w:after="0"/>
                    <w:ind w:left="0" w:right="57"/>
                  </w:pPr>
                  <w:r>
                    <w:t>7.7</w:t>
                  </w:r>
                </w:p>
              </w:tc>
              <w:tc>
                <w:tcPr>
                  <w:tcW w:w="468" w:type="pct"/>
                  <w:vAlign w:val="bottom"/>
                </w:tcPr>
                <w:p w:rsidR="00AC2131" w:rsidRDefault="00AC2131" w:rsidP="00AC2131">
                  <w:pPr>
                    <w:pStyle w:val="TableBodyText"/>
                    <w:spacing w:after="0"/>
                    <w:ind w:left="0" w:right="57"/>
                  </w:pPr>
                  <w:r>
                    <w:t>9.3</w:t>
                  </w:r>
                </w:p>
              </w:tc>
              <w:tc>
                <w:tcPr>
                  <w:tcW w:w="467" w:type="pct"/>
                  <w:vAlign w:val="bottom"/>
                </w:tcPr>
                <w:p w:rsidR="00AC2131" w:rsidRDefault="00AC2131" w:rsidP="00AC2131">
                  <w:pPr>
                    <w:pStyle w:val="TableBodyText"/>
                    <w:spacing w:after="0"/>
                    <w:ind w:left="0" w:right="57"/>
                  </w:pPr>
                  <w:r>
                    <w:t>11.5</w:t>
                  </w:r>
                </w:p>
              </w:tc>
              <w:tc>
                <w:tcPr>
                  <w:tcW w:w="467" w:type="pct"/>
                  <w:vAlign w:val="bottom"/>
                </w:tcPr>
                <w:p w:rsidR="00AC2131" w:rsidRDefault="00AC2131" w:rsidP="00AC2131">
                  <w:pPr>
                    <w:pStyle w:val="TableBodyText"/>
                    <w:spacing w:after="0"/>
                    <w:ind w:left="0" w:right="57"/>
                  </w:pPr>
                  <w:r>
                    <w:t>11.9</w:t>
                  </w:r>
                </w:p>
              </w:tc>
              <w:tc>
                <w:tcPr>
                  <w:tcW w:w="474" w:type="pct"/>
                  <w:gridSpan w:val="2"/>
                  <w:shd w:val="clear" w:color="auto" w:fill="auto"/>
                  <w:vAlign w:val="bottom"/>
                </w:tcPr>
                <w:p w:rsidR="00AC2131" w:rsidRDefault="00AC2131" w:rsidP="00AC2131">
                  <w:pPr>
                    <w:pStyle w:val="TableBodyText"/>
                    <w:spacing w:after="0"/>
                    <w:ind w:left="0" w:right="57"/>
                  </w:pPr>
                  <w:r>
                    <w:t>12.4</w:t>
                  </w:r>
                </w:p>
              </w:tc>
              <w:tc>
                <w:tcPr>
                  <w:tcW w:w="456" w:type="pct"/>
                  <w:shd w:val="clear" w:color="auto" w:fill="auto"/>
                  <w:vAlign w:val="bottom"/>
                </w:tcPr>
                <w:p w:rsidR="00AC2131" w:rsidRDefault="00AC2131" w:rsidP="00AC2131">
                  <w:pPr>
                    <w:pStyle w:val="TableBodyText"/>
                    <w:spacing w:after="0"/>
                    <w:ind w:left="0" w:right="57"/>
                  </w:pPr>
                  <w:r>
                    <w:t>7.9</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CSIRO</w:t>
                  </w:r>
                </w:p>
              </w:tc>
              <w:tc>
                <w:tcPr>
                  <w:tcW w:w="468" w:type="pct"/>
                  <w:vAlign w:val="bottom"/>
                </w:tcPr>
                <w:p w:rsidR="00AC2131" w:rsidRDefault="00AC2131" w:rsidP="00AC2131">
                  <w:pPr>
                    <w:pStyle w:val="TableBodyText"/>
                    <w:spacing w:after="0"/>
                    <w:ind w:left="0" w:right="57"/>
                  </w:pPr>
                  <w:r>
                    <w:t>2.0</w:t>
                  </w:r>
                </w:p>
              </w:tc>
              <w:tc>
                <w:tcPr>
                  <w:tcW w:w="468"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2.1</w:t>
                  </w:r>
                </w:p>
              </w:tc>
              <w:tc>
                <w:tcPr>
                  <w:tcW w:w="474" w:type="pct"/>
                  <w:gridSpan w:val="2"/>
                  <w:shd w:val="clear" w:color="auto" w:fill="auto"/>
                  <w:vAlign w:val="bottom"/>
                </w:tcPr>
                <w:p w:rsidR="00AC2131" w:rsidRDefault="00AC2131" w:rsidP="00AC2131">
                  <w:pPr>
                    <w:pStyle w:val="TableBodyText"/>
                    <w:spacing w:after="0"/>
                    <w:ind w:left="0" w:right="57"/>
                  </w:pPr>
                  <w:r>
                    <w:t>1.8</w:t>
                  </w:r>
                </w:p>
              </w:tc>
              <w:tc>
                <w:tcPr>
                  <w:tcW w:w="456" w:type="pct"/>
                  <w:shd w:val="clear" w:color="auto" w:fill="auto"/>
                  <w:vAlign w:val="bottom"/>
                </w:tcPr>
                <w:p w:rsidR="00AC2131" w:rsidRDefault="00AC2131" w:rsidP="00AC2131">
                  <w:pPr>
                    <w:pStyle w:val="TableBodyText"/>
                    <w:spacing w:after="0"/>
                    <w:ind w:left="0" w:right="57"/>
                  </w:pPr>
                  <w:r>
                    <w:t>1.9</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Innovation Investment Fund</w:t>
                  </w:r>
                </w:p>
              </w:tc>
              <w:tc>
                <w:tcPr>
                  <w:tcW w:w="468" w:type="pct"/>
                  <w:vAlign w:val="bottom"/>
                </w:tcPr>
                <w:p w:rsidR="00AC2131" w:rsidRDefault="00AC2131" w:rsidP="00AC2131">
                  <w:pPr>
                    <w:pStyle w:val="TableBodyText"/>
                    <w:spacing w:after="0"/>
                    <w:ind w:left="0" w:right="57"/>
                  </w:pPr>
                  <w:r>
                    <w:t>2.3</w:t>
                  </w:r>
                </w:p>
              </w:tc>
              <w:tc>
                <w:tcPr>
                  <w:tcW w:w="468"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2.3</w:t>
                  </w:r>
                </w:p>
              </w:tc>
              <w:tc>
                <w:tcPr>
                  <w:tcW w:w="467" w:type="pct"/>
                  <w:vAlign w:val="bottom"/>
                </w:tcPr>
                <w:p w:rsidR="00AC2131" w:rsidRDefault="00AC2131" w:rsidP="00AC2131">
                  <w:pPr>
                    <w:pStyle w:val="TableBodyText"/>
                    <w:spacing w:after="0"/>
                    <w:ind w:left="0" w:right="57"/>
                  </w:pPr>
                  <w:r>
                    <w:t>3.0</w:t>
                  </w:r>
                </w:p>
              </w:tc>
              <w:tc>
                <w:tcPr>
                  <w:tcW w:w="474" w:type="pct"/>
                  <w:gridSpan w:val="2"/>
                  <w:shd w:val="clear" w:color="auto" w:fill="auto"/>
                  <w:vAlign w:val="bottom"/>
                </w:tcPr>
                <w:p w:rsidR="00AC2131" w:rsidRDefault="00AC2131" w:rsidP="00AC2131">
                  <w:pPr>
                    <w:pStyle w:val="TableBodyText"/>
                    <w:spacing w:after="0"/>
                    <w:ind w:left="0" w:right="57"/>
                  </w:pPr>
                  <w:r>
                    <w:t>3.6</w:t>
                  </w:r>
                </w:p>
              </w:tc>
              <w:tc>
                <w:tcPr>
                  <w:tcW w:w="456" w:type="pct"/>
                  <w:shd w:val="clear" w:color="auto" w:fill="auto"/>
                  <w:vAlign w:val="bottom"/>
                </w:tcPr>
                <w:p w:rsidR="00AC2131" w:rsidRDefault="00AC2131" w:rsidP="00AC2131">
                  <w:pPr>
                    <w:pStyle w:val="TableBodyText"/>
                    <w:spacing w:after="0"/>
                    <w:ind w:left="0" w:right="57"/>
                  </w:pPr>
                  <w:r>
                    <w:t>4.1</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Manufacturing Technology Innovation Centre</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4" w:type="pct"/>
                  <w:gridSpan w:val="2"/>
                  <w:shd w:val="clear" w:color="auto" w:fill="auto"/>
                  <w:vAlign w:val="bottom"/>
                </w:tcPr>
                <w:p w:rsidR="00AC2131" w:rsidRDefault="00AC2131" w:rsidP="00AC2131">
                  <w:pPr>
                    <w:pStyle w:val="TableBodyText"/>
                    <w:spacing w:after="0"/>
                    <w:ind w:left="0" w:right="57"/>
                  </w:pPr>
                  <w:r>
                    <w:t>–</w:t>
                  </w:r>
                </w:p>
              </w:tc>
              <w:tc>
                <w:tcPr>
                  <w:tcW w:w="456" w:type="pct"/>
                  <w:shd w:val="clear" w:color="auto" w:fill="auto"/>
                  <w:vAlign w:val="bottom"/>
                </w:tcPr>
                <w:p w:rsidR="00AC2131" w:rsidRDefault="00AC2131" w:rsidP="00AC2131">
                  <w:pPr>
                    <w:pStyle w:val="TableBodyText"/>
                    <w:spacing w:after="0"/>
                    <w:ind w:left="0" w:right="57"/>
                  </w:pPr>
                  <w:r>
                    <w:t>2.0</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National Enabling Technologies Strategy</w:t>
                  </w:r>
                </w:p>
              </w:tc>
              <w:tc>
                <w:tcPr>
                  <w:tcW w:w="468" w:type="pct"/>
                  <w:vAlign w:val="bottom"/>
                </w:tcPr>
                <w:p w:rsidR="00AC2131" w:rsidRDefault="00AC2131" w:rsidP="00AC2131">
                  <w:pPr>
                    <w:pStyle w:val="TableBodyText"/>
                    <w:spacing w:after="0"/>
                    <w:ind w:left="0" w:right="57"/>
                  </w:pPr>
                  <w:r>
                    <w:t>–</w:t>
                  </w:r>
                </w:p>
              </w:tc>
              <w:tc>
                <w:tcPr>
                  <w:tcW w:w="468"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0.3</w:t>
                  </w:r>
                </w:p>
              </w:tc>
              <w:tc>
                <w:tcPr>
                  <w:tcW w:w="474" w:type="pct"/>
                  <w:gridSpan w:val="2"/>
                  <w:shd w:val="clear" w:color="auto" w:fill="auto"/>
                  <w:vAlign w:val="bottom"/>
                </w:tcPr>
                <w:p w:rsidR="00AC2131" w:rsidRDefault="00AC2131" w:rsidP="00AC2131">
                  <w:pPr>
                    <w:pStyle w:val="TableBodyText"/>
                    <w:spacing w:after="0"/>
                    <w:ind w:left="0" w:right="57"/>
                  </w:pPr>
                  <w:r>
                    <w:t>0.5</w:t>
                  </w:r>
                </w:p>
              </w:tc>
              <w:tc>
                <w:tcPr>
                  <w:tcW w:w="456"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Premium R&amp;D tax concession</w:t>
                  </w:r>
                </w:p>
              </w:tc>
              <w:tc>
                <w:tcPr>
                  <w:tcW w:w="468" w:type="pct"/>
                  <w:vAlign w:val="bottom"/>
                </w:tcPr>
                <w:p w:rsidR="00AC2131" w:rsidRDefault="00AC2131" w:rsidP="00AC2131">
                  <w:pPr>
                    <w:pStyle w:val="TableBodyText"/>
                    <w:spacing w:after="0"/>
                    <w:ind w:left="0" w:right="57"/>
                  </w:pPr>
                  <w:r>
                    <w:t>43.3</w:t>
                  </w:r>
                </w:p>
              </w:tc>
              <w:tc>
                <w:tcPr>
                  <w:tcW w:w="468" w:type="pct"/>
                  <w:vAlign w:val="bottom"/>
                </w:tcPr>
                <w:p w:rsidR="00AC2131" w:rsidRDefault="00AC2131" w:rsidP="00AC2131">
                  <w:pPr>
                    <w:pStyle w:val="TableBodyText"/>
                    <w:spacing w:after="0"/>
                    <w:ind w:left="0" w:right="57"/>
                  </w:pPr>
                  <w:r>
                    <w:t>96.2</w:t>
                  </w:r>
                </w:p>
              </w:tc>
              <w:tc>
                <w:tcPr>
                  <w:tcW w:w="467" w:type="pct"/>
                  <w:vAlign w:val="bottom"/>
                </w:tcPr>
                <w:p w:rsidR="00AC2131" w:rsidRDefault="00AC2131" w:rsidP="00AC2131">
                  <w:pPr>
                    <w:pStyle w:val="TableBodyText"/>
                    <w:spacing w:after="0"/>
                    <w:ind w:left="0" w:right="57"/>
                  </w:pPr>
                  <w:r>
                    <w:t>82.7</w:t>
                  </w:r>
                </w:p>
              </w:tc>
              <w:tc>
                <w:tcPr>
                  <w:tcW w:w="467" w:type="pct"/>
                  <w:vAlign w:val="bottom"/>
                </w:tcPr>
                <w:p w:rsidR="00AC2131" w:rsidRDefault="00AC2131" w:rsidP="00AC2131">
                  <w:pPr>
                    <w:pStyle w:val="TableBodyText"/>
                    <w:spacing w:after="0"/>
                    <w:ind w:left="0" w:right="57"/>
                  </w:pPr>
                  <w:r>
                    <w:t>84.9</w:t>
                  </w:r>
                </w:p>
              </w:tc>
              <w:tc>
                <w:tcPr>
                  <w:tcW w:w="474" w:type="pct"/>
                  <w:gridSpan w:val="2"/>
                  <w:shd w:val="clear" w:color="auto" w:fill="auto"/>
                  <w:vAlign w:val="bottom"/>
                </w:tcPr>
                <w:p w:rsidR="00AC2131" w:rsidRDefault="00AC2131" w:rsidP="00AC2131">
                  <w:pPr>
                    <w:pStyle w:val="TableBodyText"/>
                    <w:spacing w:after="0"/>
                    <w:ind w:left="0" w:right="57"/>
                  </w:pPr>
                  <w:r>
                    <w:t>23.2</w:t>
                  </w:r>
                </w:p>
              </w:tc>
              <w:tc>
                <w:tcPr>
                  <w:tcW w:w="456" w:type="pct"/>
                  <w:shd w:val="clear" w:color="auto" w:fill="auto"/>
                  <w:vAlign w:val="bottom"/>
                </w:tcPr>
                <w:p w:rsidR="00AC2131" w:rsidRDefault="00AC2131" w:rsidP="00AC2131">
                  <w:pPr>
                    <w:pStyle w:val="TableBodyText"/>
                    <w:spacing w:after="0"/>
                    <w:ind w:left="0" w:right="57"/>
                  </w:pPr>
                  <w:r>
                    <w:t>9.6</w:t>
                  </w:r>
                </w:p>
              </w:tc>
            </w:tr>
            <w:tr w:rsidR="00AC2131" w:rsidTr="00AC2131">
              <w:tc>
                <w:tcPr>
                  <w:tcW w:w="2200" w:type="pct"/>
                  <w:tcBorders>
                    <w:bottom w:val="single" w:sz="6" w:space="0" w:color="BFBFBF"/>
                  </w:tcBorders>
                  <w:shd w:val="clear" w:color="auto" w:fill="auto"/>
                  <w:vAlign w:val="bottom"/>
                </w:tcPr>
                <w:p w:rsidR="00AC2131" w:rsidRPr="00B92ED2" w:rsidRDefault="00AC2131" w:rsidP="00AC2131">
                  <w:pPr>
                    <w:ind w:left="227"/>
                    <w:rPr>
                      <w:rFonts w:ascii="Arial" w:hAnsi="Arial" w:cs="Arial"/>
                      <w:color w:val="000000"/>
                      <w:sz w:val="18"/>
                      <w:szCs w:val="18"/>
                    </w:rPr>
                  </w:pPr>
                  <w:r>
                    <w:rPr>
                      <w:rFonts w:ascii="Arial" w:hAnsi="Arial" w:cs="Arial"/>
                      <w:color w:val="000000"/>
                      <w:sz w:val="18"/>
                      <w:szCs w:val="18"/>
                    </w:rPr>
                    <w:t>Pre-seed fund</w:t>
                  </w:r>
                </w:p>
              </w:tc>
              <w:tc>
                <w:tcPr>
                  <w:tcW w:w="468" w:type="pct"/>
                  <w:tcBorders>
                    <w:bottom w:val="single" w:sz="6" w:space="0" w:color="BFBFBF"/>
                  </w:tcBorders>
                  <w:vAlign w:val="bottom"/>
                </w:tcPr>
                <w:p w:rsidR="00AC2131" w:rsidRDefault="00AC2131" w:rsidP="00AC2131">
                  <w:pPr>
                    <w:pStyle w:val="TableBodyText"/>
                    <w:spacing w:after="0"/>
                    <w:ind w:left="0" w:right="57"/>
                  </w:pPr>
                  <w:r>
                    <w:t>2.2</w:t>
                  </w:r>
                </w:p>
              </w:tc>
              <w:tc>
                <w:tcPr>
                  <w:tcW w:w="468" w:type="pct"/>
                  <w:tcBorders>
                    <w:bottom w:val="single" w:sz="6" w:space="0" w:color="BFBFBF"/>
                  </w:tcBorders>
                  <w:vAlign w:val="bottom"/>
                </w:tcPr>
                <w:p w:rsidR="00AC2131" w:rsidRDefault="00AC2131" w:rsidP="00AC2131">
                  <w:pPr>
                    <w:pStyle w:val="TableBodyText"/>
                    <w:spacing w:after="0"/>
                    <w:ind w:left="0" w:right="57"/>
                  </w:pPr>
                  <w:r>
                    <w:t>1.9</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74" w:type="pct"/>
                  <w:gridSpan w:val="2"/>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56"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357"/>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1"/>
              <w:gridCol w:w="796"/>
              <w:gridCol w:w="793"/>
              <w:gridCol w:w="7"/>
              <w:gridCol w:w="794"/>
              <w:gridCol w:w="6"/>
              <w:gridCol w:w="789"/>
              <w:gridCol w:w="7"/>
              <w:gridCol w:w="6"/>
              <w:gridCol w:w="794"/>
              <w:gridCol w:w="7"/>
              <w:gridCol w:w="10"/>
              <w:gridCol w:w="755"/>
            </w:tblGrid>
            <w:tr w:rsidR="00AC2131" w:rsidTr="00AC2131">
              <w:tc>
                <w:tcPr>
                  <w:tcW w:w="219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8"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6"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71" w:type="pct"/>
                  <w:gridSpan w:val="2"/>
                  <w:tcBorders>
                    <w:top w:val="single" w:sz="6" w:space="0" w:color="BFBFBF"/>
                    <w:bottom w:val="single" w:sz="6" w:space="0" w:color="BFBFBF"/>
                  </w:tcBorders>
                </w:tcPr>
                <w:p w:rsidR="00AC2131" w:rsidRDefault="00AC2131" w:rsidP="00AC2131">
                  <w:pPr>
                    <w:pStyle w:val="TableColumnHeading"/>
                    <w:ind w:left="0" w:right="57"/>
                  </w:pPr>
                  <w:r>
                    <w:t>2010-11</w:t>
                  </w:r>
                </w:p>
              </w:tc>
              <w:tc>
                <w:tcPr>
                  <w:tcW w:w="471" w:type="pct"/>
                  <w:gridSpan w:val="3"/>
                  <w:tcBorders>
                    <w:top w:val="single" w:sz="6" w:space="0" w:color="BFBFBF"/>
                    <w:bottom w:val="single" w:sz="6" w:space="0" w:color="BFBFBF"/>
                  </w:tcBorders>
                </w:tcPr>
                <w:p w:rsidR="00AC2131" w:rsidRDefault="00AC2131" w:rsidP="00AC2131">
                  <w:pPr>
                    <w:pStyle w:val="TableColumnHeading"/>
                    <w:ind w:left="0" w:right="57"/>
                  </w:pPr>
                  <w:r>
                    <w:t>2011-12</w:t>
                  </w:r>
                </w:p>
              </w:tc>
              <w:tc>
                <w:tcPr>
                  <w:tcW w:w="480" w:type="pct"/>
                  <w:gridSpan w:val="4"/>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44"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199" w:type="pct"/>
                  <w:shd w:val="clear" w:color="auto" w:fill="auto"/>
                </w:tcPr>
                <w:p w:rsidR="00AC2131" w:rsidRPr="00B92ED2" w:rsidRDefault="00AC2131" w:rsidP="00AC2131">
                  <w:pPr>
                    <w:pStyle w:val="TableBodyText"/>
                    <w:spacing w:before="40" w:after="0"/>
                    <w:ind w:left="113"/>
                    <w:jc w:val="left"/>
                    <w:rPr>
                      <w:i/>
                    </w:rPr>
                  </w:pPr>
                  <w:r w:rsidRPr="00B92ED2">
                    <w:rPr>
                      <w:i/>
                    </w:rPr>
                    <w:t>General R&amp;D measures</w:t>
                  </w:r>
                  <w:r>
                    <w:rPr>
                      <w:i/>
                    </w:rPr>
                    <w:t xml:space="preserve"> (continued)</w:t>
                  </w:r>
                </w:p>
              </w:tc>
              <w:tc>
                <w:tcPr>
                  <w:tcW w:w="468" w:type="pct"/>
                </w:tcPr>
                <w:p w:rsidR="00AC2131" w:rsidRDefault="00AC2131" w:rsidP="00AC2131">
                  <w:pPr>
                    <w:pStyle w:val="TableBodyText"/>
                    <w:spacing w:before="40" w:after="0"/>
                    <w:ind w:left="113"/>
                  </w:pPr>
                </w:p>
              </w:tc>
              <w:tc>
                <w:tcPr>
                  <w:tcW w:w="470" w:type="pct"/>
                  <w:gridSpan w:val="2"/>
                </w:tcPr>
                <w:p w:rsidR="00AC2131" w:rsidRDefault="00AC2131" w:rsidP="00AC2131">
                  <w:pPr>
                    <w:pStyle w:val="TableBodyText"/>
                    <w:spacing w:before="40" w:after="0"/>
                    <w:ind w:left="113"/>
                  </w:pPr>
                </w:p>
              </w:tc>
              <w:tc>
                <w:tcPr>
                  <w:tcW w:w="470" w:type="pct"/>
                  <w:gridSpan w:val="2"/>
                </w:tcPr>
                <w:p w:rsidR="00AC2131" w:rsidRDefault="00AC2131" w:rsidP="00AC2131">
                  <w:pPr>
                    <w:pStyle w:val="TableBodyText"/>
                    <w:spacing w:before="40" w:after="0"/>
                    <w:ind w:left="113"/>
                  </w:pPr>
                </w:p>
              </w:tc>
              <w:tc>
                <w:tcPr>
                  <w:tcW w:w="471" w:type="pct"/>
                  <w:gridSpan w:val="3"/>
                </w:tcPr>
                <w:p w:rsidR="00AC2131" w:rsidRDefault="00AC2131" w:rsidP="00AC2131">
                  <w:pPr>
                    <w:pStyle w:val="TableBodyText"/>
                    <w:spacing w:before="40" w:after="0"/>
                    <w:ind w:left="113"/>
                  </w:pPr>
                </w:p>
              </w:tc>
              <w:tc>
                <w:tcPr>
                  <w:tcW w:w="477" w:type="pct"/>
                  <w:gridSpan w:val="3"/>
                  <w:shd w:val="clear" w:color="auto" w:fill="auto"/>
                </w:tcPr>
                <w:p w:rsidR="00AC2131" w:rsidRDefault="00AC2131" w:rsidP="00AC2131">
                  <w:pPr>
                    <w:pStyle w:val="TableBodyText"/>
                    <w:spacing w:before="40" w:after="0"/>
                    <w:ind w:left="113"/>
                  </w:pPr>
                </w:p>
              </w:tc>
              <w:tc>
                <w:tcPr>
                  <w:tcW w:w="444"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R&amp;D Start</w:t>
                  </w:r>
                </w:p>
              </w:tc>
              <w:tc>
                <w:tcPr>
                  <w:tcW w:w="468" w:type="pct"/>
                  <w:vAlign w:val="bottom"/>
                </w:tcPr>
                <w:p w:rsidR="00AC2131" w:rsidRDefault="00AC2131" w:rsidP="00AC2131">
                  <w:pPr>
                    <w:pStyle w:val="TableBodyText"/>
                    <w:spacing w:after="0"/>
                    <w:ind w:left="0" w:right="57"/>
                  </w:pPr>
                  <w:r>
                    <w:t>1.1</w:t>
                  </w:r>
                </w:p>
              </w:tc>
              <w:tc>
                <w:tcPr>
                  <w:tcW w:w="470" w:type="pct"/>
                  <w:gridSpan w:val="2"/>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74" w:type="pct"/>
                  <w:gridSpan w:val="3"/>
                  <w:shd w:val="clear" w:color="auto" w:fill="auto"/>
                  <w:vAlign w:val="bottom"/>
                </w:tcPr>
                <w:p w:rsidR="00AC2131" w:rsidRDefault="00AC2131" w:rsidP="00AC2131">
                  <w:pPr>
                    <w:pStyle w:val="TableBodyText"/>
                    <w:spacing w:after="0"/>
                    <w:ind w:left="0" w:right="57"/>
                  </w:pPr>
                  <w:r>
                    <w:t>–</w:t>
                  </w:r>
                </w:p>
              </w:tc>
              <w:tc>
                <w:tcPr>
                  <w:tcW w:w="454" w:type="pct"/>
                  <w:gridSpan w:val="3"/>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B92ED2" w:rsidRDefault="00AC2131" w:rsidP="00AC2131">
                  <w:pPr>
                    <w:ind w:left="227"/>
                    <w:rPr>
                      <w:rFonts w:ascii="Arial" w:hAnsi="Arial" w:cs="Arial"/>
                      <w:color w:val="000000"/>
                      <w:sz w:val="18"/>
                      <w:szCs w:val="18"/>
                    </w:rPr>
                  </w:pPr>
                  <w:r w:rsidRPr="00B92ED2">
                    <w:rPr>
                      <w:rFonts w:ascii="Arial" w:hAnsi="Arial" w:cs="Arial"/>
                      <w:color w:val="000000"/>
                      <w:sz w:val="18"/>
                      <w:szCs w:val="18"/>
                    </w:rPr>
                    <w:t>R&amp;D tax concession</w:t>
                  </w:r>
                </w:p>
              </w:tc>
              <w:tc>
                <w:tcPr>
                  <w:tcW w:w="468" w:type="pct"/>
                  <w:vAlign w:val="bottom"/>
                </w:tcPr>
                <w:p w:rsidR="00AC2131" w:rsidRDefault="00AC2131" w:rsidP="00AC2131">
                  <w:pPr>
                    <w:pStyle w:val="TableBodyText"/>
                    <w:spacing w:after="0"/>
                    <w:ind w:left="0" w:right="57"/>
                  </w:pPr>
                  <w:r>
                    <w:t>103.5</w:t>
                  </w:r>
                </w:p>
              </w:tc>
              <w:tc>
                <w:tcPr>
                  <w:tcW w:w="470" w:type="pct"/>
                  <w:gridSpan w:val="2"/>
                  <w:vAlign w:val="bottom"/>
                </w:tcPr>
                <w:p w:rsidR="00AC2131" w:rsidRDefault="00AC2131" w:rsidP="00AC2131">
                  <w:pPr>
                    <w:pStyle w:val="TableBodyText"/>
                    <w:spacing w:after="0"/>
                    <w:ind w:left="0" w:right="57"/>
                  </w:pPr>
                  <w:r>
                    <w:t>153.1</w:t>
                  </w:r>
                </w:p>
              </w:tc>
              <w:tc>
                <w:tcPr>
                  <w:tcW w:w="467" w:type="pct"/>
                  <w:vAlign w:val="bottom"/>
                </w:tcPr>
                <w:p w:rsidR="00AC2131" w:rsidRDefault="00AC2131" w:rsidP="00AC2131">
                  <w:pPr>
                    <w:pStyle w:val="TableBodyText"/>
                    <w:spacing w:after="0"/>
                    <w:ind w:left="0" w:right="57"/>
                  </w:pPr>
                  <w:r>
                    <w:t>153.1</w:t>
                  </w:r>
                </w:p>
              </w:tc>
              <w:tc>
                <w:tcPr>
                  <w:tcW w:w="467" w:type="pct"/>
                  <w:gridSpan w:val="2"/>
                  <w:vAlign w:val="bottom"/>
                </w:tcPr>
                <w:p w:rsidR="00AC2131" w:rsidRDefault="00AC2131" w:rsidP="00AC2131">
                  <w:pPr>
                    <w:pStyle w:val="TableBodyText"/>
                    <w:spacing w:after="0"/>
                    <w:ind w:left="0" w:right="57"/>
                  </w:pPr>
                  <w:r>
                    <w:t>196.0</w:t>
                  </w:r>
                </w:p>
              </w:tc>
              <w:tc>
                <w:tcPr>
                  <w:tcW w:w="474" w:type="pct"/>
                  <w:gridSpan w:val="3"/>
                  <w:shd w:val="clear" w:color="auto" w:fill="auto"/>
                  <w:vAlign w:val="bottom"/>
                </w:tcPr>
                <w:p w:rsidR="00AC2131" w:rsidRDefault="00AC2131" w:rsidP="00AC2131">
                  <w:pPr>
                    <w:pStyle w:val="TableBodyText"/>
                    <w:spacing w:after="0"/>
                    <w:ind w:left="0" w:right="57"/>
                  </w:pPr>
                  <w:r>
                    <w:t>87.5</w:t>
                  </w:r>
                </w:p>
              </w:tc>
              <w:tc>
                <w:tcPr>
                  <w:tcW w:w="454" w:type="pct"/>
                  <w:gridSpan w:val="3"/>
                  <w:shd w:val="clear" w:color="auto" w:fill="auto"/>
                  <w:vAlign w:val="bottom"/>
                </w:tcPr>
                <w:p w:rsidR="00AC2131" w:rsidRDefault="00AC2131" w:rsidP="00AC2131">
                  <w:pPr>
                    <w:pStyle w:val="TableBodyText"/>
                    <w:spacing w:after="0"/>
                    <w:ind w:left="0" w:right="57"/>
                  </w:pPr>
                  <w:r>
                    <w:t>29.7</w:t>
                  </w:r>
                </w:p>
              </w:tc>
            </w:tr>
            <w:tr w:rsidR="00AC2131" w:rsidTr="00AC2131">
              <w:tc>
                <w:tcPr>
                  <w:tcW w:w="2199" w:type="pct"/>
                  <w:shd w:val="clear" w:color="auto" w:fill="auto"/>
                  <w:vAlign w:val="bottom"/>
                </w:tcPr>
                <w:p w:rsidR="00AC2131" w:rsidRPr="00B92ED2"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8" w:type="pct"/>
                  <w:vAlign w:val="bottom"/>
                </w:tcPr>
                <w:p w:rsidR="00AC2131" w:rsidRDefault="00AC2131" w:rsidP="00AC2131">
                  <w:pPr>
                    <w:pStyle w:val="TableBodyText"/>
                    <w:spacing w:after="0"/>
                    <w:ind w:left="0" w:right="57"/>
                  </w:pPr>
                  <w:r>
                    <w:t>–</w:t>
                  </w:r>
                </w:p>
              </w:tc>
              <w:tc>
                <w:tcPr>
                  <w:tcW w:w="470" w:type="pct"/>
                  <w:gridSpan w:val="2"/>
                  <w:vAlign w:val="bottom"/>
                </w:tcPr>
                <w:p w:rsidR="00AC2131" w:rsidRDefault="00AC2131" w:rsidP="00AC2131">
                  <w:pPr>
                    <w:pStyle w:val="TableBodyText"/>
                    <w:spacing w:after="0"/>
                    <w:ind w:left="0" w:right="57"/>
                  </w:pPr>
                  <w:r>
                    <w:t>–</w:t>
                  </w:r>
                </w:p>
              </w:tc>
              <w:tc>
                <w:tcPr>
                  <w:tcW w:w="470" w:type="pct"/>
                  <w:gridSpan w:val="2"/>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80" w:type="pct"/>
                  <w:gridSpan w:val="4"/>
                  <w:shd w:val="clear" w:color="auto" w:fill="auto"/>
                  <w:vAlign w:val="bottom"/>
                </w:tcPr>
                <w:p w:rsidR="00AC2131" w:rsidRDefault="00AC2131" w:rsidP="00AC2131">
                  <w:pPr>
                    <w:pStyle w:val="TableBodyText"/>
                    <w:spacing w:after="0"/>
                    <w:ind w:left="0" w:right="57"/>
                  </w:pPr>
                  <w:r>
                    <w:t>–</w:t>
                  </w:r>
                </w:p>
              </w:tc>
              <w:tc>
                <w:tcPr>
                  <w:tcW w:w="444" w:type="pct"/>
                  <w:shd w:val="clear" w:color="auto" w:fill="auto"/>
                  <w:vAlign w:val="bottom"/>
                </w:tcPr>
                <w:p w:rsidR="00AC2131" w:rsidRDefault="00AC2131" w:rsidP="00AC2131">
                  <w:pPr>
                    <w:pStyle w:val="TableBodyText"/>
                    <w:spacing w:after="0"/>
                    <w:ind w:left="0" w:right="57"/>
                  </w:pPr>
                  <w:r>
                    <w:t>-111.5</w:t>
                  </w:r>
                </w:p>
              </w:tc>
            </w:tr>
            <w:tr w:rsidR="00AC2131" w:rsidTr="00AC2131">
              <w:tc>
                <w:tcPr>
                  <w:tcW w:w="2199" w:type="pct"/>
                  <w:shd w:val="clear" w:color="auto" w:fill="auto"/>
                  <w:vAlign w:val="bottom"/>
                </w:tcPr>
                <w:p w:rsidR="00AC2131" w:rsidRPr="00B92ED2"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8" w:type="pct"/>
                  <w:vAlign w:val="bottom"/>
                </w:tcPr>
                <w:p w:rsidR="00AC2131" w:rsidRDefault="00AC2131" w:rsidP="00AC2131">
                  <w:pPr>
                    <w:pStyle w:val="TableBodyText"/>
                    <w:spacing w:after="0"/>
                    <w:ind w:left="0" w:right="57"/>
                  </w:pPr>
                  <w:r>
                    <w:t>–</w:t>
                  </w:r>
                </w:p>
              </w:tc>
              <w:tc>
                <w:tcPr>
                  <w:tcW w:w="470" w:type="pct"/>
                  <w:gridSpan w:val="2"/>
                  <w:vAlign w:val="bottom"/>
                </w:tcPr>
                <w:p w:rsidR="00AC2131" w:rsidRDefault="00AC2131" w:rsidP="00AC2131">
                  <w:pPr>
                    <w:pStyle w:val="TableBodyText"/>
                    <w:spacing w:after="0"/>
                    <w:ind w:left="0" w:right="57"/>
                  </w:pPr>
                  <w:r>
                    <w:t>–</w:t>
                  </w:r>
                </w:p>
              </w:tc>
              <w:tc>
                <w:tcPr>
                  <w:tcW w:w="470" w:type="pct"/>
                  <w:gridSpan w:val="2"/>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80" w:type="pct"/>
                  <w:gridSpan w:val="4"/>
                  <w:shd w:val="clear" w:color="auto" w:fill="auto"/>
                  <w:vAlign w:val="bottom"/>
                </w:tcPr>
                <w:p w:rsidR="00AC2131" w:rsidRDefault="00AC2131" w:rsidP="00AC2131">
                  <w:pPr>
                    <w:pStyle w:val="TableBodyText"/>
                    <w:spacing w:after="0"/>
                    <w:ind w:left="0" w:right="57"/>
                  </w:pPr>
                  <w:r>
                    <w:t>132.9</w:t>
                  </w:r>
                </w:p>
              </w:tc>
              <w:tc>
                <w:tcPr>
                  <w:tcW w:w="444" w:type="pct"/>
                  <w:shd w:val="clear" w:color="auto" w:fill="auto"/>
                  <w:vAlign w:val="bottom"/>
                </w:tcPr>
                <w:p w:rsidR="00AC2131" w:rsidRDefault="00AC2131" w:rsidP="00AC2131">
                  <w:pPr>
                    <w:pStyle w:val="TableBodyText"/>
                    <w:spacing w:after="0"/>
                    <w:ind w:left="0" w:right="57"/>
                  </w:pPr>
                  <w:r>
                    <w:t>91.9</w:t>
                  </w:r>
                </w:p>
              </w:tc>
            </w:tr>
            <w:tr w:rsidR="00AC2131" w:rsidTr="00AC2131">
              <w:tc>
                <w:tcPr>
                  <w:tcW w:w="2199" w:type="pct"/>
                  <w:shd w:val="clear" w:color="auto" w:fill="auto"/>
                  <w:vAlign w:val="bottom"/>
                </w:tcPr>
                <w:p w:rsidR="00AC2131" w:rsidRPr="00B92ED2"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8" w:type="pct"/>
                  <w:vAlign w:val="bottom"/>
                </w:tcPr>
                <w:p w:rsidR="00AC2131" w:rsidRDefault="00AC2131" w:rsidP="00AC2131">
                  <w:pPr>
                    <w:pStyle w:val="TableBodyText"/>
                    <w:spacing w:after="0"/>
                    <w:ind w:left="0" w:right="57"/>
                  </w:pPr>
                  <w:r>
                    <w:t>–</w:t>
                  </w:r>
                </w:p>
              </w:tc>
              <w:tc>
                <w:tcPr>
                  <w:tcW w:w="470" w:type="pct"/>
                  <w:gridSpan w:val="2"/>
                  <w:vAlign w:val="bottom"/>
                </w:tcPr>
                <w:p w:rsidR="00AC2131" w:rsidRDefault="00AC2131" w:rsidP="00AC2131">
                  <w:pPr>
                    <w:pStyle w:val="TableBodyText"/>
                    <w:spacing w:after="0"/>
                    <w:ind w:left="0" w:right="57"/>
                  </w:pPr>
                  <w:r>
                    <w:t>–</w:t>
                  </w:r>
                </w:p>
              </w:tc>
              <w:tc>
                <w:tcPr>
                  <w:tcW w:w="470" w:type="pct"/>
                  <w:gridSpan w:val="2"/>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80" w:type="pct"/>
                  <w:gridSpan w:val="4"/>
                  <w:shd w:val="clear" w:color="auto" w:fill="auto"/>
                  <w:vAlign w:val="bottom"/>
                </w:tcPr>
                <w:p w:rsidR="00AC2131" w:rsidRDefault="00AC2131" w:rsidP="00AC2131">
                  <w:pPr>
                    <w:pStyle w:val="TableBodyText"/>
                    <w:spacing w:after="0"/>
                    <w:ind w:left="0" w:right="57"/>
                  </w:pPr>
                  <w:r>
                    <w:t>206.4</w:t>
                  </w:r>
                </w:p>
              </w:tc>
              <w:tc>
                <w:tcPr>
                  <w:tcW w:w="444" w:type="pct"/>
                  <w:shd w:val="clear" w:color="auto" w:fill="auto"/>
                  <w:vAlign w:val="bottom"/>
                </w:tcPr>
                <w:p w:rsidR="00AC2131" w:rsidRDefault="00AC2131" w:rsidP="00AC2131">
                  <w:pPr>
                    <w:pStyle w:val="TableBodyText"/>
                    <w:spacing w:after="0"/>
                    <w:ind w:left="0" w:right="57"/>
                  </w:pPr>
                  <w:r>
                    <w:t>369.3</w:t>
                  </w:r>
                </w:p>
              </w:tc>
            </w:tr>
            <w:tr w:rsidR="00AC2131" w:rsidTr="00AC2131">
              <w:tc>
                <w:tcPr>
                  <w:tcW w:w="2199" w:type="pct"/>
                  <w:shd w:val="clear" w:color="auto" w:fill="auto"/>
                  <w:vAlign w:val="bottom"/>
                </w:tcPr>
                <w:p w:rsidR="00AC2131" w:rsidRPr="00B92ED2"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8" w:type="pct"/>
                  <w:vAlign w:val="bottom"/>
                </w:tcPr>
                <w:p w:rsidR="00AC2131" w:rsidRDefault="00AC2131" w:rsidP="00AC2131">
                  <w:pPr>
                    <w:pStyle w:val="TableBodyText"/>
                    <w:spacing w:after="0"/>
                    <w:ind w:left="0" w:right="57"/>
                  </w:pPr>
                  <w:r>
                    <w:t>69.9</w:t>
                  </w:r>
                </w:p>
              </w:tc>
              <w:tc>
                <w:tcPr>
                  <w:tcW w:w="470" w:type="pct"/>
                  <w:gridSpan w:val="2"/>
                  <w:vAlign w:val="bottom"/>
                </w:tcPr>
                <w:p w:rsidR="00AC2131" w:rsidRDefault="00AC2131" w:rsidP="00AC2131">
                  <w:pPr>
                    <w:pStyle w:val="TableBodyText"/>
                    <w:spacing w:after="0"/>
                    <w:ind w:left="0" w:right="57"/>
                  </w:pPr>
                  <w:r>
                    <w:t>96.2</w:t>
                  </w:r>
                </w:p>
              </w:tc>
              <w:tc>
                <w:tcPr>
                  <w:tcW w:w="467" w:type="pct"/>
                  <w:vAlign w:val="bottom"/>
                </w:tcPr>
                <w:p w:rsidR="00AC2131" w:rsidRDefault="00AC2131" w:rsidP="00AC2131">
                  <w:pPr>
                    <w:pStyle w:val="TableBodyText"/>
                    <w:spacing w:after="0"/>
                    <w:ind w:left="0" w:right="57"/>
                  </w:pPr>
                  <w:r>
                    <w:t>235.3</w:t>
                  </w:r>
                </w:p>
              </w:tc>
              <w:tc>
                <w:tcPr>
                  <w:tcW w:w="471" w:type="pct"/>
                  <w:gridSpan w:val="3"/>
                  <w:vAlign w:val="bottom"/>
                </w:tcPr>
                <w:p w:rsidR="00AC2131" w:rsidRDefault="00AC2131" w:rsidP="00AC2131">
                  <w:pPr>
                    <w:pStyle w:val="TableBodyText"/>
                    <w:spacing w:after="0"/>
                    <w:ind w:left="0" w:right="57"/>
                  </w:pPr>
                  <w:r>
                    <w:t>265.5</w:t>
                  </w:r>
                </w:p>
              </w:tc>
              <w:tc>
                <w:tcPr>
                  <w:tcW w:w="480" w:type="pct"/>
                  <w:gridSpan w:val="4"/>
                  <w:shd w:val="clear" w:color="auto" w:fill="auto"/>
                  <w:vAlign w:val="bottom"/>
                </w:tcPr>
                <w:p w:rsidR="00AC2131" w:rsidRDefault="00AC2131" w:rsidP="00AC2131">
                  <w:pPr>
                    <w:pStyle w:val="TableBodyText"/>
                    <w:spacing w:after="0"/>
                    <w:ind w:left="0" w:right="57"/>
                  </w:pPr>
                  <w:r>
                    <w:t>–</w:t>
                  </w:r>
                </w:p>
              </w:tc>
              <w:tc>
                <w:tcPr>
                  <w:tcW w:w="44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B92ED2" w:rsidRDefault="00AC2131" w:rsidP="00AC2131">
                  <w:pPr>
                    <w:ind w:left="227"/>
                    <w:rPr>
                      <w:rFonts w:ascii="Arial" w:hAnsi="Arial" w:cs="Arial"/>
                      <w:sz w:val="18"/>
                      <w:szCs w:val="18"/>
                    </w:rPr>
                  </w:pPr>
                  <w:r w:rsidRPr="00B92ED2">
                    <w:rPr>
                      <w:rFonts w:ascii="Arial" w:hAnsi="Arial" w:cs="Arial"/>
                      <w:sz w:val="18"/>
                      <w:szCs w:val="18"/>
                    </w:rPr>
                    <w:t>Renewable Energy Development Initiative</w:t>
                  </w:r>
                </w:p>
              </w:tc>
              <w:tc>
                <w:tcPr>
                  <w:tcW w:w="468" w:type="pct"/>
                  <w:vAlign w:val="bottom"/>
                </w:tcPr>
                <w:p w:rsidR="00AC2131" w:rsidRDefault="00AC2131" w:rsidP="00AC2131">
                  <w:pPr>
                    <w:pStyle w:val="TableBodyText"/>
                    <w:spacing w:after="0"/>
                    <w:ind w:left="0" w:right="57"/>
                  </w:pPr>
                  <w:r>
                    <w:t>8.8</w:t>
                  </w:r>
                </w:p>
              </w:tc>
              <w:tc>
                <w:tcPr>
                  <w:tcW w:w="470" w:type="pct"/>
                  <w:gridSpan w:val="2"/>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w:t>
                  </w:r>
                </w:p>
              </w:tc>
              <w:tc>
                <w:tcPr>
                  <w:tcW w:w="471" w:type="pct"/>
                  <w:gridSpan w:val="3"/>
                  <w:vAlign w:val="bottom"/>
                </w:tcPr>
                <w:p w:rsidR="00AC2131" w:rsidRDefault="00AC2131" w:rsidP="00AC2131">
                  <w:pPr>
                    <w:pStyle w:val="TableBodyText"/>
                    <w:spacing w:after="0"/>
                    <w:ind w:left="0" w:right="57"/>
                  </w:pPr>
                  <w:r>
                    <w:t>–</w:t>
                  </w:r>
                </w:p>
              </w:tc>
              <w:tc>
                <w:tcPr>
                  <w:tcW w:w="480" w:type="pct"/>
                  <w:gridSpan w:val="4"/>
                  <w:shd w:val="clear" w:color="auto" w:fill="auto"/>
                  <w:vAlign w:val="bottom"/>
                </w:tcPr>
                <w:p w:rsidR="00AC2131" w:rsidRDefault="00AC2131" w:rsidP="00AC2131">
                  <w:pPr>
                    <w:pStyle w:val="TableBodyText"/>
                    <w:spacing w:after="0"/>
                    <w:ind w:left="0" w:right="57"/>
                  </w:pPr>
                  <w:r>
                    <w:t>–</w:t>
                  </w:r>
                </w:p>
              </w:tc>
              <w:tc>
                <w:tcPr>
                  <w:tcW w:w="44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tcPr>
                <w:p w:rsidR="00AC2131" w:rsidRPr="00EE5803" w:rsidRDefault="00AC2131" w:rsidP="00AC2131">
                  <w:pPr>
                    <w:spacing w:before="40"/>
                    <w:ind w:left="113"/>
                    <w:rPr>
                      <w:rFonts w:ascii="Arial" w:hAnsi="Arial" w:cs="Arial"/>
                      <w:i/>
                      <w:sz w:val="18"/>
                      <w:szCs w:val="18"/>
                    </w:rPr>
                  </w:pPr>
                  <w:r w:rsidRPr="00EE5803">
                    <w:rPr>
                      <w:rFonts w:ascii="Arial" w:hAnsi="Arial" w:cs="Arial"/>
                      <w:i/>
                      <w:sz w:val="18"/>
                      <w:szCs w:val="18"/>
                    </w:rPr>
                    <w:t>Other measures</w:t>
                  </w:r>
                </w:p>
              </w:tc>
              <w:tc>
                <w:tcPr>
                  <w:tcW w:w="468" w:type="pct"/>
                  <w:vAlign w:val="bottom"/>
                </w:tcPr>
                <w:p w:rsidR="00AC2131" w:rsidRDefault="00AC2131" w:rsidP="00AC2131">
                  <w:pPr>
                    <w:spacing w:before="40"/>
                    <w:ind w:left="113"/>
                    <w:jc w:val="right"/>
                    <w:rPr>
                      <w:rFonts w:ascii="Arial" w:hAnsi="Arial" w:cs="Arial"/>
                      <w:sz w:val="18"/>
                      <w:szCs w:val="18"/>
                    </w:rPr>
                  </w:pPr>
                </w:p>
              </w:tc>
              <w:tc>
                <w:tcPr>
                  <w:tcW w:w="470" w:type="pct"/>
                  <w:gridSpan w:val="2"/>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71" w:type="pct"/>
                  <w:gridSpan w:val="3"/>
                  <w:vAlign w:val="bottom"/>
                </w:tcPr>
                <w:p w:rsidR="00AC2131" w:rsidRDefault="00AC2131" w:rsidP="00AC2131">
                  <w:pPr>
                    <w:spacing w:before="40"/>
                    <w:ind w:left="113"/>
                    <w:jc w:val="right"/>
                    <w:rPr>
                      <w:rFonts w:ascii="Arial" w:hAnsi="Arial" w:cs="Arial"/>
                      <w:sz w:val="18"/>
                      <w:szCs w:val="18"/>
                    </w:rPr>
                  </w:pPr>
                </w:p>
              </w:tc>
              <w:tc>
                <w:tcPr>
                  <w:tcW w:w="480" w:type="pct"/>
                  <w:gridSpan w:val="4"/>
                  <w:shd w:val="clear" w:color="auto" w:fill="auto"/>
                  <w:vAlign w:val="bottom"/>
                </w:tcPr>
                <w:p w:rsidR="00AC2131" w:rsidRDefault="00AC2131" w:rsidP="00AC2131">
                  <w:pPr>
                    <w:spacing w:before="40"/>
                    <w:ind w:left="113"/>
                    <w:jc w:val="right"/>
                    <w:rPr>
                      <w:rFonts w:ascii="Arial" w:hAnsi="Arial" w:cs="Arial"/>
                      <w:sz w:val="18"/>
                      <w:szCs w:val="18"/>
                    </w:rPr>
                  </w:pPr>
                </w:p>
              </w:tc>
              <w:tc>
                <w:tcPr>
                  <w:tcW w:w="444" w:type="pct"/>
                  <w:shd w:val="clear" w:color="auto" w:fill="auto"/>
                  <w:vAlign w:val="bottom"/>
                </w:tcPr>
                <w:p w:rsidR="00AC2131" w:rsidRDefault="00AC2131" w:rsidP="00AC2131">
                  <w:pPr>
                    <w:spacing w:before="40"/>
                    <w:ind w:left="113"/>
                    <w:jc w:val="right"/>
                    <w:rPr>
                      <w:rFonts w:ascii="Arial" w:hAnsi="Arial" w:cs="Arial"/>
                      <w:sz w:val="18"/>
                      <w:szCs w:val="18"/>
                    </w:rPr>
                  </w:pPr>
                </w:p>
              </w:tc>
            </w:tr>
            <w:tr w:rsidR="00AC2131" w:rsidTr="00AC2131">
              <w:tc>
                <w:tcPr>
                  <w:tcW w:w="2199" w:type="pct"/>
                  <w:shd w:val="clear" w:color="auto" w:fill="auto"/>
                  <w:vAlign w:val="bottom"/>
                </w:tcPr>
                <w:p w:rsidR="00AC2131" w:rsidRPr="00EE5803" w:rsidRDefault="00AC2131" w:rsidP="00AC2131">
                  <w:pPr>
                    <w:ind w:left="227"/>
                    <w:rPr>
                      <w:rFonts w:ascii="Arial" w:hAnsi="Arial" w:cs="Arial"/>
                      <w:color w:val="000000"/>
                      <w:sz w:val="18"/>
                      <w:szCs w:val="18"/>
                    </w:rPr>
                  </w:pPr>
                  <w:r w:rsidRPr="00EE5803">
                    <w:rPr>
                      <w:rFonts w:ascii="Arial" w:hAnsi="Arial" w:cs="Arial"/>
                      <w:color w:val="000000"/>
                      <w:sz w:val="18"/>
                      <w:szCs w:val="18"/>
                    </w:rPr>
                    <w:t>25 per cent entrepreneurs' tax offset</w:t>
                  </w:r>
                </w:p>
              </w:tc>
              <w:tc>
                <w:tcPr>
                  <w:tcW w:w="468" w:type="pct"/>
                  <w:vAlign w:val="bottom"/>
                </w:tcPr>
                <w:p w:rsidR="00AC2131" w:rsidRDefault="00AC2131" w:rsidP="00AC2131">
                  <w:pPr>
                    <w:pStyle w:val="TableBodyText"/>
                    <w:spacing w:after="0"/>
                    <w:ind w:left="0" w:right="57"/>
                  </w:pPr>
                  <w:r>
                    <w:t>39.7</w:t>
                  </w:r>
                </w:p>
              </w:tc>
              <w:tc>
                <w:tcPr>
                  <w:tcW w:w="470" w:type="pct"/>
                  <w:gridSpan w:val="2"/>
                  <w:vAlign w:val="bottom"/>
                </w:tcPr>
                <w:p w:rsidR="00AC2131" w:rsidRDefault="00AC2131" w:rsidP="00AC2131">
                  <w:pPr>
                    <w:pStyle w:val="TableBodyText"/>
                    <w:spacing w:after="0"/>
                    <w:ind w:left="0" w:right="57"/>
                  </w:pPr>
                  <w:r>
                    <w:t>38.4</w:t>
                  </w:r>
                </w:p>
              </w:tc>
              <w:tc>
                <w:tcPr>
                  <w:tcW w:w="467" w:type="pct"/>
                  <w:vAlign w:val="bottom"/>
                </w:tcPr>
                <w:p w:rsidR="00AC2131" w:rsidRDefault="00AC2131" w:rsidP="00AC2131">
                  <w:pPr>
                    <w:pStyle w:val="TableBodyText"/>
                    <w:spacing w:after="0"/>
                    <w:ind w:left="0" w:right="57"/>
                  </w:pPr>
                  <w:r>
                    <w:t>37.4</w:t>
                  </w:r>
                </w:p>
              </w:tc>
              <w:tc>
                <w:tcPr>
                  <w:tcW w:w="471" w:type="pct"/>
                  <w:gridSpan w:val="3"/>
                  <w:vAlign w:val="bottom"/>
                </w:tcPr>
                <w:p w:rsidR="00AC2131" w:rsidRDefault="00AC2131" w:rsidP="00AC2131">
                  <w:pPr>
                    <w:pStyle w:val="TableBodyText"/>
                    <w:spacing w:after="0"/>
                    <w:ind w:left="0" w:right="57"/>
                  </w:pPr>
                  <w:r>
                    <w:t>37.4</w:t>
                  </w:r>
                </w:p>
              </w:tc>
              <w:tc>
                <w:tcPr>
                  <w:tcW w:w="480" w:type="pct"/>
                  <w:gridSpan w:val="4"/>
                  <w:shd w:val="clear" w:color="auto" w:fill="auto"/>
                  <w:vAlign w:val="bottom"/>
                </w:tcPr>
                <w:p w:rsidR="00AC2131" w:rsidRDefault="00AC2131" w:rsidP="00AC2131">
                  <w:pPr>
                    <w:pStyle w:val="TableBodyText"/>
                    <w:spacing w:after="0"/>
                    <w:ind w:left="0" w:right="57"/>
                  </w:pPr>
                  <w:r>
                    <w:t>44.4</w:t>
                  </w:r>
                </w:p>
              </w:tc>
              <w:tc>
                <w:tcPr>
                  <w:tcW w:w="44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EE5803" w:rsidRDefault="00AC2131" w:rsidP="00AC2131">
                  <w:pPr>
                    <w:ind w:left="227"/>
                    <w:rPr>
                      <w:rFonts w:ascii="Arial" w:hAnsi="Arial" w:cs="Arial"/>
                      <w:color w:val="000000"/>
                      <w:sz w:val="18"/>
                      <w:szCs w:val="18"/>
                    </w:rPr>
                  </w:pPr>
                  <w:r w:rsidRPr="00EE5803">
                    <w:rPr>
                      <w:rFonts w:ascii="Arial" w:hAnsi="Arial" w:cs="Arial"/>
                      <w:color w:val="000000"/>
                      <w:sz w:val="18"/>
                      <w:szCs w:val="18"/>
                    </w:rPr>
                    <w:t>Enterprise Connect Innovation Centres</w:t>
                  </w:r>
                </w:p>
              </w:tc>
              <w:tc>
                <w:tcPr>
                  <w:tcW w:w="468" w:type="pct"/>
                  <w:vAlign w:val="bottom"/>
                </w:tcPr>
                <w:p w:rsidR="00AC2131" w:rsidRDefault="00AC2131" w:rsidP="00AC2131">
                  <w:pPr>
                    <w:pStyle w:val="TableBodyText"/>
                    <w:spacing w:after="0"/>
                    <w:ind w:left="0" w:right="57"/>
                  </w:pPr>
                  <w:r>
                    <w:t>2.8</w:t>
                  </w:r>
                </w:p>
              </w:tc>
              <w:tc>
                <w:tcPr>
                  <w:tcW w:w="470" w:type="pct"/>
                  <w:gridSpan w:val="2"/>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2.6</w:t>
                  </w:r>
                </w:p>
              </w:tc>
              <w:tc>
                <w:tcPr>
                  <w:tcW w:w="471" w:type="pct"/>
                  <w:gridSpan w:val="3"/>
                  <w:vAlign w:val="bottom"/>
                </w:tcPr>
                <w:p w:rsidR="00AC2131" w:rsidRDefault="00AC2131" w:rsidP="00AC2131">
                  <w:pPr>
                    <w:pStyle w:val="TableBodyText"/>
                    <w:spacing w:after="0"/>
                    <w:ind w:left="0" w:right="57"/>
                  </w:pPr>
                  <w:r>
                    <w:t>3.7</w:t>
                  </w:r>
                </w:p>
              </w:tc>
              <w:tc>
                <w:tcPr>
                  <w:tcW w:w="474" w:type="pct"/>
                  <w:gridSpan w:val="3"/>
                  <w:shd w:val="clear" w:color="auto" w:fill="auto"/>
                  <w:vAlign w:val="bottom"/>
                </w:tcPr>
                <w:p w:rsidR="00AC2131" w:rsidRDefault="00AC2131" w:rsidP="00AC2131">
                  <w:pPr>
                    <w:pStyle w:val="TableBodyText"/>
                    <w:spacing w:after="0"/>
                    <w:ind w:left="0" w:right="57"/>
                  </w:pPr>
                  <w:r>
                    <w:t>2.4</w:t>
                  </w:r>
                </w:p>
              </w:tc>
              <w:tc>
                <w:tcPr>
                  <w:tcW w:w="450" w:type="pct"/>
                  <w:gridSpan w:val="2"/>
                  <w:shd w:val="clear" w:color="auto" w:fill="auto"/>
                  <w:vAlign w:val="bottom"/>
                </w:tcPr>
                <w:p w:rsidR="00AC2131" w:rsidRDefault="00AC2131" w:rsidP="00AC2131">
                  <w:pPr>
                    <w:pStyle w:val="TableBodyText"/>
                    <w:spacing w:after="0"/>
                    <w:ind w:left="0" w:right="57"/>
                  </w:pPr>
                  <w:r>
                    <w:t>3.3</w:t>
                  </w:r>
                </w:p>
              </w:tc>
            </w:tr>
            <w:tr w:rsidR="00AC2131" w:rsidTr="00AC2131">
              <w:tc>
                <w:tcPr>
                  <w:tcW w:w="2199" w:type="pct"/>
                  <w:shd w:val="clear" w:color="auto" w:fill="auto"/>
                  <w:vAlign w:val="bottom"/>
                </w:tcPr>
                <w:p w:rsidR="00AC2131" w:rsidRPr="00EE5803" w:rsidRDefault="00AC2131" w:rsidP="00AC2131">
                  <w:pPr>
                    <w:ind w:left="227"/>
                    <w:rPr>
                      <w:rFonts w:ascii="Arial" w:hAnsi="Arial" w:cs="Arial"/>
                      <w:color w:val="000000"/>
                      <w:sz w:val="18"/>
                      <w:szCs w:val="18"/>
                    </w:rPr>
                  </w:pPr>
                  <w:r w:rsidRPr="00EE5803">
                    <w:rPr>
                      <w:rFonts w:ascii="Arial" w:hAnsi="Arial" w:cs="Arial"/>
                      <w:color w:val="000000"/>
                      <w:sz w:val="18"/>
                      <w:szCs w:val="18"/>
                    </w:rPr>
                    <w:t>Illawarra Region Innovation and Investment Fund</w:t>
                  </w:r>
                </w:p>
              </w:tc>
              <w:tc>
                <w:tcPr>
                  <w:tcW w:w="468" w:type="pct"/>
                  <w:vAlign w:val="bottom"/>
                </w:tcPr>
                <w:p w:rsidR="00AC2131" w:rsidRDefault="00AC2131" w:rsidP="00AC2131">
                  <w:pPr>
                    <w:pStyle w:val="TableBodyText"/>
                    <w:spacing w:after="0"/>
                    <w:ind w:left="0" w:right="57"/>
                  </w:pPr>
                  <w:r>
                    <w:t>–</w:t>
                  </w:r>
                </w:p>
              </w:tc>
              <w:tc>
                <w:tcPr>
                  <w:tcW w:w="470" w:type="pct"/>
                  <w:gridSpan w:val="2"/>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1" w:type="pct"/>
                  <w:gridSpan w:val="3"/>
                  <w:vAlign w:val="bottom"/>
                </w:tcPr>
                <w:p w:rsidR="00AC2131" w:rsidRDefault="00AC2131" w:rsidP="00AC2131">
                  <w:pPr>
                    <w:pStyle w:val="TableBodyText"/>
                    <w:spacing w:after="0"/>
                    <w:ind w:left="0" w:right="57"/>
                  </w:pPr>
                  <w:r>
                    <w:t>0.3</w:t>
                  </w:r>
                </w:p>
              </w:tc>
              <w:tc>
                <w:tcPr>
                  <w:tcW w:w="474" w:type="pct"/>
                  <w:gridSpan w:val="3"/>
                  <w:shd w:val="clear" w:color="auto" w:fill="auto"/>
                  <w:vAlign w:val="bottom"/>
                </w:tcPr>
                <w:p w:rsidR="00AC2131" w:rsidRDefault="00AC2131" w:rsidP="00AC2131">
                  <w:pPr>
                    <w:pStyle w:val="TableBodyText"/>
                    <w:spacing w:after="0"/>
                    <w:ind w:left="0" w:right="57"/>
                  </w:pPr>
                  <w:r>
                    <w:t>0.8</w:t>
                  </w:r>
                </w:p>
              </w:tc>
              <w:tc>
                <w:tcPr>
                  <w:tcW w:w="45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EE5803" w:rsidRDefault="00AC2131" w:rsidP="00AC2131">
                  <w:pPr>
                    <w:ind w:left="227"/>
                    <w:rPr>
                      <w:rFonts w:ascii="Arial" w:hAnsi="Arial" w:cs="Arial"/>
                      <w:color w:val="000000"/>
                      <w:sz w:val="18"/>
                      <w:szCs w:val="18"/>
                    </w:rPr>
                  </w:pPr>
                  <w:r w:rsidRPr="00EE5803">
                    <w:rPr>
                      <w:rFonts w:ascii="Arial" w:hAnsi="Arial" w:cs="Arial"/>
                      <w:color w:val="000000"/>
                      <w:sz w:val="18"/>
                      <w:szCs w:val="18"/>
                    </w:rPr>
                    <w:t>Indigenous Tourism Business Ready Program</w:t>
                  </w:r>
                </w:p>
              </w:tc>
              <w:tc>
                <w:tcPr>
                  <w:tcW w:w="468" w:type="pct"/>
                  <w:vAlign w:val="bottom"/>
                </w:tcPr>
                <w:p w:rsidR="00AC2131" w:rsidRDefault="00AC2131" w:rsidP="00AC2131">
                  <w:pPr>
                    <w:pStyle w:val="TableBodyText"/>
                    <w:spacing w:after="0"/>
                    <w:ind w:left="0" w:right="57"/>
                  </w:pPr>
                  <w:r>
                    <w:t>0.4</w:t>
                  </w:r>
                </w:p>
              </w:tc>
              <w:tc>
                <w:tcPr>
                  <w:tcW w:w="470" w:type="pct"/>
                  <w:gridSpan w:val="2"/>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1" w:type="pct"/>
                  <w:gridSpan w:val="3"/>
                  <w:vAlign w:val="bottom"/>
                </w:tcPr>
                <w:p w:rsidR="00AC2131" w:rsidRDefault="00AC2131" w:rsidP="00AC2131">
                  <w:pPr>
                    <w:pStyle w:val="TableBodyText"/>
                    <w:spacing w:after="0"/>
                    <w:ind w:left="0" w:right="57"/>
                  </w:pPr>
                  <w:r>
                    <w:t>–</w:t>
                  </w:r>
                </w:p>
              </w:tc>
              <w:tc>
                <w:tcPr>
                  <w:tcW w:w="474" w:type="pct"/>
                  <w:gridSpan w:val="3"/>
                  <w:shd w:val="clear" w:color="auto" w:fill="auto"/>
                  <w:vAlign w:val="bottom"/>
                </w:tcPr>
                <w:p w:rsidR="00AC2131" w:rsidRDefault="00AC2131" w:rsidP="00AC2131">
                  <w:pPr>
                    <w:pStyle w:val="TableBodyText"/>
                    <w:spacing w:after="0"/>
                    <w:ind w:left="0" w:right="57"/>
                  </w:pPr>
                  <w:r>
                    <w:t>–</w:t>
                  </w:r>
                </w:p>
              </w:tc>
              <w:tc>
                <w:tcPr>
                  <w:tcW w:w="45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EE5803" w:rsidRDefault="00AC2131" w:rsidP="00AC2131">
                  <w:pPr>
                    <w:ind w:left="227"/>
                    <w:rPr>
                      <w:rFonts w:ascii="Arial" w:hAnsi="Arial" w:cs="Arial"/>
                      <w:color w:val="000000"/>
                      <w:sz w:val="18"/>
                      <w:szCs w:val="18"/>
                    </w:rPr>
                  </w:pPr>
                  <w:r w:rsidRPr="00EE5803">
                    <w:rPr>
                      <w:rFonts w:ascii="Arial" w:hAnsi="Arial" w:cs="Arial"/>
                      <w:color w:val="000000"/>
                      <w:sz w:val="18"/>
                      <w:szCs w:val="18"/>
                    </w:rPr>
                    <w:t>Industry Cooperative Innovation Program</w:t>
                  </w:r>
                </w:p>
              </w:tc>
              <w:tc>
                <w:tcPr>
                  <w:tcW w:w="468" w:type="pct"/>
                  <w:vAlign w:val="bottom"/>
                </w:tcPr>
                <w:p w:rsidR="00AC2131" w:rsidRDefault="00AC2131" w:rsidP="00AC2131">
                  <w:pPr>
                    <w:pStyle w:val="TableBodyText"/>
                    <w:spacing w:after="0"/>
                    <w:ind w:left="0" w:right="57"/>
                  </w:pPr>
                  <w:r>
                    <w:t>0.6</w:t>
                  </w:r>
                </w:p>
              </w:tc>
              <w:tc>
                <w:tcPr>
                  <w:tcW w:w="470" w:type="pct"/>
                  <w:gridSpan w:val="2"/>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gridSpan w:val="2"/>
                  <w:vAlign w:val="bottom"/>
                </w:tcPr>
                <w:p w:rsidR="00AC2131" w:rsidRDefault="00AC2131" w:rsidP="00AC2131">
                  <w:pPr>
                    <w:pStyle w:val="TableBodyText"/>
                    <w:spacing w:after="0"/>
                    <w:ind w:left="0" w:right="57"/>
                  </w:pPr>
                  <w:r>
                    <w:t>–</w:t>
                  </w:r>
                </w:p>
              </w:tc>
              <w:tc>
                <w:tcPr>
                  <w:tcW w:w="474" w:type="pct"/>
                  <w:gridSpan w:val="3"/>
                  <w:shd w:val="clear" w:color="auto" w:fill="auto"/>
                  <w:vAlign w:val="bottom"/>
                </w:tcPr>
                <w:p w:rsidR="00AC2131" w:rsidRDefault="00AC2131" w:rsidP="00AC2131">
                  <w:pPr>
                    <w:pStyle w:val="TableBodyText"/>
                    <w:spacing w:after="0"/>
                    <w:ind w:left="0" w:right="57"/>
                  </w:pPr>
                  <w:r>
                    <w:t>–</w:t>
                  </w:r>
                </w:p>
              </w:tc>
              <w:tc>
                <w:tcPr>
                  <w:tcW w:w="454" w:type="pct"/>
                  <w:gridSpan w:val="3"/>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EE5803" w:rsidRDefault="00AC2131" w:rsidP="00AC2131">
                  <w:pPr>
                    <w:ind w:left="227"/>
                    <w:rPr>
                      <w:rFonts w:ascii="Arial" w:hAnsi="Arial" w:cs="Arial"/>
                      <w:color w:val="000000"/>
                      <w:sz w:val="18"/>
                      <w:szCs w:val="18"/>
                    </w:rPr>
                  </w:pPr>
                  <w:r w:rsidRPr="00EE5803">
                    <w:rPr>
                      <w:rFonts w:ascii="Arial" w:hAnsi="Arial" w:cs="Arial"/>
                      <w:color w:val="000000"/>
                      <w:sz w:val="18"/>
                      <w:szCs w:val="18"/>
                    </w:rPr>
                    <w:t>Innovation Investment Fund for South Australia</w:t>
                  </w:r>
                </w:p>
              </w:tc>
              <w:tc>
                <w:tcPr>
                  <w:tcW w:w="468" w:type="pct"/>
                  <w:vAlign w:val="bottom"/>
                </w:tcPr>
                <w:p w:rsidR="00AC2131" w:rsidRDefault="00AC2131" w:rsidP="00AC2131">
                  <w:pPr>
                    <w:pStyle w:val="TableBodyText"/>
                    <w:spacing w:after="0"/>
                    <w:ind w:left="0" w:right="57"/>
                  </w:pPr>
                  <w:r>
                    <w:t>0.8</w:t>
                  </w:r>
                </w:p>
              </w:tc>
              <w:tc>
                <w:tcPr>
                  <w:tcW w:w="470" w:type="pct"/>
                  <w:gridSpan w:val="2"/>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74" w:type="pct"/>
                  <w:gridSpan w:val="3"/>
                  <w:shd w:val="clear" w:color="auto" w:fill="auto"/>
                  <w:vAlign w:val="bottom"/>
                </w:tcPr>
                <w:p w:rsidR="00AC2131" w:rsidRDefault="00AC2131" w:rsidP="00AC2131">
                  <w:pPr>
                    <w:pStyle w:val="TableBodyText"/>
                    <w:spacing w:after="0"/>
                    <w:ind w:left="0" w:right="57"/>
                  </w:pPr>
                  <w:r>
                    <w:t>–</w:t>
                  </w:r>
                </w:p>
              </w:tc>
              <w:tc>
                <w:tcPr>
                  <w:tcW w:w="454" w:type="pct"/>
                  <w:gridSpan w:val="3"/>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EE5803"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8" w:type="pct"/>
                  <w:vAlign w:val="bottom"/>
                </w:tcPr>
                <w:p w:rsidR="00AC2131" w:rsidRDefault="00AC2131" w:rsidP="00AC2131">
                  <w:pPr>
                    <w:pStyle w:val="TableBodyText"/>
                    <w:spacing w:after="0"/>
                    <w:ind w:left="0" w:right="57"/>
                  </w:pPr>
                  <w:r>
                    <w:t>16.0</w:t>
                  </w:r>
                </w:p>
              </w:tc>
              <w:tc>
                <w:tcPr>
                  <w:tcW w:w="470" w:type="pct"/>
                  <w:gridSpan w:val="2"/>
                  <w:vAlign w:val="bottom"/>
                </w:tcPr>
                <w:p w:rsidR="00AC2131" w:rsidRDefault="00AC2131" w:rsidP="00AC2131">
                  <w:pPr>
                    <w:pStyle w:val="TableBodyText"/>
                    <w:spacing w:after="0"/>
                    <w:ind w:left="0" w:right="57"/>
                  </w:pPr>
                  <w:r>
                    <w:t>21.3</w:t>
                  </w:r>
                </w:p>
              </w:tc>
              <w:tc>
                <w:tcPr>
                  <w:tcW w:w="467" w:type="pct"/>
                  <w:vAlign w:val="bottom"/>
                </w:tcPr>
                <w:p w:rsidR="00AC2131" w:rsidRDefault="00AC2131" w:rsidP="00AC2131">
                  <w:pPr>
                    <w:pStyle w:val="TableBodyText"/>
                    <w:spacing w:after="0"/>
                    <w:ind w:left="0" w:right="57"/>
                  </w:pPr>
                  <w:r>
                    <w:t>34.7</w:t>
                  </w:r>
                </w:p>
              </w:tc>
              <w:tc>
                <w:tcPr>
                  <w:tcW w:w="467" w:type="pct"/>
                  <w:gridSpan w:val="2"/>
                  <w:vAlign w:val="bottom"/>
                </w:tcPr>
                <w:p w:rsidR="00AC2131" w:rsidRDefault="00AC2131" w:rsidP="00AC2131">
                  <w:pPr>
                    <w:pStyle w:val="TableBodyText"/>
                    <w:spacing w:after="0"/>
                    <w:ind w:left="0" w:right="57"/>
                  </w:pPr>
                  <w:r>
                    <w:t>2.7</w:t>
                  </w:r>
                </w:p>
              </w:tc>
              <w:tc>
                <w:tcPr>
                  <w:tcW w:w="474" w:type="pct"/>
                  <w:gridSpan w:val="3"/>
                  <w:shd w:val="clear" w:color="auto" w:fill="auto"/>
                  <w:vAlign w:val="bottom"/>
                </w:tcPr>
                <w:p w:rsidR="00AC2131" w:rsidRDefault="00AC2131" w:rsidP="00AC2131">
                  <w:pPr>
                    <w:pStyle w:val="TableBodyText"/>
                    <w:spacing w:after="0"/>
                    <w:ind w:left="0" w:right="57"/>
                  </w:pPr>
                  <w:r>
                    <w:t>-10.7</w:t>
                  </w:r>
                </w:p>
              </w:tc>
              <w:tc>
                <w:tcPr>
                  <w:tcW w:w="454" w:type="pct"/>
                  <w:gridSpan w:val="3"/>
                  <w:shd w:val="clear" w:color="auto" w:fill="auto"/>
                  <w:vAlign w:val="bottom"/>
                </w:tcPr>
                <w:p w:rsidR="00AC2131" w:rsidRDefault="00AC2131" w:rsidP="00AC2131">
                  <w:pPr>
                    <w:pStyle w:val="TableBodyText"/>
                    <w:spacing w:after="0"/>
                    <w:ind w:left="0" w:right="57"/>
                  </w:pPr>
                  <w:r>
                    <w:t>378.8</w:t>
                  </w:r>
                </w:p>
              </w:tc>
            </w:tr>
            <w:tr w:rsidR="00AC2131" w:rsidTr="00AC2131">
              <w:tc>
                <w:tcPr>
                  <w:tcW w:w="2199" w:type="pct"/>
                  <w:shd w:val="clear" w:color="auto" w:fill="auto"/>
                  <w:vAlign w:val="bottom"/>
                </w:tcPr>
                <w:p w:rsidR="00AC2131" w:rsidRPr="00EE5803"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8" w:type="pct"/>
                  <w:vAlign w:val="bottom"/>
                </w:tcPr>
                <w:p w:rsidR="00AC2131" w:rsidRDefault="00AC2131" w:rsidP="00AC2131">
                  <w:pPr>
                    <w:pStyle w:val="TableBodyText"/>
                    <w:spacing w:after="0"/>
                    <w:ind w:left="0" w:right="57"/>
                  </w:pPr>
                  <w:r>
                    <w:t>23.5</w:t>
                  </w:r>
                </w:p>
              </w:tc>
              <w:tc>
                <w:tcPr>
                  <w:tcW w:w="470" w:type="pct"/>
                  <w:gridSpan w:val="2"/>
                  <w:vAlign w:val="bottom"/>
                </w:tcPr>
                <w:p w:rsidR="00AC2131" w:rsidRDefault="00AC2131" w:rsidP="00AC2131">
                  <w:pPr>
                    <w:pStyle w:val="TableBodyText"/>
                    <w:spacing w:after="0"/>
                    <w:ind w:left="0" w:right="57"/>
                  </w:pPr>
                  <w:r>
                    <w:t>14.8</w:t>
                  </w:r>
                </w:p>
              </w:tc>
              <w:tc>
                <w:tcPr>
                  <w:tcW w:w="467" w:type="pct"/>
                  <w:vAlign w:val="bottom"/>
                </w:tcPr>
                <w:p w:rsidR="00AC2131" w:rsidRDefault="00AC2131" w:rsidP="00AC2131">
                  <w:pPr>
                    <w:pStyle w:val="TableBodyText"/>
                    <w:spacing w:after="0"/>
                    <w:ind w:left="0" w:right="57"/>
                  </w:pPr>
                  <w:r>
                    <w:t>9.2</w:t>
                  </w:r>
                </w:p>
              </w:tc>
              <w:tc>
                <w:tcPr>
                  <w:tcW w:w="467" w:type="pct"/>
                  <w:gridSpan w:val="2"/>
                  <w:vAlign w:val="bottom"/>
                </w:tcPr>
                <w:p w:rsidR="00AC2131" w:rsidRDefault="00AC2131" w:rsidP="00AC2131">
                  <w:pPr>
                    <w:pStyle w:val="TableBodyText"/>
                    <w:spacing w:after="0"/>
                    <w:ind w:left="0" w:right="57"/>
                  </w:pPr>
                  <w:r>
                    <w:t>12.1</w:t>
                  </w:r>
                </w:p>
              </w:tc>
              <w:tc>
                <w:tcPr>
                  <w:tcW w:w="474" w:type="pct"/>
                  <w:gridSpan w:val="3"/>
                  <w:shd w:val="clear" w:color="auto" w:fill="auto"/>
                  <w:vAlign w:val="bottom"/>
                </w:tcPr>
                <w:p w:rsidR="00AC2131" w:rsidRDefault="00AC2131" w:rsidP="00AC2131">
                  <w:pPr>
                    <w:pStyle w:val="TableBodyText"/>
                    <w:spacing w:after="0"/>
                    <w:ind w:left="0" w:right="57"/>
                  </w:pPr>
                  <w:r>
                    <w:t>12.6</w:t>
                  </w:r>
                </w:p>
              </w:tc>
              <w:tc>
                <w:tcPr>
                  <w:tcW w:w="454" w:type="pct"/>
                  <w:gridSpan w:val="3"/>
                  <w:shd w:val="clear" w:color="auto" w:fill="auto"/>
                  <w:vAlign w:val="bottom"/>
                </w:tcPr>
                <w:p w:rsidR="00AC2131" w:rsidRDefault="00AC2131" w:rsidP="00AC2131">
                  <w:pPr>
                    <w:pStyle w:val="TableBodyText"/>
                    <w:spacing w:after="0"/>
                    <w:ind w:left="0" w:right="57"/>
                  </w:pPr>
                  <w:r>
                    <w:t>15.5</w:t>
                  </w:r>
                </w:p>
              </w:tc>
            </w:tr>
            <w:tr w:rsidR="00AC2131" w:rsidTr="00AC2131">
              <w:tc>
                <w:tcPr>
                  <w:tcW w:w="2199" w:type="pct"/>
                  <w:shd w:val="clear" w:color="auto" w:fill="auto"/>
                </w:tcPr>
                <w:p w:rsidR="00AC2131" w:rsidRPr="00B92ED2" w:rsidRDefault="00AC2131" w:rsidP="00AC2131">
                  <w:pPr>
                    <w:ind w:left="227"/>
                    <w:rPr>
                      <w:rFonts w:ascii="Arial" w:hAnsi="Arial" w:cs="Arial"/>
                      <w:sz w:val="18"/>
                      <w:szCs w:val="18"/>
                    </w:rPr>
                  </w:pPr>
                  <w:r w:rsidRPr="00EE5803">
                    <w:rPr>
                      <w:rFonts w:ascii="Arial" w:hAnsi="Arial" w:cs="Arial"/>
                      <w:sz w:val="18"/>
                      <w:szCs w:val="18"/>
                    </w:rPr>
                    <w:t xml:space="preserve">Small business </w:t>
                  </w:r>
                  <w:r>
                    <w:rPr>
                      <w:rFonts w:ascii="Arial" w:hAnsi="Arial" w:cs="Arial"/>
                      <w:sz w:val="18"/>
                      <w:szCs w:val="18"/>
                    </w:rPr>
                    <w:t>capital gains tax</w:t>
                  </w:r>
                  <w:r w:rsidRPr="00EE5803">
                    <w:rPr>
                      <w:rFonts w:ascii="Arial" w:hAnsi="Arial" w:cs="Arial"/>
                      <w:sz w:val="18"/>
                      <w:szCs w:val="18"/>
                    </w:rPr>
                    <w:t xml:space="preserve"> 50 per cent reduction</w:t>
                  </w:r>
                </w:p>
              </w:tc>
              <w:tc>
                <w:tcPr>
                  <w:tcW w:w="468" w:type="pct"/>
                  <w:vAlign w:val="bottom"/>
                </w:tcPr>
                <w:p w:rsidR="00AC2131" w:rsidRDefault="00AC2131" w:rsidP="00AC2131">
                  <w:pPr>
                    <w:pStyle w:val="TableBodyText"/>
                    <w:spacing w:after="0"/>
                    <w:ind w:left="0" w:right="57"/>
                  </w:pPr>
                  <w:r>
                    <w:t>136.2</w:t>
                  </w:r>
                </w:p>
              </w:tc>
              <w:tc>
                <w:tcPr>
                  <w:tcW w:w="470" w:type="pct"/>
                  <w:gridSpan w:val="2"/>
                  <w:vAlign w:val="bottom"/>
                </w:tcPr>
                <w:p w:rsidR="00AC2131" w:rsidRDefault="00AC2131" w:rsidP="00AC2131">
                  <w:pPr>
                    <w:pStyle w:val="TableBodyText"/>
                    <w:spacing w:after="0"/>
                    <w:ind w:left="0" w:right="57"/>
                  </w:pPr>
                  <w:r>
                    <w:t>82.2</w:t>
                  </w:r>
                </w:p>
              </w:tc>
              <w:tc>
                <w:tcPr>
                  <w:tcW w:w="467" w:type="pct"/>
                  <w:vAlign w:val="bottom"/>
                </w:tcPr>
                <w:p w:rsidR="00AC2131" w:rsidRDefault="00AC2131" w:rsidP="00AC2131">
                  <w:pPr>
                    <w:pStyle w:val="TableBodyText"/>
                    <w:spacing w:after="0"/>
                    <w:ind w:left="0" w:right="57"/>
                  </w:pPr>
                  <w:r>
                    <w:t>61.0</w:t>
                  </w:r>
                </w:p>
              </w:tc>
              <w:tc>
                <w:tcPr>
                  <w:tcW w:w="467" w:type="pct"/>
                  <w:gridSpan w:val="2"/>
                  <w:vAlign w:val="bottom"/>
                </w:tcPr>
                <w:p w:rsidR="00AC2131" w:rsidRDefault="00AC2131" w:rsidP="00AC2131">
                  <w:pPr>
                    <w:pStyle w:val="TableBodyText"/>
                    <w:spacing w:after="0"/>
                    <w:ind w:left="0" w:right="57"/>
                  </w:pPr>
                  <w:r>
                    <w:t>64.1</w:t>
                  </w:r>
                </w:p>
              </w:tc>
              <w:tc>
                <w:tcPr>
                  <w:tcW w:w="474" w:type="pct"/>
                  <w:gridSpan w:val="3"/>
                  <w:shd w:val="clear" w:color="auto" w:fill="auto"/>
                  <w:vAlign w:val="bottom"/>
                </w:tcPr>
                <w:p w:rsidR="00AC2131" w:rsidRDefault="00AC2131" w:rsidP="00AC2131">
                  <w:pPr>
                    <w:pStyle w:val="TableBodyText"/>
                    <w:spacing w:after="0"/>
                    <w:ind w:left="0" w:right="57"/>
                  </w:pPr>
                  <w:r>
                    <w:t>66.4</w:t>
                  </w:r>
                </w:p>
              </w:tc>
              <w:tc>
                <w:tcPr>
                  <w:tcW w:w="454" w:type="pct"/>
                  <w:gridSpan w:val="3"/>
                  <w:shd w:val="clear" w:color="auto" w:fill="auto"/>
                  <w:vAlign w:val="bottom"/>
                </w:tcPr>
                <w:p w:rsidR="00AC2131" w:rsidRDefault="00AC2131" w:rsidP="00AC2131">
                  <w:pPr>
                    <w:pStyle w:val="TableBodyText"/>
                    <w:spacing w:after="0"/>
                    <w:ind w:left="0" w:right="57"/>
                  </w:pPr>
                  <w:r>
                    <w:t>69.9</w:t>
                  </w:r>
                </w:p>
              </w:tc>
            </w:tr>
            <w:tr w:rsidR="00AC2131" w:rsidTr="00AC2131">
              <w:tc>
                <w:tcPr>
                  <w:tcW w:w="2199" w:type="pct"/>
                  <w:vAlign w:val="bottom"/>
                </w:tcPr>
                <w:p w:rsidR="00AC2131" w:rsidRPr="00D156E2" w:rsidRDefault="00AC2131" w:rsidP="00AC2131">
                  <w:pPr>
                    <w:ind w:left="227"/>
                    <w:rPr>
                      <w:rFonts w:ascii="Arial" w:hAnsi="Arial" w:cs="Arial"/>
                      <w:color w:val="000000"/>
                      <w:sz w:val="18"/>
                      <w:szCs w:val="18"/>
                    </w:rPr>
                  </w:pPr>
                  <w:r w:rsidRPr="00D156E2">
                    <w:rPr>
                      <w:rFonts w:ascii="Arial" w:hAnsi="Arial" w:cs="Arial"/>
                      <w:color w:val="000000"/>
                      <w:sz w:val="18"/>
                      <w:szCs w:val="18"/>
                    </w:rPr>
                    <w:t xml:space="preserve">Small business </w:t>
                  </w:r>
                  <w:r>
                    <w:rPr>
                      <w:rFonts w:ascii="Arial" w:hAnsi="Arial" w:cs="Arial"/>
                      <w:color w:val="000000"/>
                      <w:sz w:val="18"/>
                      <w:szCs w:val="18"/>
                    </w:rPr>
                    <w:t>capital gains tax</w:t>
                  </w:r>
                  <w:r w:rsidRPr="00D156E2">
                    <w:rPr>
                      <w:rFonts w:ascii="Arial" w:hAnsi="Arial" w:cs="Arial"/>
                      <w:color w:val="000000"/>
                      <w:sz w:val="18"/>
                      <w:szCs w:val="18"/>
                    </w:rPr>
                    <w:t xml:space="preserve"> retirement exemption</w:t>
                  </w:r>
                </w:p>
              </w:tc>
              <w:tc>
                <w:tcPr>
                  <w:tcW w:w="468" w:type="pct"/>
                  <w:vAlign w:val="bottom"/>
                </w:tcPr>
                <w:p w:rsidR="00AC2131" w:rsidRDefault="00AC2131" w:rsidP="00AC2131">
                  <w:pPr>
                    <w:pStyle w:val="TableBodyText"/>
                    <w:spacing w:after="0"/>
                    <w:ind w:left="0" w:right="57"/>
                  </w:pPr>
                  <w:r>
                    <w:t>81.6</w:t>
                  </w:r>
                </w:p>
              </w:tc>
              <w:tc>
                <w:tcPr>
                  <w:tcW w:w="466" w:type="pct"/>
                  <w:vAlign w:val="bottom"/>
                </w:tcPr>
                <w:p w:rsidR="00AC2131" w:rsidRDefault="00AC2131" w:rsidP="00AC2131">
                  <w:pPr>
                    <w:pStyle w:val="TableBodyText"/>
                    <w:spacing w:after="0"/>
                    <w:ind w:left="0" w:right="57"/>
                  </w:pPr>
                  <w:r>
                    <w:t>54.9</w:t>
                  </w:r>
                </w:p>
              </w:tc>
              <w:tc>
                <w:tcPr>
                  <w:tcW w:w="471" w:type="pct"/>
                  <w:gridSpan w:val="2"/>
                  <w:vAlign w:val="bottom"/>
                </w:tcPr>
                <w:p w:rsidR="00AC2131" w:rsidRDefault="00AC2131" w:rsidP="00AC2131">
                  <w:pPr>
                    <w:pStyle w:val="TableBodyText"/>
                    <w:spacing w:after="0"/>
                    <w:ind w:left="0" w:right="57"/>
                  </w:pPr>
                  <w:r>
                    <w:t>33.5</w:t>
                  </w:r>
                </w:p>
              </w:tc>
              <w:tc>
                <w:tcPr>
                  <w:tcW w:w="471" w:type="pct"/>
                  <w:gridSpan w:val="3"/>
                  <w:vAlign w:val="bottom"/>
                </w:tcPr>
                <w:p w:rsidR="00AC2131" w:rsidRDefault="00AC2131" w:rsidP="00AC2131">
                  <w:pPr>
                    <w:pStyle w:val="TableBodyText"/>
                    <w:spacing w:after="0"/>
                    <w:ind w:left="0" w:right="57"/>
                  </w:pPr>
                  <w:r>
                    <w:t>38.0</w:t>
                  </w:r>
                </w:p>
              </w:tc>
              <w:tc>
                <w:tcPr>
                  <w:tcW w:w="480" w:type="pct"/>
                  <w:gridSpan w:val="4"/>
                  <w:vAlign w:val="bottom"/>
                </w:tcPr>
                <w:p w:rsidR="00AC2131" w:rsidRDefault="00AC2131" w:rsidP="00AC2131">
                  <w:pPr>
                    <w:pStyle w:val="TableBodyText"/>
                    <w:spacing w:after="0"/>
                    <w:ind w:left="0" w:right="57"/>
                  </w:pPr>
                  <w:r>
                    <w:t>38.0</w:t>
                  </w:r>
                </w:p>
              </w:tc>
              <w:tc>
                <w:tcPr>
                  <w:tcW w:w="444" w:type="pct"/>
                  <w:vAlign w:val="bottom"/>
                </w:tcPr>
                <w:p w:rsidR="00AC2131" w:rsidRDefault="00AC2131" w:rsidP="00AC2131">
                  <w:pPr>
                    <w:pStyle w:val="TableBodyText"/>
                    <w:spacing w:after="0"/>
                    <w:ind w:left="0" w:right="57"/>
                  </w:pPr>
                  <w:r>
                    <w:t>40.0</w:t>
                  </w:r>
                </w:p>
              </w:tc>
            </w:tr>
            <w:tr w:rsidR="00AC2131" w:rsidTr="00AC2131">
              <w:tc>
                <w:tcPr>
                  <w:tcW w:w="2199" w:type="pct"/>
                  <w:vAlign w:val="bottom"/>
                </w:tcPr>
                <w:p w:rsidR="00AC2131" w:rsidRPr="00D156E2" w:rsidRDefault="00AC2131" w:rsidP="00AC2131">
                  <w:pPr>
                    <w:ind w:left="227"/>
                    <w:rPr>
                      <w:rFonts w:ascii="Arial" w:hAnsi="Arial" w:cs="Arial"/>
                      <w:color w:val="000000"/>
                      <w:sz w:val="18"/>
                      <w:szCs w:val="18"/>
                    </w:rPr>
                  </w:pPr>
                  <w:r w:rsidRPr="00D156E2">
                    <w:rPr>
                      <w:rFonts w:ascii="Arial" w:hAnsi="Arial" w:cs="Arial"/>
                      <w:color w:val="000000"/>
                      <w:sz w:val="18"/>
                      <w:szCs w:val="18"/>
                    </w:rPr>
                    <w:t xml:space="preserve">Small business </w:t>
                  </w:r>
                  <w:r>
                    <w:rPr>
                      <w:rFonts w:ascii="Arial" w:hAnsi="Arial" w:cs="Arial"/>
                      <w:color w:val="000000"/>
                      <w:sz w:val="18"/>
                      <w:szCs w:val="18"/>
                    </w:rPr>
                    <w:t>capital gains tax</w:t>
                  </w:r>
                  <w:r w:rsidRPr="00D156E2">
                    <w:rPr>
                      <w:rFonts w:ascii="Arial" w:hAnsi="Arial" w:cs="Arial"/>
                      <w:color w:val="000000"/>
                      <w:sz w:val="18"/>
                      <w:szCs w:val="18"/>
                    </w:rPr>
                    <w:t xml:space="preserve"> rollover deferral</w:t>
                  </w:r>
                </w:p>
              </w:tc>
              <w:tc>
                <w:tcPr>
                  <w:tcW w:w="468" w:type="pct"/>
                  <w:vAlign w:val="bottom"/>
                </w:tcPr>
                <w:p w:rsidR="00AC2131" w:rsidRDefault="00AC2131" w:rsidP="00AC2131">
                  <w:pPr>
                    <w:pStyle w:val="TableBodyText"/>
                    <w:spacing w:after="0"/>
                    <w:ind w:left="0" w:right="57"/>
                  </w:pPr>
                  <w:r>
                    <w:t>56.5</w:t>
                  </w:r>
                </w:p>
              </w:tc>
              <w:tc>
                <w:tcPr>
                  <w:tcW w:w="466" w:type="pct"/>
                  <w:vAlign w:val="bottom"/>
                </w:tcPr>
                <w:p w:rsidR="00AC2131" w:rsidRDefault="00AC2131" w:rsidP="00AC2131">
                  <w:pPr>
                    <w:pStyle w:val="TableBodyText"/>
                    <w:spacing w:after="0"/>
                    <w:ind w:left="0" w:right="57"/>
                  </w:pPr>
                  <w:r>
                    <w:t>31.9</w:t>
                  </w:r>
                </w:p>
              </w:tc>
              <w:tc>
                <w:tcPr>
                  <w:tcW w:w="471" w:type="pct"/>
                  <w:gridSpan w:val="2"/>
                  <w:vAlign w:val="bottom"/>
                </w:tcPr>
                <w:p w:rsidR="00AC2131" w:rsidRDefault="00AC2131" w:rsidP="00AC2131">
                  <w:pPr>
                    <w:pStyle w:val="TableBodyText"/>
                    <w:spacing w:after="0"/>
                    <w:ind w:left="0" w:right="57"/>
                  </w:pPr>
                  <w:r>
                    <w:t>3.7</w:t>
                  </w:r>
                </w:p>
              </w:tc>
              <w:tc>
                <w:tcPr>
                  <w:tcW w:w="471" w:type="pct"/>
                  <w:gridSpan w:val="3"/>
                  <w:vAlign w:val="bottom"/>
                </w:tcPr>
                <w:p w:rsidR="00AC2131" w:rsidRDefault="00AC2131" w:rsidP="00AC2131">
                  <w:pPr>
                    <w:pStyle w:val="TableBodyText"/>
                    <w:spacing w:after="0"/>
                    <w:ind w:left="0" w:right="57"/>
                  </w:pPr>
                  <w:r>
                    <w:t>16.5</w:t>
                  </w:r>
                </w:p>
              </w:tc>
              <w:tc>
                <w:tcPr>
                  <w:tcW w:w="480" w:type="pct"/>
                  <w:gridSpan w:val="4"/>
                  <w:vAlign w:val="bottom"/>
                </w:tcPr>
                <w:p w:rsidR="00AC2131" w:rsidRDefault="00AC2131" w:rsidP="00AC2131">
                  <w:pPr>
                    <w:pStyle w:val="TableBodyText"/>
                    <w:spacing w:after="0"/>
                    <w:ind w:left="0" w:right="57"/>
                  </w:pPr>
                  <w:r>
                    <w:t>19.5</w:t>
                  </w:r>
                </w:p>
              </w:tc>
              <w:tc>
                <w:tcPr>
                  <w:tcW w:w="444" w:type="pct"/>
                  <w:vAlign w:val="bottom"/>
                </w:tcPr>
                <w:p w:rsidR="00AC2131" w:rsidRDefault="00AC2131" w:rsidP="00AC2131">
                  <w:pPr>
                    <w:pStyle w:val="TableBodyText"/>
                    <w:spacing w:after="0"/>
                    <w:ind w:left="0" w:right="57"/>
                  </w:pPr>
                  <w:r>
                    <w:t>21.4</w:t>
                  </w:r>
                </w:p>
              </w:tc>
            </w:tr>
            <w:tr w:rsidR="00AC2131" w:rsidTr="00AC2131">
              <w:tc>
                <w:tcPr>
                  <w:tcW w:w="2199" w:type="pct"/>
                  <w:shd w:val="clear" w:color="auto" w:fill="auto"/>
                  <w:vAlign w:val="bottom"/>
                </w:tcPr>
                <w:p w:rsidR="00AC2131" w:rsidRPr="00D156E2" w:rsidRDefault="00AC2131" w:rsidP="00AC2131">
                  <w:pPr>
                    <w:ind w:left="227"/>
                    <w:rPr>
                      <w:rFonts w:ascii="Arial" w:hAnsi="Arial" w:cs="Arial"/>
                      <w:color w:val="000000"/>
                      <w:sz w:val="18"/>
                      <w:szCs w:val="18"/>
                    </w:rPr>
                  </w:pPr>
                  <w:r w:rsidRPr="00D156E2">
                    <w:rPr>
                      <w:rFonts w:ascii="Arial" w:hAnsi="Arial" w:cs="Arial"/>
                      <w:color w:val="000000"/>
                      <w:sz w:val="18"/>
                      <w:szCs w:val="18"/>
                    </w:rPr>
                    <w:t>Small business Online Program</w:t>
                  </w:r>
                </w:p>
              </w:tc>
              <w:tc>
                <w:tcPr>
                  <w:tcW w:w="468"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2.4</w:t>
                  </w:r>
                </w:p>
              </w:tc>
              <w:tc>
                <w:tcPr>
                  <w:tcW w:w="471" w:type="pct"/>
                  <w:gridSpan w:val="3"/>
                  <w:vAlign w:val="bottom"/>
                </w:tcPr>
                <w:p w:rsidR="00AC2131" w:rsidRDefault="00AC2131" w:rsidP="00AC2131">
                  <w:pPr>
                    <w:pStyle w:val="TableBodyText"/>
                    <w:spacing w:after="0"/>
                    <w:ind w:left="0" w:right="57"/>
                  </w:pPr>
                  <w:r>
                    <w:t>–</w:t>
                  </w:r>
                </w:p>
              </w:tc>
              <w:tc>
                <w:tcPr>
                  <w:tcW w:w="480" w:type="pct"/>
                  <w:gridSpan w:val="4"/>
                  <w:shd w:val="clear" w:color="auto" w:fill="auto"/>
                  <w:vAlign w:val="bottom"/>
                </w:tcPr>
                <w:p w:rsidR="00AC2131" w:rsidRDefault="00AC2131" w:rsidP="00AC2131">
                  <w:pPr>
                    <w:pStyle w:val="TableBodyText"/>
                    <w:spacing w:after="0"/>
                    <w:ind w:left="0" w:right="57"/>
                  </w:pPr>
                  <w:r>
                    <w:t>–</w:t>
                  </w:r>
                </w:p>
              </w:tc>
              <w:tc>
                <w:tcPr>
                  <w:tcW w:w="44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D156E2" w:rsidRDefault="00AC2131" w:rsidP="00AC2131">
                  <w:pPr>
                    <w:ind w:left="227"/>
                    <w:rPr>
                      <w:rFonts w:ascii="Arial" w:hAnsi="Arial" w:cs="Arial"/>
                      <w:color w:val="000000"/>
                      <w:sz w:val="18"/>
                      <w:szCs w:val="18"/>
                    </w:rPr>
                  </w:pPr>
                  <w:r w:rsidRPr="00D156E2">
                    <w:rPr>
                      <w:rFonts w:ascii="Arial" w:hAnsi="Arial" w:cs="Arial"/>
                      <w:color w:val="000000"/>
                      <w:sz w:val="18"/>
                      <w:szCs w:val="18"/>
                    </w:rPr>
                    <w:t>Small business programs</w:t>
                  </w:r>
                </w:p>
              </w:tc>
              <w:tc>
                <w:tcPr>
                  <w:tcW w:w="468" w:type="pct"/>
                  <w:vAlign w:val="bottom"/>
                </w:tcPr>
                <w:p w:rsidR="00AC2131" w:rsidRDefault="00AC2131" w:rsidP="00AC2131">
                  <w:pPr>
                    <w:pStyle w:val="TableBodyText"/>
                    <w:spacing w:after="0"/>
                    <w:ind w:left="0" w:right="57"/>
                  </w:pPr>
                  <w:r>
                    <w:t>1.2</w:t>
                  </w:r>
                </w:p>
              </w:tc>
              <w:tc>
                <w:tcPr>
                  <w:tcW w:w="466" w:type="pct"/>
                  <w:vAlign w:val="bottom"/>
                </w:tcPr>
                <w:p w:rsidR="00AC2131" w:rsidRDefault="00AC2131" w:rsidP="00AC2131">
                  <w:pPr>
                    <w:pStyle w:val="TableBodyText"/>
                    <w:spacing w:after="0"/>
                    <w:ind w:left="0" w:right="57"/>
                  </w:pPr>
                  <w:r>
                    <w:t>0.6</w:t>
                  </w:r>
                </w:p>
              </w:tc>
              <w:tc>
                <w:tcPr>
                  <w:tcW w:w="471" w:type="pct"/>
                  <w:gridSpan w:val="2"/>
                  <w:vAlign w:val="bottom"/>
                </w:tcPr>
                <w:p w:rsidR="00AC2131" w:rsidRDefault="00AC2131" w:rsidP="00AC2131">
                  <w:pPr>
                    <w:pStyle w:val="TableBodyText"/>
                    <w:spacing w:after="0"/>
                    <w:ind w:left="0" w:right="57"/>
                  </w:pPr>
                  <w:r>
                    <w:t>–</w:t>
                  </w:r>
                </w:p>
              </w:tc>
              <w:tc>
                <w:tcPr>
                  <w:tcW w:w="471" w:type="pct"/>
                  <w:gridSpan w:val="3"/>
                  <w:vAlign w:val="bottom"/>
                </w:tcPr>
                <w:p w:rsidR="00AC2131" w:rsidRDefault="00AC2131" w:rsidP="00AC2131">
                  <w:pPr>
                    <w:pStyle w:val="TableBodyText"/>
                    <w:spacing w:after="0"/>
                    <w:ind w:left="0" w:right="57"/>
                  </w:pPr>
                  <w:r>
                    <w:t>–</w:t>
                  </w:r>
                </w:p>
              </w:tc>
              <w:tc>
                <w:tcPr>
                  <w:tcW w:w="480" w:type="pct"/>
                  <w:gridSpan w:val="4"/>
                  <w:shd w:val="clear" w:color="auto" w:fill="auto"/>
                  <w:vAlign w:val="bottom"/>
                </w:tcPr>
                <w:p w:rsidR="00AC2131" w:rsidRDefault="00AC2131" w:rsidP="00AC2131">
                  <w:pPr>
                    <w:pStyle w:val="TableBodyText"/>
                    <w:spacing w:after="0"/>
                    <w:ind w:left="0" w:right="57"/>
                  </w:pPr>
                  <w:r>
                    <w:t>–</w:t>
                  </w:r>
                </w:p>
              </w:tc>
              <w:tc>
                <w:tcPr>
                  <w:tcW w:w="44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D156E2" w:rsidRDefault="00AC2131" w:rsidP="00AC2131">
                  <w:pPr>
                    <w:ind w:left="227"/>
                    <w:rPr>
                      <w:rFonts w:ascii="Arial" w:hAnsi="Arial" w:cs="Arial"/>
                      <w:color w:val="000000"/>
                      <w:sz w:val="18"/>
                      <w:szCs w:val="18"/>
                    </w:rPr>
                  </w:pPr>
                  <w:r w:rsidRPr="00D156E2">
                    <w:rPr>
                      <w:rFonts w:ascii="Arial" w:hAnsi="Arial" w:cs="Arial"/>
                      <w:color w:val="000000"/>
                      <w:sz w:val="18"/>
                      <w:szCs w:val="18"/>
                    </w:rPr>
                    <w:t>South Australia Innovation and Investment Fund and Labour Assistance Package</w:t>
                  </w:r>
                </w:p>
              </w:tc>
              <w:tc>
                <w:tcPr>
                  <w:tcW w:w="468"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1.5</w:t>
                  </w:r>
                </w:p>
              </w:tc>
              <w:tc>
                <w:tcPr>
                  <w:tcW w:w="471" w:type="pct"/>
                  <w:gridSpan w:val="3"/>
                  <w:vAlign w:val="bottom"/>
                </w:tcPr>
                <w:p w:rsidR="00AC2131" w:rsidRDefault="00AC2131" w:rsidP="00AC2131">
                  <w:pPr>
                    <w:pStyle w:val="TableBodyText"/>
                    <w:spacing w:after="0"/>
                    <w:ind w:left="0" w:right="57"/>
                  </w:pPr>
                  <w:r>
                    <w:t>–</w:t>
                  </w:r>
                </w:p>
              </w:tc>
              <w:tc>
                <w:tcPr>
                  <w:tcW w:w="480" w:type="pct"/>
                  <w:gridSpan w:val="4"/>
                  <w:shd w:val="clear" w:color="auto" w:fill="auto"/>
                  <w:vAlign w:val="bottom"/>
                </w:tcPr>
                <w:p w:rsidR="00AC2131" w:rsidRDefault="00AC2131" w:rsidP="00AC2131">
                  <w:pPr>
                    <w:pStyle w:val="TableBodyText"/>
                    <w:spacing w:after="0"/>
                    <w:ind w:left="0" w:right="57"/>
                  </w:pPr>
                  <w:r>
                    <w:t>–</w:t>
                  </w:r>
                </w:p>
              </w:tc>
              <w:tc>
                <w:tcPr>
                  <w:tcW w:w="44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D156E2" w:rsidRDefault="00AC2131" w:rsidP="00AC2131">
                  <w:pPr>
                    <w:ind w:left="227"/>
                    <w:rPr>
                      <w:rFonts w:ascii="Arial" w:hAnsi="Arial" w:cs="Arial"/>
                      <w:color w:val="000000"/>
                      <w:sz w:val="18"/>
                      <w:szCs w:val="18"/>
                    </w:rPr>
                  </w:pPr>
                  <w:r w:rsidRPr="00D156E2">
                    <w:rPr>
                      <w:rFonts w:ascii="Arial" w:hAnsi="Arial" w:cs="Arial"/>
                      <w:color w:val="000000"/>
                      <w:sz w:val="18"/>
                      <w:szCs w:val="18"/>
                    </w:rPr>
                    <w:t>South East South Australia Innovation and Investment Fund</w:t>
                  </w:r>
                </w:p>
              </w:tc>
              <w:tc>
                <w:tcPr>
                  <w:tcW w:w="468"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w:t>
                  </w:r>
                </w:p>
              </w:tc>
              <w:tc>
                <w:tcPr>
                  <w:tcW w:w="471" w:type="pct"/>
                  <w:gridSpan w:val="3"/>
                  <w:vAlign w:val="bottom"/>
                </w:tcPr>
                <w:p w:rsidR="00AC2131" w:rsidRDefault="00AC2131" w:rsidP="00AC2131">
                  <w:pPr>
                    <w:pStyle w:val="TableBodyText"/>
                    <w:spacing w:after="0"/>
                    <w:ind w:left="0" w:right="57"/>
                  </w:pPr>
                  <w:r>
                    <w:t>–</w:t>
                  </w:r>
                </w:p>
              </w:tc>
              <w:tc>
                <w:tcPr>
                  <w:tcW w:w="480" w:type="pct"/>
                  <w:gridSpan w:val="4"/>
                  <w:shd w:val="clear" w:color="auto" w:fill="auto"/>
                  <w:vAlign w:val="bottom"/>
                </w:tcPr>
                <w:p w:rsidR="00AC2131" w:rsidRDefault="00AC2131" w:rsidP="00AC2131">
                  <w:pPr>
                    <w:pStyle w:val="TableBodyText"/>
                    <w:spacing w:after="0"/>
                    <w:ind w:left="0" w:right="57"/>
                  </w:pPr>
                  <w:r>
                    <w:t>0.1</w:t>
                  </w:r>
                </w:p>
              </w:tc>
              <w:tc>
                <w:tcPr>
                  <w:tcW w:w="444" w:type="pct"/>
                  <w:shd w:val="clear" w:color="auto" w:fill="auto"/>
                  <w:vAlign w:val="bottom"/>
                </w:tcPr>
                <w:p w:rsidR="00AC2131" w:rsidRDefault="00AC2131" w:rsidP="00AC2131">
                  <w:pPr>
                    <w:pStyle w:val="TableBodyText"/>
                    <w:spacing w:after="0"/>
                    <w:ind w:left="0" w:right="57"/>
                  </w:pPr>
                  <w:r>
                    <w:t>–</w:t>
                  </w:r>
                </w:p>
              </w:tc>
            </w:tr>
            <w:tr w:rsidR="00AC2131" w:rsidTr="00AC2131">
              <w:tc>
                <w:tcPr>
                  <w:tcW w:w="2199" w:type="pct"/>
                  <w:shd w:val="clear" w:color="auto" w:fill="auto"/>
                  <w:vAlign w:val="bottom"/>
                </w:tcPr>
                <w:p w:rsidR="00AC2131" w:rsidRPr="00D156E2" w:rsidRDefault="00AC2131" w:rsidP="00AC2131">
                  <w:pPr>
                    <w:ind w:left="227"/>
                    <w:rPr>
                      <w:rFonts w:ascii="Arial" w:hAnsi="Arial" w:cs="Arial"/>
                      <w:color w:val="000000"/>
                      <w:sz w:val="18"/>
                      <w:szCs w:val="18"/>
                    </w:rPr>
                  </w:pPr>
                  <w:r w:rsidRPr="00D156E2">
                    <w:rPr>
                      <w:rFonts w:ascii="Arial" w:hAnsi="Arial" w:cs="Arial"/>
                      <w:color w:val="000000"/>
                      <w:sz w:val="18"/>
                      <w:szCs w:val="18"/>
                    </w:rPr>
                    <w:t>Tasmanian Innovation and Investment Fund</w:t>
                  </w:r>
                </w:p>
              </w:tc>
              <w:tc>
                <w:tcPr>
                  <w:tcW w:w="468"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w:t>
                  </w:r>
                </w:p>
              </w:tc>
              <w:tc>
                <w:tcPr>
                  <w:tcW w:w="471" w:type="pct"/>
                  <w:gridSpan w:val="3"/>
                  <w:vAlign w:val="bottom"/>
                </w:tcPr>
                <w:p w:rsidR="00AC2131" w:rsidRDefault="00AC2131" w:rsidP="00AC2131">
                  <w:pPr>
                    <w:pStyle w:val="TableBodyText"/>
                    <w:spacing w:after="0"/>
                    <w:ind w:left="0" w:right="57"/>
                  </w:pPr>
                  <w:r>
                    <w:t>0.1</w:t>
                  </w:r>
                </w:p>
              </w:tc>
              <w:tc>
                <w:tcPr>
                  <w:tcW w:w="480" w:type="pct"/>
                  <w:gridSpan w:val="4"/>
                  <w:shd w:val="clear" w:color="auto" w:fill="auto"/>
                  <w:vAlign w:val="bottom"/>
                </w:tcPr>
                <w:p w:rsidR="00AC2131" w:rsidRDefault="00AC2131" w:rsidP="00AC2131">
                  <w:pPr>
                    <w:pStyle w:val="TableBodyText"/>
                    <w:spacing w:after="0"/>
                    <w:ind w:left="0" w:right="57"/>
                  </w:pPr>
                  <w:r>
                    <w:t>–</w:t>
                  </w:r>
                </w:p>
              </w:tc>
              <w:tc>
                <w:tcPr>
                  <w:tcW w:w="444" w:type="pct"/>
                  <w:shd w:val="clear" w:color="auto" w:fill="auto"/>
                  <w:vAlign w:val="bottom"/>
                </w:tcPr>
                <w:p w:rsidR="00AC2131" w:rsidRDefault="00AC2131" w:rsidP="00AC2131">
                  <w:pPr>
                    <w:pStyle w:val="TableBodyText"/>
                    <w:spacing w:after="0"/>
                    <w:ind w:left="0" w:right="57"/>
                  </w:pPr>
                  <w:r>
                    <w:t>&lt;0.1</w:t>
                  </w:r>
                </w:p>
              </w:tc>
            </w:tr>
            <w:tr w:rsidR="00AC2131" w:rsidTr="00AC2131">
              <w:tc>
                <w:tcPr>
                  <w:tcW w:w="2199" w:type="pct"/>
                  <w:shd w:val="clear" w:color="auto" w:fill="auto"/>
                  <w:vAlign w:val="bottom"/>
                </w:tcPr>
                <w:p w:rsidR="00AC2131" w:rsidRPr="00D156E2" w:rsidRDefault="00AC2131" w:rsidP="00AC2131">
                  <w:pPr>
                    <w:ind w:left="227"/>
                    <w:rPr>
                      <w:rFonts w:ascii="Arial" w:hAnsi="Arial" w:cs="Arial"/>
                      <w:color w:val="000000"/>
                      <w:sz w:val="18"/>
                      <w:szCs w:val="18"/>
                    </w:rPr>
                  </w:pPr>
                  <w:r w:rsidRPr="00D156E2">
                    <w:rPr>
                      <w:rFonts w:ascii="Arial" w:hAnsi="Arial" w:cs="Arial"/>
                      <w:color w:val="000000"/>
                      <w:sz w:val="18"/>
                      <w:szCs w:val="18"/>
                    </w:rPr>
                    <w:t>The Small Business and General Business Tax Break</w:t>
                  </w:r>
                </w:p>
              </w:tc>
              <w:tc>
                <w:tcPr>
                  <w:tcW w:w="468"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229.3</w:t>
                  </w:r>
                </w:p>
              </w:tc>
              <w:tc>
                <w:tcPr>
                  <w:tcW w:w="471" w:type="pct"/>
                  <w:gridSpan w:val="2"/>
                  <w:vAlign w:val="bottom"/>
                </w:tcPr>
                <w:p w:rsidR="00AC2131" w:rsidRDefault="00AC2131" w:rsidP="00AC2131">
                  <w:pPr>
                    <w:pStyle w:val="TableBodyText"/>
                    <w:spacing w:after="0"/>
                    <w:ind w:left="0" w:right="57"/>
                  </w:pPr>
                  <w:r>
                    <w:t>218.6</w:t>
                  </w:r>
                </w:p>
              </w:tc>
              <w:tc>
                <w:tcPr>
                  <w:tcW w:w="471" w:type="pct"/>
                  <w:gridSpan w:val="3"/>
                  <w:vAlign w:val="bottom"/>
                </w:tcPr>
                <w:p w:rsidR="00AC2131" w:rsidRDefault="00AC2131" w:rsidP="00AC2131">
                  <w:pPr>
                    <w:pStyle w:val="TableBodyText"/>
                    <w:spacing w:after="0"/>
                    <w:ind w:left="0" w:right="57"/>
                  </w:pPr>
                  <w:r>
                    <w:t>78.1</w:t>
                  </w:r>
                </w:p>
              </w:tc>
              <w:tc>
                <w:tcPr>
                  <w:tcW w:w="480" w:type="pct"/>
                  <w:gridSpan w:val="4"/>
                  <w:shd w:val="clear" w:color="auto" w:fill="auto"/>
                  <w:vAlign w:val="bottom"/>
                </w:tcPr>
                <w:p w:rsidR="00AC2131" w:rsidRDefault="00AC2131" w:rsidP="00AC2131">
                  <w:pPr>
                    <w:pStyle w:val="TableBodyText"/>
                    <w:spacing w:after="0"/>
                    <w:ind w:left="0" w:right="57"/>
                  </w:pPr>
                  <w:r>
                    <w:t>27.1</w:t>
                  </w:r>
                </w:p>
              </w:tc>
              <w:tc>
                <w:tcPr>
                  <w:tcW w:w="444" w:type="pct"/>
                  <w:shd w:val="clear" w:color="auto" w:fill="auto"/>
                  <w:vAlign w:val="bottom"/>
                </w:tcPr>
                <w:p w:rsidR="00AC2131" w:rsidRDefault="00AC2131" w:rsidP="00AC2131">
                  <w:pPr>
                    <w:pStyle w:val="TableBodyText"/>
                    <w:spacing w:after="0"/>
                    <w:ind w:left="0" w:right="57"/>
                  </w:pPr>
                  <w:r>
                    <w:t>3.3</w:t>
                  </w:r>
                </w:p>
              </w:tc>
            </w:tr>
            <w:tr w:rsidR="00AC2131" w:rsidTr="00AC2131">
              <w:tc>
                <w:tcPr>
                  <w:tcW w:w="2199" w:type="pct"/>
                  <w:shd w:val="clear" w:color="auto" w:fill="auto"/>
                </w:tcPr>
                <w:p w:rsidR="00AC2131" w:rsidRPr="00D156E2" w:rsidRDefault="00AC2131" w:rsidP="00AC2131">
                  <w:pPr>
                    <w:pStyle w:val="TableBodyText"/>
                    <w:spacing w:before="20" w:after="20"/>
                    <w:jc w:val="left"/>
                    <w:rPr>
                      <w:i/>
                    </w:rPr>
                  </w:pPr>
                  <w:r w:rsidRPr="00D156E2">
                    <w:rPr>
                      <w:i/>
                    </w:rPr>
                    <w:t xml:space="preserve">Total </w:t>
                  </w:r>
                </w:p>
              </w:tc>
              <w:tc>
                <w:tcPr>
                  <w:tcW w:w="468" w:type="pct"/>
                  <w:vAlign w:val="bottom"/>
                </w:tcPr>
                <w:p w:rsidR="00AC2131" w:rsidRPr="00EB56C5" w:rsidRDefault="00AC2131" w:rsidP="00AC2131">
                  <w:pPr>
                    <w:pStyle w:val="TableBodyText"/>
                    <w:spacing w:before="20" w:after="20"/>
                    <w:ind w:left="0" w:right="57"/>
                    <w:rPr>
                      <w:i/>
                    </w:rPr>
                  </w:pPr>
                  <w:r w:rsidRPr="00EB56C5">
                    <w:rPr>
                      <w:i/>
                    </w:rPr>
                    <w:t>684.8</w:t>
                  </w:r>
                </w:p>
              </w:tc>
              <w:tc>
                <w:tcPr>
                  <w:tcW w:w="466" w:type="pct"/>
                  <w:vAlign w:val="bottom"/>
                </w:tcPr>
                <w:p w:rsidR="00AC2131" w:rsidRPr="00EB56C5" w:rsidRDefault="00AC2131" w:rsidP="00AC2131">
                  <w:pPr>
                    <w:pStyle w:val="TableBodyText"/>
                    <w:spacing w:before="20" w:after="20"/>
                    <w:ind w:left="0" w:right="57"/>
                    <w:rPr>
                      <w:i/>
                    </w:rPr>
                  </w:pPr>
                  <w:r w:rsidRPr="00EB56C5">
                    <w:rPr>
                      <w:i/>
                    </w:rPr>
                    <w:t>908.2</w:t>
                  </w:r>
                </w:p>
              </w:tc>
              <w:tc>
                <w:tcPr>
                  <w:tcW w:w="471" w:type="pct"/>
                  <w:gridSpan w:val="2"/>
                  <w:vAlign w:val="bottom"/>
                </w:tcPr>
                <w:p w:rsidR="00AC2131" w:rsidRPr="00EB56C5" w:rsidRDefault="00AC2131" w:rsidP="00AC2131">
                  <w:pPr>
                    <w:pStyle w:val="TableBodyText"/>
                    <w:spacing w:before="20" w:after="20"/>
                    <w:ind w:left="0" w:right="57"/>
                    <w:rPr>
                      <w:i/>
                    </w:rPr>
                  </w:pPr>
                  <w:r w:rsidRPr="00EB56C5">
                    <w:rPr>
                      <w:i/>
                    </w:rPr>
                    <w:t>936.9</w:t>
                  </w:r>
                </w:p>
              </w:tc>
              <w:tc>
                <w:tcPr>
                  <w:tcW w:w="471" w:type="pct"/>
                  <w:gridSpan w:val="3"/>
                  <w:vAlign w:val="bottom"/>
                </w:tcPr>
                <w:p w:rsidR="00AC2131" w:rsidRPr="00EB56C5" w:rsidRDefault="00AC2131" w:rsidP="00AC2131">
                  <w:pPr>
                    <w:pStyle w:val="TableBodyText"/>
                    <w:spacing w:before="20" w:after="20"/>
                    <w:ind w:left="0" w:right="57"/>
                    <w:rPr>
                      <w:i/>
                    </w:rPr>
                  </w:pPr>
                  <w:r w:rsidRPr="00EB56C5">
                    <w:rPr>
                      <w:i/>
                    </w:rPr>
                    <w:t>858.6</w:t>
                  </w:r>
                </w:p>
              </w:tc>
              <w:tc>
                <w:tcPr>
                  <w:tcW w:w="480" w:type="pct"/>
                  <w:gridSpan w:val="4"/>
                  <w:shd w:val="clear" w:color="auto" w:fill="auto"/>
                  <w:vAlign w:val="bottom"/>
                </w:tcPr>
                <w:p w:rsidR="00AC2131" w:rsidRPr="00EB56C5" w:rsidRDefault="00AC2131" w:rsidP="00AC2131">
                  <w:pPr>
                    <w:pStyle w:val="TableBodyText"/>
                    <w:spacing w:before="20" w:after="20"/>
                    <w:ind w:left="0" w:right="57"/>
                    <w:rPr>
                      <w:i/>
                    </w:rPr>
                  </w:pPr>
                  <w:r w:rsidRPr="00EB56C5">
                    <w:rPr>
                      <w:i/>
                    </w:rPr>
                    <w:t>714.3</w:t>
                  </w:r>
                </w:p>
              </w:tc>
              <w:tc>
                <w:tcPr>
                  <w:tcW w:w="444" w:type="pct"/>
                  <w:shd w:val="clear" w:color="auto" w:fill="auto"/>
                  <w:vAlign w:val="bottom"/>
                </w:tcPr>
                <w:p w:rsidR="00AC2131" w:rsidRPr="00EB56C5" w:rsidRDefault="00AC2131" w:rsidP="00AC2131">
                  <w:pPr>
                    <w:pStyle w:val="TableBodyText"/>
                    <w:spacing w:before="20" w:after="20"/>
                    <w:ind w:left="0" w:right="57"/>
                    <w:rPr>
                      <w:i/>
                    </w:rPr>
                  </w:pPr>
                  <w:r w:rsidRPr="00EB56C5">
                    <w:rPr>
                      <w:i/>
                    </w:rPr>
                    <w:t>979.0</w:t>
                  </w:r>
                </w:p>
              </w:tc>
            </w:tr>
            <w:tr w:rsidR="00AC2131" w:rsidTr="00AC2131">
              <w:tc>
                <w:tcPr>
                  <w:tcW w:w="2199" w:type="pct"/>
                  <w:shd w:val="clear" w:color="auto" w:fill="auto"/>
                </w:tcPr>
                <w:p w:rsidR="00AC2131" w:rsidRPr="00D156E2" w:rsidRDefault="00AC2131" w:rsidP="00AC2131">
                  <w:pPr>
                    <w:pStyle w:val="TableBodyText"/>
                    <w:spacing w:before="40"/>
                    <w:jc w:val="left"/>
                    <w:rPr>
                      <w:b/>
                    </w:rPr>
                  </w:pPr>
                  <w:r w:rsidRPr="00D156E2">
                    <w:rPr>
                      <w:b/>
                    </w:rPr>
                    <w:t>Public administration and safety</w:t>
                  </w:r>
                </w:p>
              </w:tc>
              <w:tc>
                <w:tcPr>
                  <w:tcW w:w="468" w:type="pct"/>
                </w:tcPr>
                <w:p w:rsidR="00AC2131" w:rsidRDefault="00AC2131" w:rsidP="00AC2131">
                  <w:pPr>
                    <w:pStyle w:val="TableBodyText"/>
                    <w:spacing w:before="40"/>
                  </w:pPr>
                </w:p>
              </w:tc>
              <w:tc>
                <w:tcPr>
                  <w:tcW w:w="466" w:type="pct"/>
                </w:tcPr>
                <w:p w:rsidR="00AC2131" w:rsidRDefault="00AC2131" w:rsidP="00AC2131">
                  <w:pPr>
                    <w:pStyle w:val="TableBodyText"/>
                    <w:spacing w:before="40"/>
                  </w:pPr>
                </w:p>
              </w:tc>
              <w:tc>
                <w:tcPr>
                  <w:tcW w:w="471" w:type="pct"/>
                  <w:gridSpan w:val="2"/>
                </w:tcPr>
                <w:p w:rsidR="00AC2131" w:rsidRDefault="00AC2131" w:rsidP="00AC2131">
                  <w:pPr>
                    <w:pStyle w:val="TableBodyText"/>
                    <w:spacing w:before="40"/>
                  </w:pPr>
                </w:p>
              </w:tc>
              <w:tc>
                <w:tcPr>
                  <w:tcW w:w="471" w:type="pct"/>
                  <w:gridSpan w:val="3"/>
                </w:tcPr>
                <w:p w:rsidR="00AC2131" w:rsidRDefault="00AC2131" w:rsidP="00AC2131">
                  <w:pPr>
                    <w:pStyle w:val="TableBodyText"/>
                    <w:spacing w:before="40"/>
                  </w:pPr>
                </w:p>
              </w:tc>
              <w:tc>
                <w:tcPr>
                  <w:tcW w:w="480" w:type="pct"/>
                  <w:gridSpan w:val="4"/>
                  <w:shd w:val="clear" w:color="auto" w:fill="auto"/>
                </w:tcPr>
                <w:p w:rsidR="00AC2131" w:rsidRDefault="00AC2131" w:rsidP="00AC2131">
                  <w:pPr>
                    <w:pStyle w:val="TableBodyText"/>
                    <w:spacing w:before="40"/>
                  </w:pPr>
                </w:p>
              </w:tc>
              <w:tc>
                <w:tcPr>
                  <w:tcW w:w="444" w:type="pct"/>
                  <w:shd w:val="clear" w:color="auto" w:fill="auto"/>
                </w:tcPr>
                <w:p w:rsidR="00AC2131" w:rsidRDefault="00AC2131" w:rsidP="00AC2131">
                  <w:pPr>
                    <w:pStyle w:val="TableBodyText"/>
                    <w:spacing w:before="40"/>
                    <w:ind w:right="28"/>
                  </w:pPr>
                </w:p>
              </w:tc>
            </w:tr>
            <w:tr w:rsidR="00AC2131" w:rsidTr="00AC2131">
              <w:tc>
                <w:tcPr>
                  <w:tcW w:w="2199" w:type="pct"/>
                  <w:shd w:val="clear" w:color="auto" w:fill="auto"/>
                </w:tcPr>
                <w:p w:rsidR="00AC2131" w:rsidRPr="00D156E2" w:rsidRDefault="00AC2131" w:rsidP="00AC2131">
                  <w:pPr>
                    <w:pStyle w:val="TableBodyText"/>
                    <w:spacing w:before="40" w:after="0"/>
                    <w:ind w:left="113"/>
                    <w:jc w:val="left"/>
                    <w:rPr>
                      <w:i/>
                    </w:rPr>
                  </w:pPr>
                  <w:r w:rsidRPr="00D156E2">
                    <w:rPr>
                      <w:i/>
                    </w:rPr>
                    <w:t>General export measures</w:t>
                  </w:r>
                </w:p>
              </w:tc>
              <w:tc>
                <w:tcPr>
                  <w:tcW w:w="468"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pPr>
                </w:p>
              </w:tc>
              <w:tc>
                <w:tcPr>
                  <w:tcW w:w="471" w:type="pct"/>
                  <w:gridSpan w:val="2"/>
                </w:tcPr>
                <w:p w:rsidR="00AC2131" w:rsidRDefault="00AC2131" w:rsidP="00AC2131">
                  <w:pPr>
                    <w:pStyle w:val="TableBodyText"/>
                    <w:spacing w:before="40" w:after="0"/>
                    <w:ind w:left="113"/>
                  </w:pPr>
                </w:p>
              </w:tc>
              <w:tc>
                <w:tcPr>
                  <w:tcW w:w="471" w:type="pct"/>
                  <w:gridSpan w:val="3"/>
                </w:tcPr>
                <w:p w:rsidR="00AC2131" w:rsidRDefault="00AC2131" w:rsidP="00AC2131">
                  <w:pPr>
                    <w:pStyle w:val="TableBodyText"/>
                    <w:spacing w:before="40" w:after="0"/>
                    <w:ind w:left="113"/>
                  </w:pPr>
                </w:p>
              </w:tc>
              <w:tc>
                <w:tcPr>
                  <w:tcW w:w="480" w:type="pct"/>
                  <w:gridSpan w:val="4"/>
                  <w:shd w:val="clear" w:color="auto" w:fill="auto"/>
                </w:tcPr>
                <w:p w:rsidR="00AC2131" w:rsidRDefault="00AC2131" w:rsidP="00AC2131">
                  <w:pPr>
                    <w:pStyle w:val="TableBodyText"/>
                    <w:spacing w:before="40" w:after="0"/>
                    <w:ind w:left="113"/>
                  </w:pPr>
                </w:p>
              </w:tc>
              <w:tc>
                <w:tcPr>
                  <w:tcW w:w="444" w:type="pct"/>
                  <w:shd w:val="clear" w:color="auto" w:fill="auto"/>
                </w:tcPr>
                <w:p w:rsidR="00AC2131" w:rsidRDefault="00AC2131" w:rsidP="00AC2131">
                  <w:pPr>
                    <w:pStyle w:val="TableBodyText"/>
                    <w:spacing w:before="40" w:after="0"/>
                    <w:ind w:left="113" w:right="28"/>
                  </w:pPr>
                </w:p>
              </w:tc>
            </w:tr>
            <w:tr w:rsidR="00AC2131" w:rsidTr="00AC2131">
              <w:tc>
                <w:tcPr>
                  <w:tcW w:w="2199" w:type="pct"/>
                  <w:shd w:val="clear" w:color="auto" w:fill="auto"/>
                  <w:vAlign w:val="bottom"/>
                </w:tcPr>
                <w:p w:rsidR="00AC2131" w:rsidRPr="00D156E2" w:rsidRDefault="00AC2131" w:rsidP="00AC2131">
                  <w:pPr>
                    <w:ind w:left="227"/>
                    <w:rPr>
                      <w:rFonts w:ascii="Arial" w:hAnsi="Arial" w:cs="Arial"/>
                      <w:color w:val="000000"/>
                      <w:sz w:val="18"/>
                      <w:szCs w:val="18"/>
                    </w:rPr>
                  </w:pPr>
                  <w:r w:rsidRPr="00D156E2">
                    <w:rPr>
                      <w:rFonts w:ascii="Arial" w:hAnsi="Arial" w:cs="Arial"/>
                      <w:color w:val="000000"/>
                      <w:sz w:val="18"/>
                      <w:szCs w:val="18"/>
                    </w:rPr>
                    <w:t>Export Market Development Grants Scheme</w:t>
                  </w:r>
                </w:p>
              </w:tc>
              <w:tc>
                <w:tcPr>
                  <w:tcW w:w="468" w:type="pct"/>
                  <w:vAlign w:val="bottom"/>
                </w:tcPr>
                <w:p w:rsidR="00AC2131" w:rsidRDefault="00AC2131" w:rsidP="00AC2131">
                  <w:pPr>
                    <w:pStyle w:val="TableBodyText"/>
                    <w:spacing w:after="0"/>
                    <w:ind w:left="0" w:right="57"/>
                  </w:pPr>
                  <w:r>
                    <w:t>0.4</w:t>
                  </w:r>
                </w:p>
              </w:tc>
              <w:tc>
                <w:tcPr>
                  <w:tcW w:w="466" w:type="pct"/>
                  <w:vAlign w:val="bottom"/>
                </w:tcPr>
                <w:p w:rsidR="00AC2131" w:rsidRDefault="00AC2131" w:rsidP="00AC2131">
                  <w:pPr>
                    <w:pStyle w:val="TableBodyText"/>
                    <w:spacing w:after="0"/>
                    <w:ind w:left="0" w:right="57"/>
                  </w:pPr>
                  <w:r>
                    <w:t>0.3</w:t>
                  </w:r>
                </w:p>
              </w:tc>
              <w:tc>
                <w:tcPr>
                  <w:tcW w:w="471" w:type="pct"/>
                  <w:gridSpan w:val="2"/>
                  <w:vAlign w:val="bottom"/>
                </w:tcPr>
                <w:p w:rsidR="00AC2131" w:rsidRDefault="00AC2131" w:rsidP="00AC2131">
                  <w:pPr>
                    <w:pStyle w:val="TableBodyText"/>
                    <w:spacing w:after="0"/>
                    <w:ind w:left="0" w:right="57"/>
                  </w:pPr>
                  <w:r>
                    <w:t>0.2</w:t>
                  </w:r>
                </w:p>
              </w:tc>
              <w:tc>
                <w:tcPr>
                  <w:tcW w:w="471" w:type="pct"/>
                  <w:gridSpan w:val="3"/>
                  <w:vAlign w:val="bottom"/>
                </w:tcPr>
                <w:p w:rsidR="00AC2131" w:rsidRDefault="00AC2131" w:rsidP="00AC2131">
                  <w:pPr>
                    <w:pStyle w:val="TableBodyText"/>
                    <w:spacing w:after="0"/>
                    <w:ind w:left="0" w:right="57"/>
                  </w:pPr>
                  <w:r>
                    <w:t>0.1</w:t>
                  </w:r>
                </w:p>
              </w:tc>
              <w:tc>
                <w:tcPr>
                  <w:tcW w:w="480" w:type="pct"/>
                  <w:gridSpan w:val="4"/>
                  <w:shd w:val="clear" w:color="auto" w:fill="auto"/>
                  <w:vAlign w:val="bottom"/>
                </w:tcPr>
                <w:p w:rsidR="00AC2131" w:rsidRDefault="00AC2131" w:rsidP="00AC2131">
                  <w:pPr>
                    <w:pStyle w:val="TableBodyText"/>
                    <w:spacing w:after="0"/>
                    <w:ind w:left="0" w:right="57"/>
                  </w:pPr>
                  <w:r>
                    <w:t>0.2</w:t>
                  </w:r>
                </w:p>
              </w:tc>
              <w:tc>
                <w:tcPr>
                  <w:tcW w:w="444" w:type="pct"/>
                  <w:shd w:val="clear" w:color="auto" w:fill="auto"/>
                  <w:vAlign w:val="bottom"/>
                </w:tcPr>
                <w:p w:rsidR="00AC2131" w:rsidRDefault="00AC2131" w:rsidP="00AC2131">
                  <w:pPr>
                    <w:pStyle w:val="TableBodyText"/>
                    <w:spacing w:after="0"/>
                    <w:ind w:left="0" w:right="57"/>
                  </w:pPr>
                  <w:r>
                    <w:t>0.1</w:t>
                  </w:r>
                </w:p>
              </w:tc>
            </w:tr>
            <w:tr w:rsidR="00AC2131" w:rsidTr="00AC2131">
              <w:tc>
                <w:tcPr>
                  <w:tcW w:w="2199" w:type="pct"/>
                  <w:tcBorders>
                    <w:bottom w:val="single" w:sz="6" w:space="0" w:color="BFBFBF"/>
                  </w:tcBorders>
                  <w:shd w:val="clear" w:color="auto" w:fill="auto"/>
                  <w:vAlign w:val="bottom"/>
                </w:tcPr>
                <w:p w:rsidR="00AC2131" w:rsidRPr="00D156E2" w:rsidRDefault="00AC2131" w:rsidP="00AC2131">
                  <w:pPr>
                    <w:ind w:left="227"/>
                    <w:rPr>
                      <w:rFonts w:ascii="Arial" w:hAnsi="Arial" w:cs="Arial"/>
                      <w:color w:val="000000"/>
                      <w:sz w:val="18"/>
                      <w:szCs w:val="18"/>
                    </w:rPr>
                  </w:pPr>
                  <w:r w:rsidRPr="00D156E2">
                    <w:rPr>
                      <w:rFonts w:ascii="Arial" w:hAnsi="Arial" w:cs="Arial"/>
                      <w:color w:val="000000"/>
                      <w:sz w:val="18"/>
                      <w:szCs w:val="18"/>
                    </w:rPr>
                    <w:t>TRADEX</w:t>
                  </w:r>
                </w:p>
              </w:tc>
              <w:tc>
                <w:tcPr>
                  <w:tcW w:w="468" w:type="pct"/>
                  <w:tcBorders>
                    <w:bottom w:val="single" w:sz="6" w:space="0" w:color="BFBFBF"/>
                  </w:tcBorders>
                  <w:vAlign w:val="bottom"/>
                </w:tcPr>
                <w:p w:rsidR="00AC2131" w:rsidRDefault="00AC2131" w:rsidP="00AC2131">
                  <w:pPr>
                    <w:pStyle w:val="TableBodyText"/>
                    <w:spacing w:after="0"/>
                    <w:ind w:left="0" w:right="57"/>
                  </w:pPr>
                  <w:r>
                    <w:t>0.2</w:t>
                  </w:r>
                </w:p>
              </w:tc>
              <w:tc>
                <w:tcPr>
                  <w:tcW w:w="466" w:type="pct"/>
                  <w:tcBorders>
                    <w:bottom w:val="single" w:sz="6" w:space="0" w:color="BFBFBF"/>
                  </w:tcBorders>
                  <w:vAlign w:val="bottom"/>
                </w:tcPr>
                <w:p w:rsidR="00AC2131" w:rsidRDefault="00AC2131" w:rsidP="00AC2131">
                  <w:pPr>
                    <w:pStyle w:val="TableBodyText"/>
                    <w:spacing w:after="0"/>
                    <w:ind w:left="0" w:right="57"/>
                  </w:pPr>
                  <w:r>
                    <w:t>0.1</w:t>
                  </w:r>
                </w:p>
              </w:tc>
              <w:tc>
                <w:tcPr>
                  <w:tcW w:w="471" w:type="pct"/>
                  <w:gridSpan w:val="2"/>
                  <w:tcBorders>
                    <w:bottom w:val="single" w:sz="6" w:space="0" w:color="BFBFBF"/>
                  </w:tcBorders>
                  <w:vAlign w:val="bottom"/>
                </w:tcPr>
                <w:p w:rsidR="00AC2131" w:rsidRDefault="00AC2131" w:rsidP="00AC2131">
                  <w:pPr>
                    <w:pStyle w:val="TableBodyText"/>
                    <w:spacing w:after="0"/>
                    <w:ind w:left="0" w:right="57"/>
                  </w:pPr>
                  <w:r>
                    <w:t>0.1</w:t>
                  </w:r>
                </w:p>
              </w:tc>
              <w:tc>
                <w:tcPr>
                  <w:tcW w:w="471" w:type="pct"/>
                  <w:gridSpan w:val="3"/>
                  <w:tcBorders>
                    <w:bottom w:val="single" w:sz="6" w:space="0" w:color="BFBFBF"/>
                  </w:tcBorders>
                  <w:vAlign w:val="bottom"/>
                </w:tcPr>
                <w:p w:rsidR="00AC2131" w:rsidRDefault="00AC2131" w:rsidP="00AC2131">
                  <w:pPr>
                    <w:pStyle w:val="TableBodyText"/>
                    <w:spacing w:after="0"/>
                    <w:ind w:left="0" w:right="57"/>
                  </w:pPr>
                  <w:r>
                    <w:t>0.1</w:t>
                  </w:r>
                </w:p>
              </w:tc>
              <w:tc>
                <w:tcPr>
                  <w:tcW w:w="480" w:type="pct"/>
                  <w:gridSpan w:val="4"/>
                  <w:tcBorders>
                    <w:bottom w:val="single" w:sz="6" w:space="0" w:color="BFBFBF"/>
                  </w:tcBorders>
                  <w:shd w:val="clear" w:color="auto" w:fill="auto"/>
                  <w:vAlign w:val="bottom"/>
                </w:tcPr>
                <w:p w:rsidR="00AC2131" w:rsidRDefault="00AC2131" w:rsidP="00AC2131">
                  <w:pPr>
                    <w:pStyle w:val="TableBodyText"/>
                    <w:spacing w:after="0"/>
                    <w:ind w:left="0" w:right="57"/>
                  </w:pPr>
                  <w:r>
                    <w:t>0.1</w:t>
                  </w:r>
                </w:p>
              </w:tc>
              <w:tc>
                <w:tcPr>
                  <w:tcW w:w="444" w:type="pct"/>
                  <w:tcBorders>
                    <w:bottom w:val="single" w:sz="6" w:space="0" w:color="BFBFBF"/>
                  </w:tcBorders>
                  <w:shd w:val="clear" w:color="auto" w:fill="auto"/>
                  <w:vAlign w:val="bottom"/>
                </w:tcPr>
                <w:p w:rsidR="00AC2131" w:rsidRDefault="00AC2131" w:rsidP="00AC2131">
                  <w:pPr>
                    <w:pStyle w:val="TableBodyText"/>
                    <w:spacing w:after="0"/>
                    <w:ind w:left="0" w:right="57"/>
                  </w:pPr>
                  <w:r>
                    <w:t>0.1</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499"/>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2"/>
              <w:gridCol w:w="798"/>
              <w:gridCol w:w="794"/>
              <w:gridCol w:w="794"/>
              <w:gridCol w:w="7"/>
              <w:gridCol w:w="788"/>
              <w:gridCol w:w="14"/>
              <w:gridCol w:w="779"/>
              <w:gridCol w:w="37"/>
              <w:gridCol w:w="752"/>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9"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gridSpan w:val="2"/>
                  <w:tcBorders>
                    <w:top w:val="single" w:sz="6" w:space="0" w:color="BFBFBF"/>
                    <w:bottom w:val="single" w:sz="6" w:space="0" w:color="BFBFBF"/>
                  </w:tcBorders>
                </w:tcPr>
                <w:p w:rsidR="00AC2131" w:rsidRDefault="00AC2131" w:rsidP="00AC2131">
                  <w:pPr>
                    <w:pStyle w:val="TableColumnHeading"/>
                    <w:ind w:left="0" w:right="57"/>
                  </w:pPr>
                  <w:r>
                    <w:t>2011-12</w:t>
                  </w:r>
                </w:p>
              </w:tc>
              <w:tc>
                <w:tcPr>
                  <w:tcW w:w="466" w:type="pct"/>
                  <w:gridSpan w:val="2"/>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4" w:type="pct"/>
                  <w:gridSpan w:val="2"/>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shd w:val="clear" w:color="auto" w:fill="auto"/>
                </w:tcPr>
                <w:p w:rsidR="00AC2131" w:rsidRPr="00D156E2" w:rsidRDefault="00AC2131" w:rsidP="00AC2131">
                  <w:pPr>
                    <w:pStyle w:val="TableBodyText"/>
                    <w:spacing w:before="40" w:after="0"/>
                    <w:ind w:left="113"/>
                    <w:jc w:val="left"/>
                    <w:rPr>
                      <w:i/>
                    </w:rPr>
                  </w:pPr>
                  <w:r w:rsidRPr="00D156E2">
                    <w:rPr>
                      <w:i/>
                    </w:rPr>
                    <w:t>General R&amp;D measures</w:t>
                  </w:r>
                </w:p>
              </w:tc>
              <w:tc>
                <w:tcPr>
                  <w:tcW w:w="469"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71" w:type="pct"/>
                  <w:gridSpan w:val="2"/>
                </w:tcPr>
                <w:p w:rsidR="00AC2131" w:rsidRDefault="00AC2131" w:rsidP="00AC2131">
                  <w:pPr>
                    <w:pStyle w:val="TableBodyText"/>
                    <w:spacing w:before="40" w:after="0"/>
                    <w:ind w:left="113"/>
                  </w:pPr>
                </w:p>
              </w:tc>
              <w:tc>
                <w:tcPr>
                  <w:tcW w:w="471" w:type="pct"/>
                  <w:gridSpan w:val="2"/>
                </w:tcPr>
                <w:p w:rsidR="00AC2131" w:rsidRDefault="00AC2131" w:rsidP="00AC2131">
                  <w:pPr>
                    <w:pStyle w:val="TableBodyText"/>
                    <w:spacing w:before="40" w:after="0"/>
                    <w:ind w:left="113"/>
                  </w:pPr>
                </w:p>
              </w:tc>
              <w:tc>
                <w:tcPr>
                  <w:tcW w:w="480" w:type="pct"/>
                  <w:gridSpan w:val="2"/>
                  <w:shd w:val="clear" w:color="auto" w:fill="auto"/>
                </w:tcPr>
                <w:p w:rsidR="00AC2131" w:rsidRDefault="00AC2131" w:rsidP="00AC2131">
                  <w:pPr>
                    <w:pStyle w:val="TableBodyText"/>
                    <w:spacing w:before="40" w:after="0"/>
                    <w:ind w:left="113"/>
                  </w:pPr>
                </w:p>
              </w:tc>
              <w:tc>
                <w:tcPr>
                  <w:tcW w:w="442"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sidRPr="00A70E33">
                    <w:rPr>
                      <w:rFonts w:ascii="Arial" w:hAnsi="Arial" w:cs="Arial"/>
                      <w:color w:val="000000"/>
                      <w:sz w:val="18"/>
                      <w:szCs w:val="18"/>
                    </w:rPr>
                    <w:t>COMET Program</w:t>
                  </w:r>
                </w:p>
              </w:tc>
              <w:tc>
                <w:tcPr>
                  <w:tcW w:w="469"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0.2</w:t>
                  </w:r>
                </w:p>
              </w:tc>
              <w:tc>
                <w:tcPr>
                  <w:tcW w:w="471" w:type="pct"/>
                  <w:gridSpan w:val="2"/>
                  <w:vAlign w:val="bottom"/>
                </w:tcPr>
                <w:p w:rsidR="00AC2131" w:rsidRDefault="00AC2131" w:rsidP="00AC2131">
                  <w:pPr>
                    <w:pStyle w:val="TableBodyText"/>
                    <w:spacing w:after="0"/>
                    <w:ind w:left="0" w:right="57"/>
                  </w:pPr>
                  <w:r>
                    <w:t>0.1</w:t>
                  </w:r>
                </w:p>
              </w:tc>
              <w:tc>
                <w:tcPr>
                  <w:tcW w:w="471" w:type="pct"/>
                  <w:gridSpan w:val="2"/>
                  <w:vAlign w:val="bottom"/>
                </w:tcPr>
                <w:p w:rsidR="00AC2131" w:rsidRDefault="00AC2131" w:rsidP="00AC2131">
                  <w:pPr>
                    <w:pStyle w:val="TableBodyText"/>
                    <w:spacing w:after="0"/>
                    <w:ind w:left="0" w:right="57"/>
                  </w:pPr>
                  <w:r>
                    <w:t>–</w:t>
                  </w:r>
                </w:p>
              </w:tc>
              <w:tc>
                <w:tcPr>
                  <w:tcW w:w="480" w:type="pct"/>
                  <w:gridSpan w:val="2"/>
                  <w:shd w:val="clear" w:color="auto" w:fill="auto"/>
                  <w:vAlign w:val="bottom"/>
                </w:tcPr>
                <w:p w:rsidR="00AC2131" w:rsidRDefault="00AC2131" w:rsidP="00AC2131">
                  <w:pPr>
                    <w:pStyle w:val="TableBodyText"/>
                    <w:spacing w:after="0"/>
                    <w:ind w:left="0" w:right="57"/>
                  </w:pPr>
                  <w:r>
                    <w:t>–</w:t>
                  </w:r>
                </w:p>
              </w:tc>
              <w:tc>
                <w:tcPr>
                  <w:tcW w:w="442"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sidRPr="00A70E33">
                    <w:rPr>
                      <w:rFonts w:ascii="Arial" w:hAnsi="Arial" w:cs="Arial"/>
                      <w:color w:val="000000"/>
                      <w:sz w:val="18"/>
                      <w:szCs w:val="18"/>
                    </w:rPr>
                    <w:t>Commercialisation Australia</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0.2</w:t>
                  </w:r>
                </w:p>
              </w:tc>
              <w:tc>
                <w:tcPr>
                  <w:tcW w:w="471" w:type="pct"/>
                  <w:gridSpan w:val="2"/>
                  <w:vAlign w:val="bottom"/>
                </w:tcPr>
                <w:p w:rsidR="00AC2131" w:rsidRDefault="00AC2131" w:rsidP="00AC2131">
                  <w:pPr>
                    <w:pStyle w:val="TableBodyText"/>
                    <w:spacing w:after="0"/>
                    <w:ind w:left="0" w:right="57"/>
                  </w:pPr>
                  <w:r>
                    <w:t>0.1</w:t>
                  </w:r>
                </w:p>
              </w:tc>
              <w:tc>
                <w:tcPr>
                  <w:tcW w:w="480" w:type="pct"/>
                  <w:gridSpan w:val="2"/>
                  <w:shd w:val="clear" w:color="auto" w:fill="auto"/>
                  <w:vAlign w:val="bottom"/>
                </w:tcPr>
                <w:p w:rsidR="00AC2131" w:rsidRDefault="00AC2131" w:rsidP="00AC2131">
                  <w:pPr>
                    <w:pStyle w:val="TableBodyText"/>
                    <w:spacing w:after="0"/>
                    <w:ind w:left="0" w:right="57"/>
                  </w:pPr>
                  <w:r>
                    <w:t>0.3</w:t>
                  </w:r>
                </w:p>
              </w:tc>
              <w:tc>
                <w:tcPr>
                  <w:tcW w:w="442"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sidRPr="00A70E33">
                    <w:rPr>
                      <w:rFonts w:ascii="Arial" w:hAnsi="Arial" w:cs="Arial"/>
                      <w:color w:val="000000"/>
                      <w:sz w:val="18"/>
                      <w:szCs w:val="18"/>
                    </w:rPr>
                    <w:t>CSIRO</w:t>
                  </w:r>
                </w:p>
              </w:tc>
              <w:tc>
                <w:tcPr>
                  <w:tcW w:w="469" w:type="pct"/>
                  <w:vAlign w:val="bottom"/>
                </w:tcPr>
                <w:p w:rsidR="00AC2131" w:rsidRDefault="00AC2131" w:rsidP="00AC2131">
                  <w:pPr>
                    <w:pStyle w:val="TableBodyText"/>
                    <w:spacing w:after="0"/>
                    <w:ind w:left="0" w:right="57"/>
                  </w:pPr>
                  <w:r>
                    <w:t>10.5</w:t>
                  </w:r>
                </w:p>
              </w:tc>
              <w:tc>
                <w:tcPr>
                  <w:tcW w:w="467" w:type="pct"/>
                  <w:vAlign w:val="bottom"/>
                </w:tcPr>
                <w:p w:rsidR="00AC2131" w:rsidRDefault="00AC2131" w:rsidP="00AC2131">
                  <w:pPr>
                    <w:pStyle w:val="TableBodyText"/>
                    <w:spacing w:after="0"/>
                    <w:ind w:left="0" w:right="57"/>
                  </w:pPr>
                  <w:r>
                    <w:t>11.3</w:t>
                  </w:r>
                </w:p>
              </w:tc>
              <w:tc>
                <w:tcPr>
                  <w:tcW w:w="471" w:type="pct"/>
                  <w:gridSpan w:val="2"/>
                  <w:vAlign w:val="bottom"/>
                </w:tcPr>
                <w:p w:rsidR="00AC2131" w:rsidRDefault="00AC2131" w:rsidP="00AC2131">
                  <w:pPr>
                    <w:pStyle w:val="TableBodyText"/>
                    <w:spacing w:after="0"/>
                    <w:ind w:left="0" w:right="57"/>
                  </w:pPr>
                  <w:r>
                    <w:t>11.6</w:t>
                  </w:r>
                </w:p>
              </w:tc>
              <w:tc>
                <w:tcPr>
                  <w:tcW w:w="471" w:type="pct"/>
                  <w:gridSpan w:val="2"/>
                  <w:vAlign w:val="bottom"/>
                </w:tcPr>
                <w:p w:rsidR="00AC2131" w:rsidRDefault="00AC2131" w:rsidP="00AC2131">
                  <w:pPr>
                    <w:pStyle w:val="TableBodyText"/>
                    <w:spacing w:after="0"/>
                    <w:ind w:left="0" w:right="57"/>
                  </w:pPr>
                  <w:r>
                    <w:t>7.7</w:t>
                  </w:r>
                </w:p>
              </w:tc>
              <w:tc>
                <w:tcPr>
                  <w:tcW w:w="480" w:type="pct"/>
                  <w:gridSpan w:val="2"/>
                  <w:shd w:val="clear" w:color="auto" w:fill="auto"/>
                  <w:vAlign w:val="bottom"/>
                </w:tcPr>
                <w:p w:rsidR="00AC2131" w:rsidRDefault="00AC2131" w:rsidP="00AC2131">
                  <w:pPr>
                    <w:pStyle w:val="TableBodyText"/>
                    <w:spacing w:after="0"/>
                    <w:ind w:left="0" w:right="57"/>
                  </w:pPr>
                  <w:r>
                    <w:t>5.1</w:t>
                  </w:r>
                </w:p>
              </w:tc>
              <w:tc>
                <w:tcPr>
                  <w:tcW w:w="442" w:type="pct"/>
                  <w:shd w:val="clear" w:color="auto" w:fill="auto"/>
                  <w:vAlign w:val="bottom"/>
                </w:tcPr>
                <w:p w:rsidR="00AC2131" w:rsidRDefault="00AC2131" w:rsidP="00AC2131">
                  <w:pPr>
                    <w:pStyle w:val="TableBodyText"/>
                    <w:spacing w:after="0"/>
                    <w:ind w:left="0" w:right="57"/>
                  </w:pPr>
                  <w:r>
                    <w:t>3.7</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sidRPr="00A70E33">
                    <w:rPr>
                      <w:rFonts w:ascii="Arial" w:hAnsi="Arial" w:cs="Arial"/>
                      <w:color w:val="000000"/>
                      <w:sz w:val="18"/>
                      <w:szCs w:val="18"/>
                    </w:rPr>
                    <w:t>Premium R&amp;D tax concession</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0.6</w:t>
                  </w:r>
                </w:p>
              </w:tc>
              <w:tc>
                <w:tcPr>
                  <w:tcW w:w="471" w:type="pct"/>
                  <w:gridSpan w:val="2"/>
                  <w:vAlign w:val="bottom"/>
                </w:tcPr>
                <w:p w:rsidR="00AC2131" w:rsidRDefault="00AC2131" w:rsidP="00AC2131">
                  <w:pPr>
                    <w:pStyle w:val="TableBodyText"/>
                    <w:spacing w:after="0"/>
                    <w:ind w:left="0" w:right="57"/>
                  </w:pPr>
                  <w:r>
                    <w:t>0.5</w:t>
                  </w:r>
                </w:p>
              </w:tc>
              <w:tc>
                <w:tcPr>
                  <w:tcW w:w="471" w:type="pct"/>
                  <w:gridSpan w:val="2"/>
                  <w:vAlign w:val="bottom"/>
                </w:tcPr>
                <w:p w:rsidR="00AC2131" w:rsidRDefault="00AC2131" w:rsidP="00AC2131">
                  <w:pPr>
                    <w:pStyle w:val="TableBodyText"/>
                    <w:spacing w:after="0"/>
                    <w:ind w:left="0" w:right="57"/>
                  </w:pPr>
                  <w:r>
                    <w:t>1.1</w:t>
                  </w:r>
                </w:p>
              </w:tc>
              <w:tc>
                <w:tcPr>
                  <w:tcW w:w="480" w:type="pct"/>
                  <w:gridSpan w:val="2"/>
                  <w:shd w:val="clear" w:color="auto" w:fill="auto"/>
                  <w:vAlign w:val="bottom"/>
                </w:tcPr>
                <w:p w:rsidR="00AC2131" w:rsidRDefault="00AC2131" w:rsidP="00AC2131">
                  <w:pPr>
                    <w:pStyle w:val="TableBodyText"/>
                    <w:spacing w:after="0"/>
                    <w:ind w:left="0" w:right="57"/>
                  </w:pPr>
                  <w:r>
                    <w:t>0.3</w:t>
                  </w:r>
                </w:p>
              </w:tc>
              <w:tc>
                <w:tcPr>
                  <w:tcW w:w="442"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sidRPr="00A70E33">
                    <w:rPr>
                      <w:rFonts w:ascii="Arial" w:hAnsi="Arial" w:cs="Arial"/>
                      <w:color w:val="000000"/>
                      <w:sz w:val="18"/>
                      <w:szCs w:val="18"/>
                    </w:rPr>
                    <w:t>R&amp;D tax concession</w:t>
                  </w:r>
                </w:p>
              </w:tc>
              <w:tc>
                <w:tcPr>
                  <w:tcW w:w="469"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3.0</w:t>
                  </w:r>
                </w:p>
              </w:tc>
              <w:tc>
                <w:tcPr>
                  <w:tcW w:w="471" w:type="pct"/>
                  <w:gridSpan w:val="2"/>
                  <w:vAlign w:val="bottom"/>
                </w:tcPr>
                <w:p w:rsidR="00AC2131" w:rsidRDefault="00AC2131" w:rsidP="00AC2131">
                  <w:pPr>
                    <w:pStyle w:val="TableBodyText"/>
                    <w:spacing w:after="0"/>
                    <w:ind w:left="0" w:right="57"/>
                  </w:pPr>
                  <w:r>
                    <w:t>3.0</w:t>
                  </w:r>
                </w:p>
              </w:tc>
              <w:tc>
                <w:tcPr>
                  <w:tcW w:w="471" w:type="pct"/>
                  <w:gridSpan w:val="2"/>
                  <w:vAlign w:val="bottom"/>
                </w:tcPr>
                <w:p w:rsidR="00AC2131" w:rsidRDefault="00AC2131" w:rsidP="00AC2131">
                  <w:pPr>
                    <w:pStyle w:val="TableBodyText"/>
                    <w:spacing w:after="0"/>
                    <w:ind w:left="0" w:right="57"/>
                  </w:pPr>
                  <w:r>
                    <w:t>1.5</w:t>
                  </w:r>
                </w:p>
              </w:tc>
              <w:tc>
                <w:tcPr>
                  <w:tcW w:w="480" w:type="pct"/>
                  <w:gridSpan w:val="2"/>
                  <w:shd w:val="clear" w:color="auto" w:fill="auto"/>
                  <w:vAlign w:val="bottom"/>
                </w:tcPr>
                <w:p w:rsidR="00AC2131" w:rsidRDefault="00AC2131" w:rsidP="00AC2131">
                  <w:pPr>
                    <w:pStyle w:val="TableBodyText"/>
                    <w:spacing w:after="0"/>
                    <w:ind w:left="0" w:right="57"/>
                  </w:pPr>
                  <w:r>
                    <w:t>0.7</w:t>
                  </w:r>
                </w:p>
              </w:tc>
              <w:tc>
                <w:tcPr>
                  <w:tcW w:w="442"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w:t>
                  </w:r>
                </w:p>
              </w:tc>
              <w:tc>
                <w:tcPr>
                  <w:tcW w:w="480" w:type="pct"/>
                  <w:gridSpan w:val="2"/>
                  <w:shd w:val="clear" w:color="auto" w:fill="auto"/>
                  <w:vAlign w:val="bottom"/>
                </w:tcPr>
                <w:p w:rsidR="00AC2131" w:rsidRDefault="00AC2131" w:rsidP="00AC2131">
                  <w:pPr>
                    <w:pStyle w:val="TableBodyText"/>
                    <w:spacing w:after="0"/>
                    <w:ind w:left="0" w:right="57"/>
                  </w:pPr>
                  <w:r>
                    <w:t>–</w:t>
                  </w:r>
                </w:p>
              </w:tc>
              <w:tc>
                <w:tcPr>
                  <w:tcW w:w="442" w:type="pct"/>
                  <w:shd w:val="clear" w:color="auto" w:fill="auto"/>
                  <w:vAlign w:val="bottom"/>
                </w:tcPr>
                <w:p w:rsidR="00AC2131" w:rsidRDefault="00AC2131" w:rsidP="00AC2131">
                  <w:pPr>
                    <w:pStyle w:val="TableBodyText"/>
                    <w:spacing w:after="0"/>
                    <w:ind w:left="0" w:right="57"/>
                  </w:pPr>
                  <w:r>
                    <w:t>-0.8</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w:t>
                  </w:r>
                </w:p>
              </w:tc>
              <w:tc>
                <w:tcPr>
                  <w:tcW w:w="480" w:type="pct"/>
                  <w:gridSpan w:val="2"/>
                  <w:shd w:val="clear" w:color="auto" w:fill="auto"/>
                  <w:vAlign w:val="bottom"/>
                </w:tcPr>
                <w:p w:rsidR="00AC2131" w:rsidRDefault="00AC2131" w:rsidP="00AC2131">
                  <w:pPr>
                    <w:pStyle w:val="TableBodyText"/>
                    <w:spacing w:after="0"/>
                    <w:ind w:left="0" w:right="57"/>
                  </w:pPr>
                  <w:r>
                    <w:t>3.0</w:t>
                  </w:r>
                </w:p>
              </w:tc>
              <w:tc>
                <w:tcPr>
                  <w:tcW w:w="442" w:type="pct"/>
                  <w:shd w:val="clear" w:color="auto" w:fill="auto"/>
                  <w:vAlign w:val="bottom"/>
                </w:tcPr>
                <w:p w:rsidR="00AC2131" w:rsidRDefault="00AC2131" w:rsidP="00AC2131">
                  <w:pPr>
                    <w:pStyle w:val="TableBodyText"/>
                    <w:spacing w:after="0"/>
                    <w:ind w:left="0" w:right="57"/>
                  </w:pPr>
                  <w:r>
                    <w:t>0.6</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w:t>
                  </w:r>
                </w:p>
              </w:tc>
              <w:tc>
                <w:tcPr>
                  <w:tcW w:w="480" w:type="pct"/>
                  <w:gridSpan w:val="2"/>
                  <w:shd w:val="clear" w:color="auto" w:fill="auto"/>
                  <w:vAlign w:val="bottom"/>
                </w:tcPr>
                <w:p w:rsidR="00AC2131" w:rsidRDefault="00AC2131" w:rsidP="00AC2131">
                  <w:pPr>
                    <w:pStyle w:val="TableBodyText"/>
                    <w:spacing w:after="0"/>
                    <w:ind w:left="0" w:right="57"/>
                  </w:pPr>
                  <w:r>
                    <w:t>1.5</w:t>
                  </w:r>
                </w:p>
              </w:tc>
              <w:tc>
                <w:tcPr>
                  <w:tcW w:w="442" w:type="pct"/>
                  <w:shd w:val="clear" w:color="auto" w:fill="auto"/>
                  <w:vAlign w:val="bottom"/>
                </w:tcPr>
                <w:p w:rsidR="00AC2131" w:rsidRDefault="00AC2131" w:rsidP="00AC2131">
                  <w:pPr>
                    <w:pStyle w:val="TableBodyText"/>
                    <w:spacing w:after="0"/>
                    <w:ind w:left="0" w:right="57"/>
                  </w:pPr>
                  <w:r>
                    <w:t>2.6</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9"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6.4</w:t>
                  </w:r>
                </w:p>
              </w:tc>
              <w:tc>
                <w:tcPr>
                  <w:tcW w:w="471" w:type="pct"/>
                  <w:gridSpan w:val="2"/>
                  <w:vAlign w:val="bottom"/>
                </w:tcPr>
                <w:p w:rsidR="00AC2131" w:rsidRDefault="00AC2131" w:rsidP="00AC2131">
                  <w:pPr>
                    <w:pStyle w:val="TableBodyText"/>
                    <w:spacing w:after="0"/>
                    <w:ind w:left="0" w:right="57"/>
                  </w:pPr>
                  <w:r>
                    <w:t>1.7</w:t>
                  </w:r>
                </w:p>
              </w:tc>
              <w:tc>
                <w:tcPr>
                  <w:tcW w:w="471" w:type="pct"/>
                  <w:gridSpan w:val="2"/>
                  <w:vAlign w:val="bottom"/>
                </w:tcPr>
                <w:p w:rsidR="00AC2131" w:rsidRDefault="00AC2131" w:rsidP="00AC2131">
                  <w:pPr>
                    <w:pStyle w:val="TableBodyText"/>
                    <w:spacing w:after="0"/>
                    <w:ind w:left="0" w:right="57"/>
                  </w:pPr>
                  <w:r>
                    <w:t>1.9</w:t>
                  </w:r>
                </w:p>
              </w:tc>
              <w:tc>
                <w:tcPr>
                  <w:tcW w:w="480" w:type="pct"/>
                  <w:gridSpan w:val="2"/>
                  <w:shd w:val="clear" w:color="auto" w:fill="auto"/>
                  <w:vAlign w:val="bottom"/>
                </w:tcPr>
                <w:p w:rsidR="00AC2131" w:rsidRDefault="00AC2131" w:rsidP="00AC2131">
                  <w:pPr>
                    <w:pStyle w:val="TableBodyText"/>
                    <w:spacing w:after="0"/>
                    <w:ind w:left="0" w:right="57"/>
                  </w:pPr>
                  <w:r>
                    <w:t>–</w:t>
                  </w:r>
                </w:p>
              </w:tc>
              <w:tc>
                <w:tcPr>
                  <w:tcW w:w="442"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A70E33" w:rsidRDefault="00AC2131" w:rsidP="00AC2131">
                  <w:pPr>
                    <w:pStyle w:val="TableBodyText"/>
                    <w:spacing w:before="40" w:after="0"/>
                    <w:ind w:left="113"/>
                    <w:jc w:val="left"/>
                    <w:rPr>
                      <w:i/>
                    </w:rPr>
                  </w:pPr>
                  <w:r w:rsidRPr="00A70E33">
                    <w:rPr>
                      <w:i/>
                    </w:rPr>
                    <w:t>Other measures</w:t>
                  </w:r>
                </w:p>
              </w:tc>
              <w:tc>
                <w:tcPr>
                  <w:tcW w:w="469"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71" w:type="pct"/>
                  <w:gridSpan w:val="2"/>
                </w:tcPr>
                <w:p w:rsidR="00AC2131" w:rsidRDefault="00AC2131" w:rsidP="00AC2131">
                  <w:pPr>
                    <w:pStyle w:val="TableBodyText"/>
                    <w:spacing w:before="40" w:after="0"/>
                    <w:ind w:left="113"/>
                  </w:pPr>
                </w:p>
              </w:tc>
              <w:tc>
                <w:tcPr>
                  <w:tcW w:w="471" w:type="pct"/>
                  <w:gridSpan w:val="2"/>
                </w:tcPr>
                <w:p w:rsidR="00AC2131" w:rsidRDefault="00AC2131" w:rsidP="00AC2131">
                  <w:pPr>
                    <w:pStyle w:val="TableBodyText"/>
                    <w:spacing w:before="40" w:after="0"/>
                    <w:ind w:left="113"/>
                  </w:pPr>
                </w:p>
              </w:tc>
              <w:tc>
                <w:tcPr>
                  <w:tcW w:w="480" w:type="pct"/>
                  <w:gridSpan w:val="2"/>
                  <w:shd w:val="clear" w:color="auto" w:fill="auto"/>
                </w:tcPr>
                <w:p w:rsidR="00AC2131" w:rsidRDefault="00AC2131" w:rsidP="00AC2131">
                  <w:pPr>
                    <w:pStyle w:val="TableBodyText"/>
                    <w:spacing w:before="40" w:after="0"/>
                    <w:ind w:left="113"/>
                  </w:pPr>
                </w:p>
              </w:tc>
              <w:tc>
                <w:tcPr>
                  <w:tcW w:w="442"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sidRPr="00A70E33">
                    <w:rPr>
                      <w:rFonts w:ascii="Arial" w:hAnsi="Arial" w:cs="Arial"/>
                      <w:color w:val="000000"/>
                      <w:sz w:val="18"/>
                      <w:szCs w:val="18"/>
                    </w:rPr>
                    <w:t>25 per cent entrepreneurs' tax offset</w:t>
                  </w:r>
                </w:p>
              </w:tc>
              <w:tc>
                <w:tcPr>
                  <w:tcW w:w="469"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0.8</w:t>
                  </w:r>
                </w:p>
              </w:tc>
              <w:tc>
                <w:tcPr>
                  <w:tcW w:w="471" w:type="pct"/>
                  <w:gridSpan w:val="2"/>
                  <w:vAlign w:val="bottom"/>
                </w:tcPr>
                <w:p w:rsidR="00AC2131" w:rsidRDefault="00AC2131" w:rsidP="00AC2131">
                  <w:pPr>
                    <w:pStyle w:val="TableBodyText"/>
                    <w:spacing w:after="0"/>
                    <w:ind w:left="0" w:right="57"/>
                  </w:pPr>
                  <w:r>
                    <w:t>0.8</w:t>
                  </w:r>
                </w:p>
              </w:tc>
              <w:tc>
                <w:tcPr>
                  <w:tcW w:w="471" w:type="pct"/>
                  <w:gridSpan w:val="2"/>
                  <w:vAlign w:val="bottom"/>
                </w:tcPr>
                <w:p w:rsidR="00AC2131" w:rsidRDefault="00AC2131" w:rsidP="00AC2131">
                  <w:pPr>
                    <w:pStyle w:val="TableBodyText"/>
                    <w:spacing w:after="0"/>
                    <w:ind w:left="0" w:right="57"/>
                  </w:pPr>
                  <w:r>
                    <w:t>0.8</w:t>
                  </w:r>
                </w:p>
              </w:tc>
              <w:tc>
                <w:tcPr>
                  <w:tcW w:w="480" w:type="pct"/>
                  <w:gridSpan w:val="2"/>
                  <w:shd w:val="clear" w:color="auto" w:fill="auto"/>
                  <w:vAlign w:val="bottom"/>
                </w:tcPr>
                <w:p w:rsidR="00AC2131" w:rsidRDefault="00AC2131" w:rsidP="00AC2131">
                  <w:pPr>
                    <w:pStyle w:val="TableBodyText"/>
                    <w:spacing w:after="0"/>
                    <w:ind w:left="0" w:right="57"/>
                  </w:pPr>
                  <w:r>
                    <w:t>1.1</w:t>
                  </w:r>
                </w:p>
              </w:tc>
              <w:tc>
                <w:tcPr>
                  <w:tcW w:w="442"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sidRPr="00A70E33">
                    <w:rPr>
                      <w:rFonts w:ascii="Arial" w:hAnsi="Arial" w:cs="Arial"/>
                      <w:color w:val="000000"/>
                      <w:sz w:val="18"/>
                      <w:szCs w:val="18"/>
                    </w:rPr>
                    <w:t>Enterprise Connect Innovation Centres</w:t>
                  </w:r>
                </w:p>
              </w:tc>
              <w:tc>
                <w:tcPr>
                  <w:tcW w:w="469"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0.7</w:t>
                  </w:r>
                </w:p>
              </w:tc>
              <w:tc>
                <w:tcPr>
                  <w:tcW w:w="471" w:type="pct"/>
                  <w:gridSpan w:val="2"/>
                  <w:vAlign w:val="bottom"/>
                </w:tcPr>
                <w:p w:rsidR="00AC2131" w:rsidRDefault="00AC2131" w:rsidP="00AC2131">
                  <w:pPr>
                    <w:pStyle w:val="TableBodyText"/>
                    <w:spacing w:after="0"/>
                    <w:ind w:left="0" w:right="57"/>
                  </w:pPr>
                  <w:r>
                    <w:t>0.2</w:t>
                  </w:r>
                </w:p>
              </w:tc>
              <w:tc>
                <w:tcPr>
                  <w:tcW w:w="471" w:type="pct"/>
                  <w:gridSpan w:val="2"/>
                  <w:vAlign w:val="bottom"/>
                </w:tcPr>
                <w:p w:rsidR="00AC2131" w:rsidRDefault="00AC2131" w:rsidP="00AC2131">
                  <w:pPr>
                    <w:pStyle w:val="TableBodyText"/>
                    <w:spacing w:after="0"/>
                    <w:ind w:left="0" w:right="57"/>
                  </w:pPr>
                  <w:r>
                    <w:t>0.8</w:t>
                  </w:r>
                </w:p>
              </w:tc>
              <w:tc>
                <w:tcPr>
                  <w:tcW w:w="480" w:type="pct"/>
                  <w:gridSpan w:val="2"/>
                  <w:shd w:val="clear" w:color="auto" w:fill="auto"/>
                  <w:vAlign w:val="bottom"/>
                </w:tcPr>
                <w:p w:rsidR="00AC2131" w:rsidRDefault="00AC2131" w:rsidP="00AC2131">
                  <w:pPr>
                    <w:pStyle w:val="TableBodyText"/>
                    <w:spacing w:after="0"/>
                    <w:ind w:left="0" w:right="57"/>
                  </w:pPr>
                  <w:r>
                    <w:t>&lt;0.1</w:t>
                  </w:r>
                </w:p>
              </w:tc>
              <w:tc>
                <w:tcPr>
                  <w:tcW w:w="442"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9"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0.3</w:t>
                  </w:r>
                </w:p>
              </w:tc>
              <w:tc>
                <w:tcPr>
                  <w:tcW w:w="471" w:type="pct"/>
                  <w:gridSpan w:val="2"/>
                  <w:vAlign w:val="bottom"/>
                </w:tcPr>
                <w:p w:rsidR="00AC2131" w:rsidRDefault="00AC2131" w:rsidP="00AC2131">
                  <w:pPr>
                    <w:pStyle w:val="TableBodyText"/>
                    <w:spacing w:after="0"/>
                    <w:ind w:left="0" w:right="57"/>
                  </w:pPr>
                  <w:r>
                    <w:t>0.5</w:t>
                  </w:r>
                </w:p>
              </w:tc>
              <w:tc>
                <w:tcPr>
                  <w:tcW w:w="471" w:type="pct"/>
                  <w:gridSpan w:val="2"/>
                  <w:vAlign w:val="bottom"/>
                </w:tcPr>
                <w:p w:rsidR="00AC2131" w:rsidRDefault="00AC2131" w:rsidP="00AC2131">
                  <w:pPr>
                    <w:pStyle w:val="TableBodyText"/>
                    <w:spacing w:after="0"/>
                    <w:ind w:left="0" w:right="57"/>
                  </w:pPr>
                  <w:r>
                    <w:t>&lt;0.1</w:t>
                  </w:r>
                </w:p>
              </w:tc>
              <w:tc>
                <w:tcPr>
                  <w:tcW w:w="480" w:type="pct"/>
                  <w:gridSpan w:val="2"/>
                  <w:shd w:val="clear" w:color="auto" w:fill="auto"/>
                  <w:vAlign w:val="bottom"/>
                </w:tcPr>
                <w:p w:rsidR="00AC2131" w:rsidRDefault="00AC2131" w:rsidP="00AC2131">
                  <w:pPr>
                    <w:pStyle w:val="TableBodyText"/>
                    <w:spacing w:after="0"/>
                    <w:ind w:left="0" w:right="57"/>
                  </w:pPr>
                  <w:r>
                    <w:t>-0.1</w:t>
                  </w:r>
                </w:p>
              </w:tc>
              <w:tc>
                <w:tcPr>
                  <w:tcW w:w="442" w:type="pct"/>
                  <w:shd w:val="clear" w:color="auto" w:fill="auto"/>
                  <w:vAlign w:val="bottom"/>
                </w:tcPr>
                <w:p w:rsidR="00AC2131" w:rsidRDefault="00AC2131" w:rsidP="00AC2131">
                  <w:pPr>
                    <w:pStyle w:val="TableBodyText"/>
                    <w:spacing w:after="0"/>
                    <w:ind w:left="0" w:right="57"/>
                  </w:pPr>
                  <w:r>
                    <w:t>5.1</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sidRPr="00A70E33">
                    <w:rPr>
                      <w:rFonts w:ascii="Arial" w:hAnsi="Arial" w:cs="Arial"/>
                      <w:color w:val="000000"/>
                      <w:sz w:val="18"/>
                      <w:szCs w:val="18"/>
                    </w:rPr>
                    <w:t xml:space="preserve">Small business </w:t>
                  </w:r>
                  <w:r>
                    <w:rPr>
                      <w:rFonts w:ascii="Arial" w:hAnsi="Arial" w:cs="Arial"/>
                      <w:color w:val="000000"/>
                      <w:sz w:val="18"/>
                      <w:szCs w:val="18"/>
                    </w:rPr>
                    <w:t>capital gains tax</w:t>
                  </w:r>
                  <w:r w:rsidRPr="00A70E33">
                    <w:rPr>
                      <w:rFonts w:ascii="Arial" w:hAnsi="Arial" w:cs="Arial"/>
                      <w:color w:val="000000"/>
                      <w:sz w:val="18"/>
                      <w:szCs w:val="18"/>
                    </w:rPr>
                    <w:t xml:space="preserve"> 50 per cent reduction</w:t>
                  </w:r>
                </w:p>
              </w:tc>
              <w:tc>
                <w:tcPr>
                  <w:tcW w:w="469"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0.8</w:t>
                  </w:r>
                </w:p>
              </w:tc>
              <w:tc>
                <w:tcPr>
                  <w:tcW w:w="471" w:type="pct"/>
                  <w:gridSpan w:val="2"/>
                  <w:vAlign w:val="bottom"/>
                </w:tcPr>
                <w:p w:rsidR="00AC2131" w:rsidRDefault="00AC2131" w:rsidP="00AC2131">
                  <w:pPr>
                    <w:pStyle w:val="TableBodyText"/>
                    <w:spacing w:after="0"/>
                    <w:ind w:left="0" w:right="57"/>
                  </w:pPr>
                  <w:r>
                    <w:t>0.8</w:t>
                  </w:r>
                </w:p>
              </w:tc>
              <w:tc>
                <w:tcPr>
                  <w:tcW w:w="471" w:type="pct"/>
                  <w:gridSpan w:val="2"/>
                  <w:vAlign w:val="bottom"/>
                </w:tcPr>
                <w:p w:rsidR="00AC2131" w:rsidRDefault="00AC2131" w:rsidP="00AC2131">
                  <w:pPr>
                    <w:pStyle w:val="TableBodyText"/>
                    <w:spacing w:after="0"/>
                    <w:ind w:left="0" w:right="57"/>
                  </w:pPr>
                  <w:r>
                    <w:t>1.7</w:t>
                  </w:r>
                </w:p>
              </w:tc>
              <w:tc>
                <w:tcPr>
                  <w:tcW w:w="480" w:type="pct"/>
                  <w:gridSpan w:val="2"/>
                  <w:shd w:val="clear" w:color="auto" w:fill="auto"/>
                  <w:vAlign w:val="bottom"/>
                </w:tcPr>
                <w:p w:rsidR="00AC2131" w:rsidRDefault="00AC2131" w:rsidP="00AC2131">
                  <w:pPr>
                    <w:pStyle w:val="TableBodyText"/>
                    <w:spacing w:after="0"/>
                    <w:ind w:left="0" w:right="57"/>
                  </w:pPr>
                  <w:r>
                    <w:t>1.8</w:t>
                  </w:r>
                </w:p>
              </w:tc>
              <w:tc>
                <w:tcPr>
                  <w:tcW w:w="442" w:type="pct"/>
                  <w:shd w:val="clear" w:color="auto" w:fill="auto"/>
                  <w:vAlign w:val="bottom"/>
                </w:tcPr>
                <w:p w:rsidR="00AC2131" w:rsidRDefault="00AC2131" w:rsidP="00AC2131">
                  <w:pPr>
                    <w:pStyle w:val="TableBodyText"/>
                    <w:spacing w:after="0"/>
                    <w:ind w:left="0" w:right="57"/>
                  </w:pPr>
                  <w:r>
                    <w:t>1.9</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sidRPr="00A70E33">
                    <w:rPr>
                      <w:rFonts w:ascii="Arial" w:hAnsi="Arial" w:cs="Arial"/>
                      <w:color w:val="000000"/>
                      <w:sz w:val="18"/>
                      <w:szCs w:val="18"/>
                    </w:rPr>
                    <w:t xml:space="preserve">Small business </w:t>
                  </w:r>
                  <w:r>
                    <w:rPr>
                      <w:rFonts w:ascii="Arial" w:hAnsi="Arial" w:cs="Arial"/>
                      <w:color w:val="000000"/>
                      <w:sz w:val="18"/>
                      <w:szCs w:val="18"/>
                    </w:rPr>
                    <w:t>capital gains tax</w:t>
                  </w:r>
                  <w:r w:rsidRPr="00A70E33">
                    <w:rPr>
                      <w:rFonts w:ascii="Arial" w:hAnsi="Arial" w:cs="Arial"/>
                      <w:color w:val="000000"/>
                      <w:sz w:val="18"/>
                      <w:szCs w:val="18"/>
                    </w:rPr>
                    <w:t xml:space="preserve"> retirement exemption</w:t>
                  </w:r>
                </w:p>
              </w:tc>
              <w:tc>
                <w:tcPr>
                  <w:tcW w:w="469" w:type="pct"/>
                  <w:vAlign w:val="bottom"/>
                </w:tcPr>
                <w:p w:rsidR="00AC2131" w:rsidRDefault="00AC2131" w:rsidP="00AC2131">
                  <w:pPr>
                    <w:pStyle w:val="TableBodyText"/>
                    <w:spacing w:after="0"/>
                    <w:ind w:left="0" w:right="57"/>
                  </w:pPr>
                  <w:r>
                    <w:t>1.9</w:t>
                  </w:r>
                </w:p>
              </w:tc>
              <w:tc>
                <w:tcPr>
                  <w:tcW w:w="467" w:type="pct"/>
                  <w:vAlign w:val="bottom"/>
                </w:tcPr>
                <w:p w:rsidR="00AC2131" w:rsidRDefault="00AC2131" w:rsidP="00AC2131">
                  <w:pPr>
                    <w:pStyle w:val="TableBodyText"/>
                    <w:spacing w:after="0"/>
                    <w:ind w:left="0" w:right="57"/>
                  </w:pPr>
                  <w:r>
                    <w:t>0.2</w:t>
                  </w:r>
                </w:p>
              </w:tc>
              <w:tc>
                <w:tcPr>
                  <w:tcW w:w="471" w:type="pct"/>
                  <w:gridSpan w:val="2"/>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w:t>
                  </w:r>
                </w:p>
              </w:tc>
              <w:tc>
                <w:tcPr>
                  <w:tcW w:w="480" w:type="pct"/>
                  <w:gridSpan w:val="2"/>
                  <w:shd w:val="clear" w:color="auto" w:fill="auto"/>
                  <w:vAlign w:val="bottom"/>
                </w:tcPr>
                <w:p w:rsidR="00AC2131" w:rsidRDefault="00AC2131" w:rsidP="00AC2131">
                  <w:pPr>
                    <w:pStyle w:val="TableBodyText"/>
                    <w:spacing w:after="0"/>
                    <w:ind w:left="0" w:right="57"/>
                  </w:pPr>
                  <w:r>
                    <w:t>–</w:t>
                  </w:r>
                </w:p>
              </w:tc>
              <w:tc>
                <w:tcPr>
                  <w:tcW w:w="442"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sidRPr="00A70E33">
                    <w:rPr>
                      <w:rFonts w:ascii="Arial" w:hAnsi="Arial" w:cs="Arial"/>
                      <w:color w:val="000000"/>
                      <w:sz w:val="18"/>
                      <w:szCs w:val="18"/>
                    </w:rPr>
                    <w:t>Small business programs</w:t>
                  </w:r>
                </w:p>
              </w:tc>
              <w:tc>
                <w:tcPr>
                  <w:tcW w:w="469"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0.2</w:t>
                  </w:r>
                </w:p>
              </w:tc>
              <w:tc>
                <w:tcPr>
                  <w:tcW w:w="471" w:type="pct"/>
                  <w:gridSpan w:val="2"/>
                  <w:vAlign w:val="bottom"/>
                </w:tcPr>
                <w:p w:rsidR="00AC2131" w:rsidRDefault="00AC2131" w:rsidP="00AC2131">
                  <w:pPr>
                    <w:pStyle w:val="TableBodyText"/>
                    <w:spacing w:after="0"/>
                    <w:ind w:left="0" w:right="57"/>
                  </w:pPr>
                  <w:r>
                    <w:t>–</w:t>
                  </w:r>
                </w:p>
              </w:tc>
              <w:tc>
                <w:tcPr>
                  <w:tcW w:w="471" w:type="pct"/>
                  <w:gridSpan w:val="2"/>
                  <w:vAlign w:val="bottom"/>
                </w:tcPr>
                <w:p w:rsidR="00AC2131" w:rsidRDefault="00AC2131" w:rsidP="00AC2131">
                  <w:pPr>
                    <w:pStyle w:val="TableBodyText"/>
                    <w:spacing w:after="0"/>
                    <w:ind w:left="0" w:right="57"/>
                  </w:pPr>
                  <w:r>
                    <w:t>–</w:t>
                  </w:r>
                </w:p>
              </w:tc>
              <w:tc>
                <w:tcPr>
                  <w:tcW w:w="480" w:type="pct"/>
                  <w:gridSpan w:val="2"/>
                  <w:shd w:val="clear" w:color="auto" w:fill="auto"/>
                  <w:vAlign w:val="bottom"/>
                </w:tcPr>
                <w:p w:rsidR="00AC2131" w:rsidRDefault="00AC2131" w:rsidP="00AC2131">
                  <w:pPr>
                    <w:pStyle w:val="TableBodyText"/>
                    <w:spacing w:after="0"/>
                    <w:ind w:left="0" w:right="57"/>
                  </w:pPr>
                  <w:r>
                    <w:t>–</w:t>
                  </w:r>
                </w:p>
              </w:tc>
              <w:tc>
                <w:tcPr>
                  <w:tcW w:w="442"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A70E33" w:rsidRDefault="00AC2131" w:rsidP="00AC2131">
                  <w:pPr>
                    <w:ind w:left="227"/>
                    <w:rPr>
                      <w:rFonts w:ascii="Arial" w:hAnsi="Arial" w:cs="Arial"/>
                      <w:color w:val="000000"/>
                      <w:sz w:val="18"/>
                      <w:szCs w:val="18"/>
                    </w:rPr>
                  </w:pPr>
                  <w:r w:rsidRPr="00A70E33">
                    <w:rPr>
                      <w:rFonts w:ascii="Arial" w:hAnsi="Arial" w:cs="Arial"/>
                      <w:color w:val="000000"/>
                      <w:sz w:val="18"/>
                      <w:szCs w:val="18"/>
                    </w:rPr>
                    <w:t>The Small Business and General Business Tax Break</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2.6</w:t>
                  </w:r>
                </w:p>
              </w:tc>
              <w:tc>
                <w:tcPr>
                  <w:tcW w:w="471" w:type="pct"/>
                  <w:gridSpan w:val="2"/>
                  <w:vAlign w:val="bottom"/>
                </w:tcPr>
                <w:p w:rsidR="00AC2131" w:rsidRDefault="00AC2131" w:rsidP="00AC2131">
                  <w:pPr>
                    <w:pStyle w:val="TableBodyText"/>
                    <w:spacing w:after="0"/>
                    <w:ind w:left="0" w:right="57"/>
                  </w:pPr>
                  <w:r>
                    <w:t>1.8</w:t>
                  </w:r>
                </w:p>
              </w:tc>
              <w:tc>
                <w:tcPr>
                  <w:tcW w:w="471" w:type="pct"/>
                  <w:gridSpan w:val="2"/>
                  <w:vAlign w:val="bottom"/>
                </w:tcPr>
                <w:p w:rsidR="00AC2131" w:rsidRDefault="00AC2131" w:rsidP="00AC2131">
                  <w:pPr>
                    <w:pStyle w:val="TableBodyText"/>
                    <w:spacing w:after="0"/>
                    <w:ind w:left="0" w:right="57"/>
                  </w:pPr>
                  <w:r>
                    <w:t>0.1</w:t>
                  </w:r>
                </w:p>
              </w:tc>
              <w:tc>
                <w:tcPr>
                  <w:tcW w:w="480" w:type="pct"/>
                  <w:gridSpan w:val="2"/>
                  <w:shd w:val="clear" w:color="auto" w:fill="auto"/>
                  <w:vAlign w:val="bottom"/>
                </w:tcPr>
                <w:p w:rsidR="00AC2131" w:rsidRDefault="00AC2131" w:rsidP="00AC2131">
                  <w:pPr>
                    <w:pStyle w:val="TableBodyText"/>
                    <w:spacing w:after="0"/>
                    <w:ind w:left="0" w:right="57"/>
                  </w:pPr>
                  <w:r>
                    <w:t>&lt;0.1</w:t>
                  </w:r>
                </w:p>
              </w:tc>
              <w:tc>
                <w:tcPr>
                  <w:tcW w:w="442"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tcPr>
                <w:p w:rsidR="00AC2131" w:rsidRPr="00A70E33" w:rsidRDefault="00AC2131" w:rsidP="00AC2131">
                  <w:pPr>
                    <w:pStyle w:val="TableBodyText"/>
                    <w:spacing w:before="20" w:after="20"/>
                    <w:jc w:val="left"/>
                    <w:rPr>
                      <w:i/>
                    </w:rPr>
                  </w:pPr>
                  <w:r w:rsidRPr="00A70E33">
                    <w:rPr>
                      <w:i/>
                    </w:rPr>
                    <w:t>Total</w:t>
                  </w:r>
                </w:p>
              </w:tc>
              <w:tc>
                <w:tcPr>
                  <w:tcW w:w="469" w:type="pct"/>
                  <w:vAlign w:val="bottom"/>
                </w:tcPr>
                <w:p w:rsidR="00AC2131" w:rsidRPr="00004210" w:rsidRDefault="00AC2131" w:rsidP="00AC2131">
                  <w:pPr>
                    <w:pStyle w:val="TableBodyText"/>
                    <w:spacing w:before="20" w:after="20"/>
                    <w:ind w:left="0" w:right="57"/>
                    <w:rPr>
                      <w:i/>
                    </w:rPr>
                  </w:pPr>
                  <w:r w:rsidRPr="00004210">
                    <w:rPr>
                      <w:i/>
                    </w:rPr>
                    <w:t>18.8</w:t>
                  </w:r>
                </w:p>
              </w:tc>
              <w:tc>
                <w:tcPr>
                  <w:tcW w:w="467" w:type="pct"/>
                  <w:vAlign w:val="bottom"/>
                </w:tcPr>
                <w:p w:rsidR="00AC2131" w:rsidRPr="00004210" w:rsidRDefault="00AC2131" w:rsidP="00AC2131">
                  <w:pPr>
                    <w:pStyle w:val="TableBodyText"/>
                    <w:spacing w:before="20" w:after="20"/>
                    <w:ind w:left="0" w:right="57"/>
                    <w:rPr>
                      <w:i/>
                    </w:rPr>
                  </w:pPr>
                  <w:r w:rsidRPr="00004210">
                    <w:rPr>
                      <w:i/>
                    </w:rPr>
                    <w:t>27.4</w:t>
                  </w:r>
                </w:p>
              </w:tc>
              <w:tc>
                <w:tcPr>
                  <w:tcW w:w="471" w:type="pct"/>
                  <w:gridSpan w:val="2"/>
                  <w:vAlign w:val="bottom"/>
                </w:tcPr>
                <w:p w:rsidR="00AC2131" w:rsidRPr="00004210" w:rsidRDefault="00AC2131" w:rsidP="00AC2131">
                  <w:pPr>
                    <w:pStyle w:val="TableBodyText"/>
                    <w:spacing w:before="20" w:after="20"/>
                    <w:ind w:left="0" w:right="57"/>
                    <w:rPr>
                      <w:i/>
                    </w:rPr>
                  </w:pPr>
                  <w:r w:rsidRPr="00004210">
                    <w:rPr>
                      <w:i/>
                    </w:rPr>
                    <w:t>21.3</w:t>
                  </w:r>
                </w:p>
              </w:tc>
              <w:tc>
                <w:tcPr>
                  <w:tcW w:w="471" w:type="pct"/>
                  <w:gridSpan w:val="2"/>
                  <w:vAlign w:val="bottom"/>
                </w:tcPr>
                <w:p w:rsidR="00AC2131" w:rsidRPr="00004210" w:rsidRDefault="00AC2131" w:rsidP="00AC2131">
                  <w:pPr>
                    <w:pStyle w:val="TableBodyText"/>
                    <w:spacing w:before="20" w:after="20"/>
                    <w:ind w:left="0" w:right="57"/>
                    <w:rPr>
                      <w:i/>
                    </w:rPr>
                  </w:pPr>
                  <w:r w:rsidRPr="00004210">
                    <w:rPr>
                      <w:i/>
                    </w:rPr>
                    <w:t>15.9</w:t>
                  </w:r>
                </w:p>
              </w:tc>
              <w:tc>
                <w:tcPr>
                  <w:tcW w:w="480" w:type="pct"/>
                  <w:gridSpan w:val="2"/>
                  <w:shd w:val="clear" w:color="auto" w:fill="auto"/>
                  <w:vAlign w:val="bottom"/>
                </w:tcPr>
                <w:p w:rsidR="00AC2131" w:rsidRPr="00004210" w:rsidRDefault="00AC2131" w:rsidP="00AC2131">
                  <w:pPr>
                    <w:pStyle w:val="TableBodyText"/>
                    <w:spacing w:before="20" w:after="20"/>
                    <w:ind w:left="0" w:right="57"/>
                    <w:rPr>
                      <w:i/>
                    </w:rPr>
                  </w:pPr>
                  <w:r w:rsidRPr="00004210">
                    <w:rPr>
                      <w:i/>
                    </w:rPr>
                    <w:t>13.9</w:t>
                  </w:r>
                </w:p>
              </w:tc>
              <w:tc>
                <w:tcPr>
                  <w:tcW w:w="442" w:type="pct"/>
                  <w:shd w:val="clear" w:color="auto" w:fill="auto"/>
                  <w:vAlign w:val="bottom"/>
                </w:tcPr>
                <w:p w:rsidR="00AC2131" w:rsidRPr="00004210" w:rsidRDefault="00AC2131" w:rsidP="00AC2131">
                  <w:pPr>
                    <w:pStyle w:val="TableBodyText"/>
                    <w:spacing w:before="20" w:after="20"/>
                    <w:ind w:left="0" w:right="57"/>
                    <w:rPr>
                      <w:i/>
                    </w:rPr>
                  </w:pPr>
                  <w:r w:rsidRPr="00004210">
                    <w:rPr>
                      <w:i/>
                    </w:rPr>
                    <w:t>13.8</w:t>
                  </w:r>
                </w:p>
              </w:tc>
            </w:tr>
            <w:tr w:rsidR="00AC2131" w:rsidTr="00AC2131">
              <w:tc>
                <w:tcPr>
                  <w:tcW w:w="2200" w:type="pct"/>
                </w:tcPr>
                <w:p w:rsidR="00AC2131" w:rsidRPr="003D4CC9" w:rsidRDefault="00AC2131" w:rsidP="00AC2131">
                  <w:pPr>
                    <w:pStyle w:val="TableUnitsRow"/>
                    <w:jc w:val="left"/>
                    <w:rPr>
                      <w:b/>
                    </w:rPr>
                  </w:pPr>
                  <w:r w:rsidRPr="003D4CC9">
                    <w:rPr>
                      <w:b/>
                    </w:rPr>
                    <w:t>Education and training</w:t>
                  </w:r>
                </w:p>
              </w:tc>
              <w:tc>
                <w:tcPr>
                  <w:tcW w:w="469" w:type="pct"/>
                </w:tcPr>
                <w:p w:rsidR="00AC2131" w:rsidRDefault="00AC2131" w:rsidP="00AC2131">
                  <w:pPr>
                    <w:pStyle w:val="TableUnitsRow"/>
                  </w:pPr>
                </w:p>
              </w:tc>
              <w:tc>
                <w:tcPr>
                  <w:tcW w:w="467" w:type="pct"/>
                </w:tcPr>
                <w:p w:rsidR="00AC2131" w:rsidRDefault="00AC2131" w:rsidP="00AC2131">
                  <w:pPr>
                    <w:pStyle w:val="TableUnitsRow"/>
                  </w:pPr>
                </w:p>
              </w:tc>
              <w:tc>
                <w:tcPr>
                  <w:tcW w:w="467" w:type="pct"/>
                </w:tcPr>
                <w:p w:rsidR="00AC2131" w:rsidRDefault="00AC2131" w:rsidP="00AC2131">
                  <w:pPr>
                    <w:pStyle w:val="TableUnitsRow"/>
                  </w:pPr>
                </w:p>
              </w:tc>
              <w:tc>
                <w:tcPr>
                  <w:tcW w:w="467" w:type="pct"/>
                  <w:gridSpan w:val="2"/>
                </w:tcPr>
                <w:p w:rsidR="00AC2131" w:rsidRDefault="00AC2131" w:rsidP="00AC2131">
                  <w:pPr>
                    <w:pStyle w:val="TableUnitsRow"/>
                  </w:pPr>
                </w:p>
              </w:tc>
              <w:tc>
                <w:tcPr>
                  <w:tcW w:w="466" w:type="pct"/>
                  <w:gridSpan w:val="2"/>
                </w:tcPr>
                <w:p w:rsidR="00AC2131" w:rsidRDefault="00AC2131" w:rsidP="00AC2131">
                  <w:pPr>
                    <w:pStyle w:val="TableUnitsRow"/>
                  </w:pPr>
                </w:p>
              </w:tc>
              <w:tc>
                <w:tcPr>
                  <w:tcW w:w="464" w:type="pct"/>
                  <w:gridSpan w:val="2"/>
                </w:tcPr>
                <w:p w:rsidR="00AC2131" w:rsidRDefault="00AC2131" w:rsidP="00AC2131">
                  <w:pPr>
                    <w:pStyle w:val="TableUnitsRow"/>
                    <w:ind w:right="28"/>
                  </w:pPr>
                </w:p>
              </w:tc>
            </w:tr>
            <w:tr w:rsidR="00AC2131" w:rsidTr="00AC2131">
              <w:tc>
                <w:tcPr>
                  <w:tcW w:w="2200" w:type="pct"/>
                </w:tcPr>
                <w:p w:rsidR="00AC2131" w:rsidRPr="003D4CC9" w:rsidRDefault="00AC2131" w:rsidP="00AC2131">
                  <w:pPr>
                    <w:pStyle w:val="TableBodyText"/>
                    <w:spacing w:before="40" w:after="0"/>
                    <w:ind w:left="113"/>
                    <w:jc w:val="left"/>
                    <w:rPr>
                      <w:i/>
                    </w:rPr>
                  </w:pPr>
                  <w:r w:rsidRPr="003D4CC9">
                    <w:rPr>
                      <w:i/>
                    </w:rPr>
                    <w:t>General export measures</w:t>
                  </w:r>
                </w:p>
              </w:tc>
              <w:tc>
                <w:tcPr>
                  <w:tcW w:w="469"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gridSpan w:val="2"/>
                </w:tcPr>
                <w:p w:rsidR="00AC2131" w:rsidRDefault="00AC2131" w:rsidP="00AC2131">
                  <w:pPr>
                    <w:pStyle w:val="TableBodyText"/>
                    <w:spacing w:before="40" w:after="0"/>
                    <w:ind w:left="113"/>
                  </w:pPr>
                </w:p>
              </w:tc>
              <w:tc>
                <w:tcPr>
                  <w:tcW w:w="466" w:type="pct"/>
                  <w:gridSpan w:val="2"/>
                </w:tcPr>
                <w:p w:rsidR="00AC2131" w:rsidRDefault="00AC2131" w:rsidP="00AC2131">
                  <w:pPr>
                    <w:pStyle w:val="TableBodyText"/>
                    <w:spacing w:before="40" w:after="0"/>
                    <w:ind w:left="113"/>
                  </w:pPr>
                </w:p>
              </w:tc>
              <w:tc>
                <w:tcPr>
                  <w:tcW w:w="464" w:type="pct"/>
                  <w:gridSpan w:val="2"/>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spacing w:after="0"/>
                    <w:ind w:left="227" w:right="0"/>
                    <w:jc w:val="left"/>
                  </w:pPr>
                  <w:r w:rsidRPr="003D4CC9">
                    <w:t>Export Market Development Grants Scheme</w:t>
                  </w:r>
                </w:p>
              </w:tc>
              <w:tc>
                <w:tcPr>
                  <w:tcW w:w="469" w:type="pct"/>
                  <w:vAlign w:val="bottom"/>
                </w:tcPr>
                <w:p w:rsidR="00AC2131" w:rsidRDefault="00AC2131" w:rsidP="00AC2131">
                  <w:pPr>
                    <w:pStyle w:val="TableBodyText"/>
                    <w:spacing w:after="0"/>
                    <w:ind w:left="0" w:right="57"/>
                  </w:pPr>
                  <w:r>
                    <w:t>12.3</w:t>
                  </w:r>
                </w:p>
              </w:tc>
              <w:tc>
                <w:tcPr>
                  <w:tcW w:w="467" w:type="pct"/>
                  <w:vAlign w:val="bottom"/>
                </w:tcPr>
                <w:p w:rsidR="00AC2131" w:rsidRDefault="00AC2131" w:rsidP="00AC2131">
                  <w:pPr>
                    <w:pStyle w:val="TableBodyText"/>
                    <w:spacing w:after="0"/>
                    <w:ind w:left="0" w:right="57"/>
                  </w:pPr>
                  <w:r>
                    <w:t>14.9</w:t>
                  </w:r>
                </w:p>
              </w:tc>
              <w:tc>
                <w:tcPr>
                  <w:tcW w:w="467" w:type="pct"/>
                  <w:vAlign w:val="bottom"/>
                </w:tcPr>
                <w:p w:rsidR="00AC2131" w:rsidRDefault="00AC2131" w:rsidP="00AC2131">
                  <w:pPr>
                    <w:pStyle w:val="TableBodyText"/>
                    <w:spacing w:after="0"/>
                    <w:ind w:left="0" w:right="57"/>
                  </w:pPr>
                  <w:r>
                    <w:t>11.1</w:t>
                  </w:r>
                </w:p>
              </w:tc>
              <w:tc>
                <w:tcPr>
                  <w:tcW w:w="467" w:type="pct"/>
                  <w:gridSpan w:val="2"/>
                  <w:vAlign w:val="bottom"/>
                </w:tcPr>
                <w:p w:rsidR="00AC2131" w:rsidRDefault="00AC2131" w:rsidP="00AC2131">
                  <w:pPr>
                    <w:pStyle w:val="TableBodyText"/>
                    <w:spacing w:after="0"/>
                    <w:ind w:left="0" w:right="57"/>
                  </w:pPr>
                  <w:r>
                    <w:t>9.2</w:t>
                  </w:r>
                </w:p>
              </w:tc>
              <w:tc>
                <w:tcPr>
                  <w:tcW w:w="466" w:type="pct"/>
                  <w:gridSpan w:val="2"/>
                  <w:shd w:val="clear" w:color="auto" w:fill="auto"/>
                  <w:vAlign w:val="bottom"/>
                </w:tcPr>
                <w:p w:rsidR="00AC2131" w:rsidRDefault="00AC2131" w:rsidP="00AC2131">
                  <w:pPr>
                    <w:pStyle w:val="TableBodyText"/>
                    <w:spacing w:after="0"/>
                    <w:ind w:left="0" w:right="57"/>
                  </w:pPr>
                  <w:r>
                    <w:t>7.6</w:t>
                  </w:r>
                </w:p>
              </w:tc>
              <w:tc>
                <w:tcPr>
                  <w:tcW w:w="464" w:type="pct"/>
                  <w:gridSpan w:val="2"/>
                  <w:shd w:val="clear" w:color="auto" w:fill="auto"/>
                  <w:vAlign w:val="bottom"/>
                </w:tcPr>
                <w:p w:rsidR="00AC2131" w:rsidRDefault="00AC2131" w:rsidP="00AC2131">
                  <w:pPr>
                    <w:pStyle w:val="TableBodyText"/>
                    <w:spacing w:after="0"/>
                    <w:ind w:left="0" w:right="57"/>
                  </w:pPr>
                  <w:r>
                    <w:t>7.0</w:t>
                  </w:r>
                </w:p>
              </w:tc>
            </w:tr>
            <w:tr w:rsidR="00AC2131" w:rsidTr="00AC2131">
              <w:tc>
                <w:tcPr>
                  <w:tcW w:w="2200" w:type="pct"/>
                  <w:shd w:val="clear" w:color="auto" w:fill="auto"/>
                </w:tcPr>
                <w:p w:rsidR="00AC2131" w:rsidRPr="003D4CC9" w:rsidRDefault="00AC2131" w:rsidP="00AC2131">
                  <w:pPr>
                    <w:pStyle w:val="TableBodyText"/>
                    <w:spacing w:before="40" w:after="0"/>
                    <w:ind w:left="113"/>
                    <w:jc w:val="left"/>
                    <w:rPr>
                      <w:i/>
                    </w:rPr>
                  </w:pPr>
                  <w:r w:rsidRPr="003D4CC9">
                    <w:rPr>
                      <w:i/>
                    </w:rPr>
                    <w:t>General R&amp;D measures</w:t>
                  </w:r>
                </w:p>
              </w:tc>
              <w:tc>
                <w:tcPr>
                  <w:tcW w:w="469"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gridSpan w:val="2"/>
                </w:tcPr>
                <w:p w:rsidR="00AC2131" w:rsidRDefault="00AC2131" w:rsidP="00AC2131">
                  <w:pPr>
                    <w:pStyle w:val="TableBodyText"/>
                    <w:spacing w:before="40" w:after="0"/>
                    <w:ind w:left="113"/>
                  </w:pPr>
                </w:p>
              </w:tc>
              <w:tc>
                <w:tcPr>
                  <w:tcW w:w="466" w:type="pct"/>
                  <w:gridSpan w:val="2"/>
                  <w:shd w:val="clear" w:color="auto" w:fill="auto"/>
                </w:tcPr>
                <w:p w:rsidR="00AC2131" w:rsidRDefault="00AC2131" w:rsidP="00AC2131">
                  <w:pPr>
                    <w:pStyle w:val="TableBodyText"/>
                    <w:spacing w:before="40" w:after="0"/>
                    <w:ind w:left="113"/>
                  </w:pPr>
                </w:p>
              </w:tc>
              <w:tc>
                <w:tcPr>
                  <w:tcW w:w="464" w:type="pct"/>
                  <w:gridSpan w:val="2"/>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3D4CC9" w:rsidRDefault="00AC2131" w:rsidP="00AC2131">
                  <w:pPr>
                    <w:ind w:left="227"/>
                    <w:rPr>
                      <w:rFonts w:ascii="Arial" w:hAnsi="Arial" w:cs="Arial"/>
                      <w:color w:val="000000"/>
                      <w:sz w:val="18"/>
                      <w:szCs w:val="18"/>
                    </w:rPr>
                  </w:pPr>
                  <w:r w:rsidRPr="003D4CC9">
                    <w:rPr>
                      <w:rFonts w:ascii="Arial" w:hAnsi="Arial" w:cs="Arial"/>
                      <w:color w:val="000000"/>
                      <w:sz w:val="18"/>
                      <w:szCs w:val="18"/>
                    </w:rPr>
                    <w:t>COMET Program</w:t>
                  </w:r>
                </w:p>
              </w:tc>
              <w:tc>
                <w:tcPr>
                  <w:tcW w:w="469"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gridSpan w:val="2"/>
                  <w:vAlign w:val="bottom"/>
                </w:tcPr>
                <w:p w:rsidR="00AC2131" w:rsidRDefault="00AC2131" w:rsidP="00AC2131">
                  <w:pPr>
                    <w:pStyle w:val="TableBodyText"/>
                    <w:spacing w:after="0"/>
                    <w:ind w:left="0" w:right="57"/>
                  </w:pPr>
                  <w:r>
                    <w:t>0.1</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4"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D4CC9" w:rsidRDefault="00AC2131" w:rsidP="00AC2131">
                  <w:pPr>
                    <w:ind w:left="227"/>
                    <w:rPr>
                      <w:rFonts w:ascii="Arial" w:hAnsi="Arial" w:cs="Arial"/>
                      <w:color w:val="000000"/>
                      <w:sz w:val="18"/>
                      <w:szCs w:val="18"/>
                    </w:rPr>
                  </w:pPr>
                  <w:r w:rsidRPr="003D4CC9">
                    <w:rPr>
                      <w:rFonts w:ascii="Arial" w:hAnsi="Arial" w:cs="Arial"/>
                      <w:color w:val="000000"/>
                      <w:sz w:val="18"/>
                      <w:szCs w:val="18"/>
                    </w:rPr>
                    <w:t>Commercial Ready Program</w:t>
                  </w:r>
                </w:p>
              </w:tc>
              <w:tc>
                <w:tcPr>
                  <w:tcW w:w="469"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0.2</w:t>
                  </w:r>
                </w:p>
              </w:tc>
              <w:tc>
                <w:tcPr>
                  <w:tcW w:w="467" w:type="pct"/>
                  <w:gridSpan w:val="2"/>
                  <w:vAlign w:val="bottom"/>
                </w:tcPr>
                <w:p w:rsidR="00AC2131" w:rsidRDefault="00AC2131" w:rsidP="00AC2131">
                  <w:pPr>
                    <w:pStyle w:val="TableBodyText"/>
                    <w:spacing w:after="0"/>
                    <w:ind w:left="0" w:right="57"/>
                  </w:pPr>
                  <w:r>
                    <w:t>0.1</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4"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D4CC9" w:rsidRDefault="00AC2131" w:rsidP="00AC2131">
                  <w:pPr>
                    <w:ind w:left="227"/>
                    <w:rPr>
                      <w:rFonts w:ascii="Arial" w:hAnsi="Arial" w:cs="Arial"/>
                      <w:color w:val="000000"/>
                      <w:sz w:val="18"/>
                      <w:szCs w:val="18"/>
                    </w:rPr>
                  </w:pPr>
                  <w:r w:rsidRPr="003D4CC9">
                    <w:rPr>
                      <w:rFonts w:ascii="Arial" w:hAnsi="Arial" w:cs="Arial"/>
                      <w:color w:val="000000"/>
                      <w:sz w:val="18"/>
                      <w:szCs w:val="18"/>
                    </w:rPr>
                    <w:t>Commercialisation Australia</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0.5</w:t>
                  </w:r>
                </w:p>
              </w:tc>
              <w:tc>
                <w:tcPr>
                  <w:tcW w:w="467" w:type="pct"/>
                  <w:gridSpan w:val="2"/>
                  <w:vAlign w:val="bottom"/>
                </w:tcPr>
                <w:p w:rsidR="00AC2131" w:rsidRDefault="00AC2131" w:rsidP="00AC2131">
                  <w:pPr>
                    <w:pStyle w:val="TableBodyText"/>
                    <w:spacing w:after="0"/>
                    <w:ind w:left="0" w:right="57"/>
                  </w:pPr>
                  <w:r>
                    <w:t>0.8</w:t>
                  </w:r>
                </w:p>
              </w:tc>
              <w:tc>
                <w:tcPr>
                  <w:tcW w:w="466" w:type="pct"/>
                  <w:gridSpan w:val="2"/>
                  <w:shd w:val="clear" w:color="auto" w:fill="auto"/>
                  <w:vAlign w:val="bottom"/>
                </w:tcPr>
                <w:p w:rsidR="00AC2131" w:rsidRDefault="00AC2131" w:rsidP="00AC2131">
                  <w:pPr>
                    <w:pStyle w:val="TableBodyText"/>
                    <w:spacing w:after="0"/>
                    <w:ind w:left="0" w:right="57"/>
                  </w:pPr>
                  <w:r>
                    <w:t>1.2</w:t>
                  </w:r>
                </w:p>
              </w:tc>
              <w:tc>
                <w:tcPr>
                  <w:tcW w:w="464" w:type="pct"/>
                  <w:gridSpan w:val="2"/>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3D4CC9" w:rsidRDefault="00AC2131" w:rsidP="00AC2131">
                  <w:pPr>
                    <w:ind w:left="227"/>
                    <w:rPr>
                      <w:rFonts w:ascii="Arial" w:hAnsi="Arial" w:cs="Arial"/>
                      <w:color w:val="000000"/>
                      <w:sz w:val="18"/>
                      <w:szCs w:val="18"/>
                    </w:rPr>
                  </w:pPr>
                  <w:r w:rsidRPr="003D4CC9">
                    <w:rPr>
                      <w:rFonts w:ascii="Arial" w:hAnsi="Arial" w:cs="Arial"/>
                      <w:color w:val="000000"/>
                      <w:sz w:val="18"/>
                      <w:szCs w:val="18"/>
                    </w:rPr>
                    <w:t>CSIRO</w:t>
                  </w:r>
                </w:p>
              </w:tc>
              <w:tc>
                <w:tcPr>
                  <w:tcW w:w="469"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0.7</w:t>
                  </w:r>
                </w:p>
              </w:tc>
              <w:tc>
                <w:tcPr>
                  <w:tcW w:w="467" w:type="pct"/>
                  <w:gridSpan w:val="2"/>
                  <w:vAlign w:val="bottom"/>
                </w:tcPr>
                <w:p w:rsidR="00AC2131" w:rsidRDefault="00AC2131" w:rsidP="00AC2131">
                  <w:pPr>
                    <w:pStyle w:val="TableBodyText"/>
                    <w:spacing w:after="0"/>
                    <w:ind w:left="0" w:right="57"/>
                  </w:pPr>
                  <w:r>
                    <w:t>2.2</w:t>
                  </w:r>
                </w:p>
              </w:tc>
              <w:tc>
                <w:tcPr>
                  <w:tcW w:w="466" w:type="pct"/>
                  <w:gridSpan w:val="2"/>
                  <w:shd w:val="clear" w:color="auto" w:fill="auto"/>
                  <w:vAlign w:val="bottom"/>
                </w:tcPr>
                <w:p w:rsidR="00AC2131" w:rsidRDefault="00AC2131" w:rsidP="00AC2131">
                  <w:pPr>
                    <w:pStyle w:val="TableBodyText"/>
                    <w:spacing w:after="0"/>
                    <w:ind w:left="0" w:right="57"/>
                  </w:pPr>
                  <w:r>
                    <w:t>3.1</w:t>
                  </w:r>
                </w:p>
              </w:tc>
              <w:tc>
                <w:tcPr>
                  <w:tcW w:w="464" w:type="pct"/>
                  <w:gridSpan w:val="2"/>
                  <w:shd w:val="clear" w:color="auto" w:fill="auto"/>
                  <w:vAlign w:val="bottom"/>
                </w:tcPr>
                <w:p w:rsidR="00AC2131" w:rsidRDefault="00AC2131" w:rsidP="00AC2131">
                  <w:pPr>
                    <w:pStyle w:val="TableBodyText"/>
                    <w:spacing w:after="0"/>
                    <w:ind w:left="0" w:right="57"/>
                  </w:pPr>
                  <w:r>
                    <w:t>3.1</w:t>
                  </w:r>
                </w:p>
              </w:tc>
            </w:tr>
            <w:tr w:rsidR="00AC2131" w:rsidTr="00AC2131">
              <w:tc>
                <w:tcPr>
                  <w:tcW w:w="2200" w:type="pct"/>
                  <w:shd w:val="clear" w:color="auto" w:fill="auto"/>
                  <w:vAlign w:val="bottom"/>
                </w:tcPr>
                <w:p w:rsidR="00AC2131" w:rsidRPr="003D4CC9" w:rsidRDefault="00AC2131" w:rsidP="00AC2131">
                  <w:pPr>
                    <w:ind w:left="227"/>
                    <w:rPr>
                      <w:rFonts w:ascii="Arial" w:hAnsi="Arial" w:cs="Arial"/>
                      <w:color w:val="000000"/>
                      <w:sz w:val="18"/>
                      <w:szCs w:val="18"/>
                    </w:rPr>
                  </w:pPr>
                  <w:r w:rsidRPr="003D4CC9">
                    <w:rPr>
                      <w:rFonts w:ascii="Arial" w:hAnsi="Arial" w:cs="Arial"/>
                      <w:color w:val="000000"/>
                      <w:sz w:val="18"/>
                      <w:szCs w:val="18"/>
                    </w:rPr>
                    <w:t>Premium R&amp;D tax concession</w:t>
                  </w:r>
                </w:p>
              </w:tc>
              <w:tc>
                <w:tcPr>
                  <w:tcW w:w="469"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gridSpan w:val="2"/>
                  <w:vAlign w:val="bottom"/>
                </w:tcPr>
                <w:p w:rsidR="00AC2131" w:rsidRDefault="00AC2131" w:rsidP="00AC2131">
                  <w:pPr>
                    <w:pStyle w:val="TableBodyText"/>
                    <w:spacing w:after="0"/>
                    <w:ind w:left="0" w:right="57"/>
                  </w:pPr>
                  <w:r>
                    <w:t>0.2</w:t>
                  </w:r>
                </w:p>
              </w:tc>
              <w:tc>
                <w:tcPr>
                  <w:tcW w:w="466" w:type="pct"/>
                  <w:gridSpan w:val="2"/>
                  <w:shd w:val="clear" w:color="auto" w:fill="auto"/>
                  <w:vAlign w:val="bottom"/>
                </w:tcPr>
                <w:p w:rsidR="00AC2131" w:rsidRDefault="00AC2131" w:rsidP="00AC2131">
                  <w:pPr>
                    <w:pStyle w:val="TableBodyText"/>
                    <w:spacing w:after="0"/>
                    <w:ind w:left="0" w:right="57"/>
                  </w:pPr>
                  <w:r>
                    <w:t>0.1</w:t>
                  </w:r>
                </w:p>
              </w:tc>
              <w:tc>
                <w:tcPr>
                  <w:tcW w:w="464" w:type="pct"/>
                  <w:gridSpan w:val="2"/>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vAlign w:val="bottom"/>
                </w:tcPr>
                <w:p w:rsidR="00AC2131" w:rsidRPr="003D4CC9" w:rsidRDefault="00AC2131" w:rsidP="00AC2131">
                  <w:pPr>
                    <w:ind w:left="227"/>
                    <w:rPr>
                      <w:rFonts w:ascii="Arial" w:hAnsi="Arial" w:cs="Arial"/>
                      <w:color w:val="000000"/>
                      <w:sz w:val="18"/>
                      <w:szCs w:val="18"/>
                    </w:rPr>
                  </w:pPr>
                  <w:r w:rsidRPr="003D4CC9">
                    <w:rPr>
                      <w:rFonts w:ascii="Arial" w:hAnsi="Arial" w:cs="Arial"/>
                      <w:color w:val="000000"/>
                      <w:sz w:val="18"/>
                      <w:szCs w:val="18"/>
                    </w:rPr>
                    <w:t>R&amp;D tax concession</w:t>
                  </w:r>
                </w:p>
              </w:tc>
              <w:tc>
                <w:tcPr>
                  <w:tcW w:w="469"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0.7</w:t>
                  </w:r>
                </w:p>
              </w:tc>
              <w:tc>
                <w:tcPr>
                  <w:tcW w:w="467" w:type="pct"/>
                  <w:gridSpan w:val="2"/>
                  <w:vAlign w:val="bottom"/>
                </w:tcPr>
                <w:p w:rsidR="00AC2131" w:rsidRDefault="00AC2131" w:rsidP="00AC2131">
                  <w:pPr>
                    <w:pStyle w:val="TableBodyText"/>
                    <w:spacing w:after="0"/>
                    <w:ind w:left="0" w:right="57"/>
                  </w:pPr>
                  <w:r>
                    <w:t>1.5</w:t>
                  </w:r>
                </w:p>
              </w:tc>
              <w:tc>
                <w:tcPr>
                  <w:tcW w:w="466" w:type="pct"/>
                  <w:gridSpan w:val="2"/>
                  <w:shd w:val="clear" w:color="auto" w:fill="auto"/>
                  <w:vAlign w:val="bottom"/>
                </w:tcPr>
                <w:p w:rsidR="00AC2131" w:rsidRDefault="00AC2131" w:rsidP="00AC2131">
                  <w:pPr>
                    <w:pStyle w:val="TableBodyText"/>
                    <w:spacing w:after="0"/>
                    <w:ind w:left="0" w:right="57"/>
                  </w:pPr>
                  <w:r>
                    <w:t>0.7</w:t>
                  </w:r>
                </w:p>
              </w:tc>
              <w:tc>
                <w:tcPr>
                  <w:tcW w:w="464" w:type="pct"/>
                  <w:gridSpan w:val="2"/>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3D4CC9"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4" w:type="pct"/>
                  <w:gridSpan w:val="2"/>
                  <w:shd w:val="clear" w:color="auto" w:fill="auto"/>
                  <w:vAlign w:val="bottom"/>
                </w:tcPr>
                <w:p w:rsidR="00AC2131" w:rsidRDefault="00AC2131" w:rsidP="00AC2131">
                  <w:pPr>
                    <w:pStyle w:val="TableBodyText"/>
                    <w:spacing w:after="0"/>
                    <w:ind w:left="0" w:right="57"/>
                  </w:pPr>
                  <w:r>
                    <w:t>-1.5</w:t>
                  </w:r>
                </w:p>
              </w:tc>
            </w:tr>
            <w:tr w:rsidR="00AC2131" w:rsidTr="00AC2131">
              <w:tc>
                <w:tcPr>
                  <w:tcW w:w="2200" w:type="pct"/>
                  <w:shd w:val="clear" w:color="auto" w:fill="auto"/>
                  <w:vAlign w:val="bottom"/>
                </w:tcPr>
                <w:p w:rsidR="00AC2131" w:rsidRPr="003D4CC9"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0.5</w:t>
                  </w:r>
                </w:p>
              </w:tc>
              <w:tc>
                <w:tcPr>
                  <w:tcW w:w="464"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D4CC9"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2.8</w:t>
                  </w:r>
                </w:p>
              </w:tc>
              <w:tc>
                <w:tcPr>
                  <w:tcW w:w="464" w:type="pct"/>
                  <w:gridSpan w:val="2"/>
                  <w:shd w:val="clear" w:color="auto" w:fill="auto"/>
                  <w:vAlign w:val="bottom"/>
                </w:tcPr>
                <w:p w:rsidR="00AC2131" w:rsidRDefault="00AC2131" w:rsidP="00AC2131">
                  <w:pPr>
                    <w:pStyle w:val="TableBodyText"/>
                    <w:spacing w:after="0"/>
                    <w:ind w:left="0" w:right="57"/>
                  </w:pPr>
                  <w:r>
                    <w:t>5.0</w:t>
                  </w:r>
                </w:p>
              </w:tc>
            </w:tr>
            <w:tr w:rsidR="00AC2131" w:rsidTr="00AC2131">
              <w:tc>
                <w:tcPr>
                  <w:tcW w:w="2200" w:type="pct"/>
                  <w:tcBorders>
                    <w:bottom w:val="single" w:sz="6" w:space="0" w:color="BFBFBF"/>
                  </w:tcBorders>
                  <w:shd w:val="clear" w:color="auto" w:fill="auto"/>
                  <w:vAlign w:val="bottom"/>
                </w:tcPr>
                <w:p w:rsidR="00AC2131" w:rsidRPr="003D4CC9"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9" w:type="pct"/>
                  <w:tcBorders>
                    <w:bottom w:val="single" w:sz="6" w:space="0" w:color="BFBFBF"/>
                  </w:tcBorders>
                  <w:vAlign w:val="bottom"/>
                </w:tcPr>
                <w:p w:rsidR="00AC2131" w:rsidRDefault="00AC2131" w:rsidP="00AC2131">
                  <w:pPr>
                    <w:pStyle w:val="TableBodyText"/>
                    <w:spacing w:after="0"/>
                    <w:ind w:left="0" w:right="57"/>
                  </w:pPr>
                  <w:r>
                    <w:t>4.1</w:t>
                  </w:r>
                </w:p>
              </w:tc>
              <w:tc>
                <w:tcPr>
                  <w:tcW w:w="467" w:type="pct"/>
                  <w:tcBorders>
                    <w:bottom w:val="single" w:sz="6" w:space="0" w:color="BFBFBF"/>
                  </w:tcBorders>
                  <w:vAlign w:val="bottom"/>
                </w:tcPr>
                <w:p w:rsidR="00AC2131" w:rsidRDefault="00AC2131" w:rsidP="00AC2131">
                  <w:pPr>
                    <w:pStyle w:val="TableBodyText"/>
                    <w:spacing w:after="0"/>
                    <w:ind w:left="0" w:right="57"/>
                  </w:pPr>
                  <w:r>
                    <w:t>4.1</w:t>
                  </w:r>
                </w:p>
              </w:tc>
              <w:tc>
                <w:tcPr>
                  <w:tcW w:w="467" w:type="pct"/>
                  <w:tcBorders>
                    <w:bottom w:val="single" w:sz="6" w:space="0" w:color="BFBFBF"/>
                  </w:tcBorders>
                  <w:vAlign w:val="bottom"/>
                </w:tcPr>
                <w:p w:rsidR="00AC2131" w:rsidRDefault="00AC2131" w:rsidP="00AC2131">
                  <w:pPr>
                    <w:pStyle w:val="TableBodyText"/>
                    <w:spacing w:after="0"/>
                    <w:ind w:left="0" w:right="57"/>
                  </w:pPr>
                  <w:r>
                    <w:t>3.2</w:t>
                  </w:r>
                </w:p>
              </w:tc>
              <w:tc>
                <w:tcPr>
                  <w:tcW w:w="467" w:type="pct"/>
                  <w:gridSpan w:val="2"/>
                  <w:tcBorders>
                    <w:bottom w:val="single" w:sz="6" w:space="0" w:color="BFBFBF"/>
                  </w:tcBorders>
                  <w:vAlign w:val="bottom"/>
                </w:tcPr>
                <w:p w:rsidR="00AC2131" w:rsidRDefault="00AC2131" w:rsidP="00AC2131">
                  <w:pPr>
                    <w:pStyle w:val="TableBodyText"/>
                    <w:spacing w:after="0"/>
                    <w:ind w:left="0" w:right="57"/>
                  </w:pPr>
                  <w:r>
                    <w:t>3.6</w:t>
                  </w:r>
                </w:p>
              </w:tc>
              <w:tc>
                <w:tcPr>
                  <w:tcW w:w="466" w:type="pct"/>
                  <w:gridSpan w:val="2"/>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4" w:type="pct"/>
                  <w:gridSpan w:val="2"/>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499"/>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798"/>
              <w:gridCol w:w="794"/>
              <w:gridCol w:w="794"/>
              <w:gridCol w:w="794"/>
              <w:gridCol w:w="794"/>
              <w:gridCol w:w="788"/>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9"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3"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shd w:val="clear" w:color="auto" w:fill="auto"/>
                </w:tcPr>
                <w:p w:rsidR="00AC2131" w:rsidRPr="002056C2" w:rsidRDefault="00AC2131" w:rsidP="00AC2131">
                  <w:pPr>
                    <w:pStyle w:val="TableBodyText"/>
                    <w:spacing w:before="40" w:after="0"/>
                    <w:ind w:left="113"/>
                    <w:jc w:val="left"/>
                    <w:rPr>
                      <w:i/>
                    </w:rPr>
                  </w:pPr>
                  <w:r w:rsidRPr="002056C2">
                    <w:rPr>
                      <w:i/>
                    </w:rPr>
                    <w:t>Other measures</w:t>
                  </w:r>
                </w:p>
              </w:tc>
              <w:tc>
                <w:tcPr>
                  <w:tcW w:w="469"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25 per cent entrepreneurs' tax offset</w:t>
                  </w:r>
                </w:p>
              </w:tc>
              <w:tc>
                <w:tcPr>
                  <w:tcW w:w="469" w:type="pct"/>
                  <w:vAlign w:val="bottom"/>
                </w:tcPr>
                <w:p w:rsidR="00AC2131" w:rsidRDefault="00AC2131" w:rsidP="00AC2131">
                  <w:pPr>
                    <w:pStyle w:val="TableBodyText"/>
                    <w:spacing w:after="0"/>
                    <w:ind w:left="0" w:right="57"/>
                  </w:pPr>
                  <w:r>
                    <w:t>5.4</w:t>
                  </w:r>
                </w:p>
              </w:tc>
              <w:tc>
                <w:tcPr>
                  <w:tcW w:w="467" w:type="pct"/>
                  <w:vAlign w:val="bottom"/>
                </w:tcPr>
                <w:p w:rsidR="00AC2131" w:rsidRDefault="00AC2131" w:rsidP="00AC2131">
                  <w:pPr>
                    <w:pStyle w:val="TableBodyText"/>
                    <w:spacing w:after="0"/>
                    <w:ind w:left="0" w:right="57"/>
                  </w:pPr>
                  <w:r>
                    <w:t>5.4</w:t>
                  </w:r>
                </w:p>
              </w:tc>
              <w:tc>
                <w:tcPr>
                  <w:tcW w:w="467" w:type="pct"/>
                  <w:vAlign w:val="bottom"/>
                </w:tcPr>
                <w:p w:rsidR="00AC2131" w:rsidRDefault="00AC2131" w:rsidP="00AC2131">
                  <w:pPr>
                    <w:pStyle w:val="TableBodyText"/>
                    <w:spacing w:after="0"/>
                    <w:ind w:left="0" w:right="57"/>
                  </w:pPr>
                  <w:r>
                    <w:t>5.3</w:t>
                  </w:r>
                </w:p>
              </w:tc>
              <w:tc>
                <w:tcPr>
                  <w:tcW w:w="467" w:type="pct"/>
                  <w:vAlign w:val="bottom"/>
                </w:tcPr>
                <w:p w:rsidR="00AC2131" w:rsidRDefault="00AC2131" w:rsidP="00AC2131">
                  <w:pPr>
                    <w:pStyle w:val="TableBodyText"/>
                    <w:spacing w:after="0"/>
                    <w:ind w:left="0" w:right="57"/>
                  </w:pPr>
                  <w:r>
                    <w:t>5.3</w:t>
                  </w:r>
                </w:p>
              </w:tc>
              <w:tc>
                <w:tcPr>
                  <w:tcW w:w="467" w:type="pct"/>
                  <w:shd w:val="clear" w:color="auto" w:fill="auto"/>
                  <w:vAlign w:val="bottom"/>
                </w:tcPr>
                <w:p w:rsidR="00AC2131" w:rsidRDefault="00AC2131" w:rsidP="00AC2131">
                  <w:pPr>
                    <w:pStyle w:val="TableBodyText"/>
                    <w:spacing w:after="0"/>
                    <w:ind w:left="0" w:right="57"/>
                  </w:pPr>
                  <w:r>
                    <w:t>6.2</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Enterprise Connect Innovation Centres</w:t>
                  </w:r>
                </w:p>
              </w:tc>
              <w:tc>
                <w:tcPr>
                  <w:tcW w:w="469"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2.6</w:t>
                  </w:r>
                </w:p>
              </w:tc>
              <w:tc>
                <w:tcPr>
                  <w:tcW w:w="467" w:type="pct"/>
                  <w:shd w:val="clear" w:color="auto" w:fill="auto"/>
                  <w:vAlign w:val="bottom"/>
                </w:tcPr>
                <w:p w:rsidR="00AC2131" w:rsidRDefault="00AC2131" w:rsidP="00AC2131">
                  <w:pPr>
                    <w:pStyle w:val="TableBodyText"/>
                    <w:spacing w:after="0"/>
                    <w:ind w:left="0" w:right="57"/>
                  </w:pPr>
                  <w:r>
                    <w:t>0.1</w:t>
                  </w:r>
                </w:p>
              </w:tc>
              <w:tc>
                <w:tcPr>
                  <w:tcW w:w="463"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Indigenous Tourism Business Ready Program</w:t>
                  </w:r>
                </w:p>
              </w:tc>
              <w:tc>
                <w:tcPr>
                  <w:tcW w:w="469"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9"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1.0</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-0.5</w:t>
                  </w:r>
                </w:p>
              </w:tc>
              <w:tc>
                <w:tcPr>
                  <w:tcW w:w="463" w:type="pct"/>
                  <w:shd w:val="clear" w:color="auto" w:fill="auto"/>
                  <w:vAlign w:val="bottom"/>
                </w:tcPr>
                <w:p w:rsidR="00AC2131" w:rsidRDefault="00AC2131" w:rsidP="00AC2131">
                  <w:pPr>
                    <w:pStyle w:val="TableBodyText"/>
                    <w:spacing w:after="0"/>
                    <w:ind w:left="0" w:right="57"/>
                  </w:pPr>
                  <w:r>
                    <w:t>17.6</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0.2</w:t>
                  </w:r>
                </w:p>
              </w:tc>
              <w:tc>
                <w:tcPr>
                  <w:tcW w:w="463"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 xml:space="preserve">Small business </w:t>
                  </w:r>
                  <w:r>
                    <w:rPr>
                      <w:rFonts w:ascii="Arial" w:hAnsi="Arial" w:cs="Arial"/>
                      <w:color w:val="000000"/>
                      <w:sz w:val="18"/>
                      <w:szCs w:val="18"/>
                    </w:rPr>
                    <w:t>capital gains tax</w:t>
                  </w:r>
                  <w:r w:rsidRPr="002056C2">
                    <w:rPr>
                      <w:rFonts w:ascii="Arial" w:hAnsi="Arial" w:cs="Arial"/>
                      <w:color w:val="000000"/>
                      <w:sz w:val="18"/>
                      <w:szCs w:val="18"/>
                    </w:rPr>
                    <w:t xml:space="preserve"> 50 per cent reduction</w:t>
                  </w:r>
                </w:p>
              </w:tc>
              <w:tc>
                <w:tcPr>
                  <w:tcW w:w="469" w:type="pct"/>
                  <w:vAlign w:val="bottom"/>
                </w:tcPr>
                <w:p w:rsidR="00AC2131" w:rsidRDefault="00AC2131" w:rsidP="00AC2131">
                  <w:pPr>
                    <w:pStyle w:val="TableBodyText"/>
                    <w:spacing w:after="0"/>
                    <w:ind w:left="0" w:right="57"/>
                  </w:pPr>
                  <w:r>
                    <w:t>4.7</w:t>
                  </w:r>
                </w:p>
              </w:tc>
              <w:tc>
                <w:tcPr>
                  <w:tcW w:w="467" w:type="pct"/>
                  <w:vAlign w:val="bottom"/>
                </w:tcPr>
                <w:p w:rsidR="00AC2131" w:rsidRDefault="00AC2131" w:rsidP="00AC2131">
                  <w:pPr>
                    <w:pStyle w:val="TableBodyText"/>
                    <w:spacing w:after="0"/>
                    <w:ind w:left="0" w:right="57"/>
                  </w:pPr>
                  <w:r>
                    <w:t>2.3</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4.4</w:t>
                  </w:r>
                </w:p>
              </w:tc>
              <w:tc>
                <w:tcPr>
                  <w:tcW w:w="467" w:type="pct"/>
                  <w:shd w:val="clear" w:color="auto" w:fill="auto"/>
                  <w:vAlign w:val="bottom"/>
                </w:tcPr>
                <w:p w:rsidR="00AC2131" w:rsidRDefault="00AC2131" w:rsidP="00AC2131">
                  <w:pPr>
                    <w:pStyle w:val="TableBodyText"/>
                    <w:spacing w:after="0"/>
                    <w:ind w:left="0" w:right="57"/>
                  </w:pPr>
                  <w:r>
                    <w:t>4.5</w:t>
                  </w:r>
                </w:p>
              </w:tc>
              <w:tc>
                <w:tcPr>
                  <w:tcW w:w="463" w:type="pct"/>
                  <w:shd w:val="clear" w:color="auto" w:fill="auto"/>
                  <w:vAlign w:val="bottom"/>
                </w:tcPr>
                <w:p w:rsidR="00AC2131" w:rsidRDefault="00AC2131" w:rsidP="00AC2131">
                  <w:pPr>
                    <w:pStyle w:val="TableBodyText"/>
                    <w:spacing w:after="0"/>
                    <w:ind w:left="0" w:right="57"/>
                  </w:pPr>
                  <w:r>
                    <w:t>4.8</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 xml:space="preserve">Small business </w:t>
                  </w:r>
                  <w:r>
                    <w:rPr>
                      <w:rFonts w:ascii="Arial" w:hAnsi="Arial" w:cs="Arial"/>
                      <w:color w:val="000000"/>
                      <w:sz w:val="18"/>
                      <w:szCs w:val="18"/>
                    </w:rPr>
                    <w:t>capital gains tax</w:t>
                  </w:r>
                  <w:r w:rsidRPr="002056C2">
                    <w:rPr>
                      <w:rFonts w:ascii="Arial" w:hAnsi="Arial" w:cs="Arial"/>
                      <w:color w:val="000000"/>
                      <w:sz w:val="18"/>
                      <w:szCs w:val="18"/>
                    </w:rPr>
                    <w:t xml:space="preserve"> retirement exemption</w:t>
                  </w:r>
                </w:p>
              </w:tc>
              <w:tc>
                <w:tcPr>
                  <w:tcW w:w="469" w:type="pct"/>
                  <w:vAlign w:val="bottom"/>
                </w:tcPr>
                <w:p w:rsidR="00AC2131" w:rsidRDefault="00AC2131" w:rsidP="00AC2131">
                  <w:pPr>
                    <w:pStyle w:val="TableBodyText"/>
                    <w:spacing w:after="0"/>
                    <w:ind w:left="0" w:right="57"/>
                  </w:pPr>
                  <w:r>
                    <w:t>4.1</w:t>
                  </w:r>
                </w:p>
              </w:tc>
              <w:tc>
                <w:tcPr>
                  <w:tcW w:w="467" w:type="pct"/>
                  <w:vAlign w:val="bottom"/>
                </w:tcPr>
                <w:p w:rsidR="00AC2131" w:rsidRDefault="00AC2131" w:rsidP="00AC2131">
                  <w:pPr>
                    <w:pStyle w:val="TableBodyText"/>
                    <w:spacing w:after="0"/>
                    <w:ind w:left="0" w:right="57"/>
                  </w:pPr>
                  <w:r>
                    <w:t>2.4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 xml:space="preserve">Small business </w:t>
                  </w:r>
                  <w:r>
                    <w:rPr>
                      <w:rFonts w:ascii="Arial" w:hAnsi="Arial" w:cs="Arial"/>
                      <w:color w:val="000000"/>
                      <w:sz w:val="18"/>
                      <w:szCs w:val="18"/>
                    </w:rPr>
                    <w:t>capital gains tax</w:t>
                  </w:r>
                  <w:r w:rsidRPr="002056C2">
                    <w:rPr>
                      <w:rFonts w:ascii="Arial" w:hAnsi="Arial" w:cs="Arial"/>
                      <w:color w:val="000000"/>
                      <w:sz w:val="18"/>
                      <w:szCs w:val="18"/>
                    </w:rPr>
                    <w:t xml:space="preserve"> rollover deferral</w:t>
                  </w:r>
                </w:p>
              </w:tc>
              <w:tc>
                <w:tcPr>
                  <w:tcW w:w="469"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Small business Online Program</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2.3</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Small business programs</w:t>
                  </w:r>
                </w:p>
              </w:tc>
              <w:tc>
                <w:tcPr>
                  <w:tcW w:w="469"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South East South Australia Innovation and Investment Fund</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0.1</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Structural Adjustment Fund for South Australia</w:t>
                  </w:r>
                </w:p>
              </w:tc>
              <w:tc>
                <w:tcPr>
                  <w:tcW w:w="469"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Tasmanian Freight Equalisation Scheme</w:t>
                  </w:r>
                </w:p>
              </w:tc>
              <w:tc>
                <w:tcPr>
                  <w:tcW w:w="469"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67" w:type="pct"/>
                  <w:shd w:val="clear" w:color="auto" w:fill="auto"/>
                  <w:vAlign w:val="bottom"/>
                </w:tcPr>
                <w:p w:rsidR="00AC2131" w:rsidRDefault="00AC2131" w:rsidP="00AC2131">
                  <w:pPr>
                    <w:pStyle w:val="TableBodyText"/>
                    <w:spacing w:after="0"/>
                    <w:ind w:left="0" w:right="57"/>
                  </w:pPr>
                  <w:r>
                    <w:t>0.1</w:t>
                  </w:r>
                </w:p>
              </w:tc>
              <w:tc>
                <w:tcPr>
                  <w:tcW w:w="463"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Temporary Assistance for Tasmanian Exporters</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2056C2" w:rsidRDefault="00AC2131" w:rsidP="00AC2131">
                  <w:pPr>
                    <w:ind w:left="227"/>
                    <w:rPr>
                      <w:rFonts w:ascii="Arial" w:hAnsi="Arial" w:cs="Arial"/>
                      <w:color w:val="000000"/>
                      <w:sz w:val="18"/>
                      <w:szCs w:val="18"/>
                    </w:rPr>
                  </w:pPr>
                  <w:r w:rsidRPr="002056C2">
                    <w:rPr>
                      <w:rFonts w:ascii="Arial" w:hAnsi="Arial" w:cs="Arial"/>
                      <w:color w:val="000000"/>
                      <w:sz w:val="18"/>
                      <w:szCs w:val="18"/>
                    </w:rPr>
                    <w:t>The Small Business and General Business Tax Break</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6.7</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2.5</w:t>
                  </w:r>
                </w:p>
              </w:tc>
              <w:tc>
                <w:tcPr>
                  <w:tcW w:w="467" w:type="pct"/>
                  <w:shd w:val="clear" w:color="auto" w:fill="auto"/>
                  <w:vAlign w:val="bottom"/>
                </w:tcPr>
                <w:p w:rsidR="00AC2131" w:rsidRDefault="00AC2131" w:rsidP="00AC2131">
                  <w:pPr>
                    <w:pStyle w:val="TableBodyText"/>
                    <w:spacing w:after="0"/>
                    <w:ind w:left="0" w:right="57"/>
                  </w:pPr>
                  <w:r>
                    <w:t>0.9</w:t>
                  </w:r>
                </w:p>
              </w:tc>
              <w:tc>
                <w:tcPr>
                  <w:tcW w:w="463" w:type="pct"/>
                  <w:shd w:val="clear" w:color="auto" w:fill="auto"/>
                  <w:vAlign w:val="bottom"/>
                </w:tcPr>
                <w:p w:rsidR="00AC2131" w:rsidRDefault="00AC2131" w:rsidP="00AC2131">
                  <w:pPr>
                    <w:pStyle w:val="TableBodyText"/>
                    <w:spacing w:after="0"/>
                    <w:ind w:left="0" w:right="57"/>
                  </w:pPr>
                  <w:r>
                    <w:t>0.1</w:t>
                  </w:r>
                </w:p>
              </w:tc>
            </w:tr>
            <w:tr w:rsidR="00AC2131" w:rsidRPr="002056C2" w:rsidTr="00AC2131">
              <w:tc>
                <w:tcPr>
                  <w:tcW w:w="2200" w:type="pct"/>
                  <w:shd w:val="clear" w:color="auto" w:fill="auto"/>
                </w:tcPr>
                <w:p w:rsidR="00AC2131" w:rsidRPr="002056C2" w:rsidRDefault="00AC2131" w:rsidP="00AC2131">
                  <w:pPr>
                    <w:pStyle w:val="TableBodyText"/>
                    <w:spacing w:before="20" w:after="20"/>
                    <w:jc w:val="left"/>
                    <w:rPr>
                      <w:i/>
                    </w:rPr>
                  </w:pPr>
                  <w:r w:rsidRPr="002056C2">
                    <w:rPr>
                      <w:i/>
                    </w:rPr>
                    <w:t>Total</w:t>
                  </w:r>
                </w:p>
              </w:tc>
              <w:tc>
                <w:tcPr>
                  <w:tcW w:w="469" w:type="pct"/>
                  <w:vAlign w:val="bottom"/>
                </w:tcPr>
                <w:p w:rsidR="00AC2131" w:rsidRPr="00004210" w:rsidRDefault="00AC2131" w:rsidP="00AC2131">
                  <w:pPr>
                    <w:pStyle w:val="TableBodyText"/>
                    <w:spacing w:before="20" w:after="20"/>
                    <w:ind w:left="0" w:right="57"/>
                    <w:rPr>
                      <w:i/>
                    </w:rPr>
                  </w:pPr>
                  <w:r w:rsidRPr="00004210">
                    <w:rPr>
                      <w:i/>
                    </w:rPr>
                    <w:t>36.0</w:t>
                  </w:r>
                </w:p>
              </w:tc>
              <w:tc>
                <w:tcPr>
                  <w:tcW w:w="467" w:type="pct"/>
                  <w:vAlign w:val="bottom"/>
                </w:tcPr>
                <w:p w:rsidR="00AC2131" w:rsidRPr="00004210" w:rsidRDefault="00AC2131" w:rsidP="00AC2131">
                  <w:pPr>
                    <w:pStyle w:val="TableBodyText"/>
                    <w:spacing w:before="20" w:after="20"/>
                    <w:ind w:left="0" w:right="57"/>
                    <w:rPr>
                      <w:i/>
                    </w:rPr>
                  </w:pPr>
                  <w:r w:rsidRPr="00004210">
                    <w:rPr>
                      <w:i/>
                    </w:rPr>
                    <w:t>41.7</w:t>
                  </w:r>
                </w:p>
              </w:tc>
              <w:tc>
                <w:tcPr>
                  <w:tcW w:w="467" w:type="pct"/>
                  <w:vAlign w:val="bottom"/>
                </w:tcPr>
                <w:p w:rsidR="00AC2131" w:rsidRPr="00004210" w:rsidRDefault="00AC2131" w:rsidP="00AC2131">
                  <w:pPr>
                    <w:pStyle w:val="TableBodyText"/>
                    <w:spacing w:before="20" w:after="20"/>
                    <w:ind w:left="0" w:right="57"/>
                    <w:rPr>
                      <w:i/>
                    </w:rPr>
                  </w:pPr>
                  <w:r w:rsidRPr="00004210">
                    <w:rPr>
                      <w:i/>
                    </w:rPr>
                    <w:t>30.2</w:t>
                  </w:r>
                </w:p>
              </w:tc>
              <w:tc>
                <w:tcPr>
                  <w:tcW w:w="467" w:type="pct"/>
                  <w:vAlign w:val="bottom"/>
                </w:tcPr>
                <w:p w:rsidR="00AC2131" w:rsidRPr="00004210" w:rsidRDefault="00AC2131" w:rsidP="00AC2131">
                  <w:pPr>
                    <w:pStyle w:val="TableBodyText"/>
                    <w:spacing w:before="20" w:after="20"/>
                    <w:ind w:left="0" w:right="57"/>
                    <w:rPr>
                      <w:i/>
                    </w:rPr>
                  </w:pPr>
                  <w:r w:rsidRPr="00004210">
                    <w:rPr>
                      <w:i/>
                    </w:rPr>
                    <w:t>32.7</w:t>
                  </w:r>
                </w:p>
              </w:tc>
              <w:tc>
                <w:tcPr>
                  <w:tcW w:w="467" w:type="pct"/>
                  <w:shd w:val="clear" w:color="auto" w:fill="auto"/>
                  <w:vAlign w:val="bottom"/>
                </w:tcPr>
                <w:p w:rsidR="00AC2131" w:rsidRPr="00004210" w:rsidRDefault="00AC2131" w:rsidP="00AC2131">
                  <w:pPr>
                    <w:pStyle w:val="TableBodyText"/>
                    <w:spacing w:before="20" w:after="20"/>
                    <w:ind w:left="0" w:right="57"/>
                    <w:rPr>
                      <w:i/>
                    </w:rPr>
                  </w:pPr>
                  <w:r w:rsidRPr="00004210">
                    <w:rPr>
                      <w:i/>
                    </w:rPr>
                    <w:t>27.4</w:t>
                  </w:r>
                </w:p>
              </w:tc>
              <w:tc>
                <w:tcPr>
                  <w:tcW w:w="463" w:type="pct"/>
                  <w:shd w:val="clear" w:color="auto" w:fill="auto"/>
                  <w:vAlign w:val="bottom"/>
                </w:tcPr>
                <w:p w:rsidR="00AC2131" w:rsidRPr="00004210" w:rsidRDefault="00AC2131" w:rsidP="00AC2131">
                  <w:pPr>
                    <w:pStyle w:val="TableBodyText"/>
                    <w:spacing w:before="20" w:after="20"/>
                    <w:ind w:left="0" w:right="57"/>
                    <w:rPr>
                      <w:i/>
                    </w:rPr>
                  </w:pPr>
                  <w:r w:rsidRPr="00004210">
                    <w:rPr>
                      <w:i/>
                    </w:rPr>
                    <w:t>36.9</w:t>
                  </w:r>
                </w:p>
              </w:tc>
            </w:tr>
            <w:tr w:rsidR="00AC2131" w:rsidRPr="00FD557B" w:rsidTr="00AC2131">
              <w:tc>
                <w:tcPr>
                  <w:tcW w:w="2200" w:type="pct"/>
                  <w:shd w:val="clear" w:color="auto" w:fill="auto"/>
                </w:tcPr>
                <w:p w:rsidR="00AC2131" w:rsidRPr="00FD557B" w:rsidRDefault="00AC2131" w:rsidP="00AC2131">
                  <w:pPr>
                    <w:spacing w:before="40" w:after="40"/>
                    <w:rPr>
                      <w:rFonts w:ascii="Arial" w:hAnsi="Arial" w:cs="Arial"/>
                      <w:b/>
                      <w:sz w:val="18"/>
                      <w:szCs w:val="18"/>
                    </w:rPr>
                  </w:pPr>
                  <w:r w:rsidRPr="00FD557B">
                    <w:rPr>
                      <w:rFonts w:ascii="Arial" w:hAnsi="Arial" w:cs="Arial"/>
                      <w:b/>
                      <w:sz w:val="18"/>
                      <w:szCs w:val="18"/>
                    </w:rPr>
                    <w:t>Health care and social assistance</w:t>
                  </w:r>
                </w:p>
              </w:tc>
              <w:tc>
                <w:tcPr>
                  <w:tcW w:w="469" w:type="pct"/>
                  <w:vAlign w:val="bottom"/>
                </w:tcPr>
                <w:p w:rsidR="00AC2131" w:rsidRPr="00FD557B" w:rsidRDefault="00AC2131" w:rsidP="00AC2131">
                  <w:pPr>
                    <w:spacing w:before="40" w:after="40"/>
                    <w:jc w:val="right"/>
                    <w:rPr>
                      <w:rFonts w:ascii="Arial" w:hAnsi="Arial" w:cs="Arial"/>
                      <w:sz w:val="18"/>
                      <w:szCs w:val="18"/>
                    </w:rPr>
                  </w:pPr>
                </w:p>
              </w:tc>
              <w:tc>
                <w:tcPr>
                  <w:tcW w:w="467" w:type="pct"/>
                  <w:vAlign w:val="bottom"/>
                </w:tcPr>
                <w:p w:rsidR="00AC2131" w:rsidRPr="00FD557B" w:rsidRDefault="00AC2131" w:rsidP="00AC2131">
                  <w:pPr>
                    <w:spacing w:before="40" w:after="40"/>
                    <w:jc w:val="right"/>
                    <w:rPr>
                      <w:rFonts w:ascii="Arial" w:hAnsi="Arial" w:cs="Arial"/>
                      <w:sz w:val="18"/>
                      <w:szCs w:val="18"/>
                    </w:rPr>
                  </w:pPr>
                </w:p>
              </w:tc>
              <w:tc>
                <w:tcPr>
                  <w:tcW w:w="467" w:type="pct"/>
                  <w:vAlign w:val="bottom"/>
                </w:tcPr>
                <w:p w:rsidR="00AC2131" w:rsidRPr="00FD557B" w:rsidRDefault="00AC2131" w:rsidP="00AC2131">
                  <w:pPr>
                    <w:spacing w:before="40" w:after="40"/>
                    <w:jc w:val="right"/>
                    <w:rPr>
                      <w:rFonts w:ascii="Arial" w:hAnsi="Arial" w:cs="Arial"/>
                      <w:sz w:val="18"/>
                      <w:szCs w:val="18"/>
                    </w:rPr>
                  </w:pPr>
                </w:p>
              </w:tc>
              <w:tc>
                <w:tcPr>
                  <w:tcW w:w="467" w:type="pct"/>
                  <w:vAlign w:val="bottom"/>
                </w:tcPr>
                <w:p w:rsidR="00AC2131" w:rsidRPr="00FD557B" w:rsidRDefault="00AC2131" w:rsidP="00AC2131">
                  <w:pPr>
                    <w:spacing w:before="40" w:after="40"/>
                    <w:jc w:val="right"/>
                    <w:rPr>
                      <w:rFonts w:ascii="Arial" w:hAnsi="Arial" w:cs="Arial"/>
                      <w:sz w:val="18"/>
                      <w:szCs w:val="18"/>
                    </w:rPr>
                  </w:pPr>
                </w:p>
              </w:tc>
              <w:tc>
                <w:tcPr>
                  <w:tcW w:w="467" w:type="pct"/>
                  <w:shd w:val="clear" w:color="auto" w:fill="auto"/>
                  <w:vAlign w:val="bottom"/>
                </w:tcPr>
                <w:p w:rsidR="00AC2131" w:rsidRPr="00FD557B" w:rsidRDefault="00AC2131" w:rsidP="00AC2131">
                  <w:pPr>
                    <w:spacing w:before="40" w:after="40"/>
                    <w:jc w:val="right"/>
                    <w:rPr>
                      <w:rFonts w:ascii="Arial" w:hAnsi="Arial" w:cs="Arial"/>
                      <w:sz w:val="18"/>
                      <w:szCs w:val="18"/>
                    </w:rPr>
                  </w:pPr>
                </w:p>
              </w:tc>
              <w:tc>
                <w:tcPr>
                  <w:tcW w:w="463" w:type="pct"/>
                  <w:shd w:val="clear" w:color="auto" w:fill="auto"/>
                  <w:vAlign w:val="bottom"/>
                </w:tcPr>
                <w:p w:rsidR="00AC2131" w:rsidRPr="00FD557B" w:rsidRDefault="00AC2131" w:rsidP="00AC2131">
                  <w:pPr>
                    <w:spacing w:before="40" w:after="40"/>
                    <w:jc w:val="right"/>
                    <w:rPr>
                      <w:rFonts w:ascii="Arial" w:hAnsi="Arial" w:cs="Arial"/>
                      <w:sz w:val="18"/>
                      <w:szCs w:val="18"/>
                    </w:rPr>
                  </w:pPr>
                </w:p>
              </w:tc>
            </w:tr>
            <w:tr w:rsidR="00AC2131" w:rsidRPr="00FD557B" w:rsidTr="00AC2131">
              <w:tc>
                <w:tcPr>
                  <w:tcW w:w="2200" w:type="pct"/>
                  <w:shd w:val="clear" w:color="auto" w:fill="auto"/>
                </w:tcPr>
                <w:p w:rsidR="00AC2131" w:rsidRPr="00FD557B" w:rsidRDefault="00AC2131" w:rsidP="00AC2131">
                  <w:pPr>
                    <w:spacing w:before="40"/>
                    <w:ind w:left="113"/>
                    <w:rPr>
                      <w:rFonts w:ascii="Arial" w:hAnsi="Arial" w:cs="Arial"/>
                      <w:i/>
                      <w:sz w:val="18"/>
                      <w:szCs w:val="18"/>
                    </w:rPr>
                  </w:pPr>
                  <w:r w:rsidRPr="00FD557B">
                    <w:rPr>
                      <w:rFonts w:ascii="Arial" w:hAnsi="Arial" w:cs="Arial"/>
                      <w:i/>
                      <w:sz w:val="18"/>
                      <w:szCs w:val="18"/>
                    </w:rPr>
                    <w:t>Industry-specific measures</w:t>
                  </w:r>
                </w:p>
              </w:tc>
              <w:tc>
                <w:tcPr>
                  <w:tcW w:w="469" w:type="pct"/>
                  <w:vAlign w:val="bottom"/>
                </w:tcPr>
                <w:p w:rsidR="00AC2131" w:rsidRPr="00FD557B" w:rsidRDefault="00AC2131" w:rsidP="00AC2131">
                  <w:pPr>
                    <w:spacing w:before="40"/>
                    <w:ind w:left="113"/>
                    <w:jc w:val="right"/>
                    <w:rPr>
                      <w:rFonts w:ascii="Arial" w:hAnsi="Arial" w:cs="Arial"/>
                      <w:sz w:val="18"/>
                      <w:szCs w:val="18"/>
                    </w:rPr>
                  </w:pPr>
                </w:p>
              </w:tc>
              <w:tc>
                <w:tcPr>
                  <w:tcW w:w="467" w:type="pct"/>
                  <w:vAlign w:val="bottom"/>
                </w:tcPr>
                <w:p w:rsidR="00AC2131" w:rsidRPr="00FD557B" w:rsidRDefault="00AC2131" w:rsidP="00AC2131">
                  <w:pPr>
                    <w:spacing w:before="40"/>
                    <w:ind w:left="113"/>
                    <w:jc w:val="right"/>
                    <w:rPr>
                      <w:rFonts w:ascii="Arial" w:hAnsi="Arial" w:cs="Arial"/>
                      <w:sz w:val="18"/>
                      <w:szCs w:val="18"/>
                    </w:rPr>
                  </w:pPr>
                </w:p>
              </w:tc>
              <w:tc>
                <w:tcPr>
                  <w:tcW w:w="467" w:type="pct"/>
                  <w:vAlign w:val="bottom"/>
                </w:tcPr>
                <w:p w:rsidR="00AC2131" w:rsidRPr="00FD557B" w:rsidRDefault="00AC2131" w:rsidP="00AC2131">
                  <w:pPr>
                    <w:spacing w:before="40"/>
                    <w:ind w:left="113"/>
                    <w:jc w:val="right"/>
                    <w:rPr>
                      <w:rFonts w:ascii="Arial" w:hAnsi="Arial" w:cs="Arial"/>
                      <w:sz w:val="18"/>
                      <w:szCs w:val="18"/>
                    </w:rPr>
                  </w:pPr>
                </w:p>
              </w:tc>
              <w:tc>
                <w:tcPr>
                  <w:tcW w:w="467" w:type="pct"/>
                  <w:vAlign w:val="bottom"/>
                </w:tcPr>
                <w:p w:rsidR="00AC2131" w:rsidRPr="00FD557B" w:rsidRDefault="00AC2131" w:rsidP="00AC2131">
                  <w:pPr>
                    <w:spacing w:before="40"/>
                    <w:ind w:left="113"/>
                    <w:jc w:val="right"/>
                    <w:rPr>
                      <w:rFonts w:ascii="Arial" w:hAnsi="Arial" w:cs="Arial"/>
                      <w:sz w:val="18"/>
                      <w:szCs w:val="18"/>
                    </w:rPr>
                  </w:pPr>
                </w:p>
              </w:tc>
              <w:tc>
                <w:tcPr>
                  <w:tcW w:w="467" w:type="pct"/>
                  <w:shd w:val="clear" w:color="auto" w:fill="auto"/>
                  <w:vAlign w:val="bottom"/>
                </w:tcPr>
                <w:p w:rsidR="00AC2131" w:rsidRPr="00FD557B" w:rsidRDefault="00AC2131" w:rsidP="00AC2131">
                  <w:pPr>
                    <w:spacing w:before="40"/>
                    <w:ind w:left="113"/>
                    <w:jc w:val="right"/>
                    <w:rPr>
                      <w:rFonts w:ascii="Arial" w:hAnsi="Arial" w:cs="Arial"/>
                      <w:sz w:val="18"/>
                      <w:szCs w:val="18"/>
                    </w:rPr>
                  </w:pPr>
                </w:p>
              </w:tc>
              <w:tc>
                <w:tcPr>
                  <w:tcW w:w="463" w:type="pct"/>
                  <w:shd w:val="clear" w:color="auto" w:fill="auto"/>
                  <w:vAlign w:val="bottom"/>
                </w:tcPr>
                <w:p w:rsidR="00AC2131" w:rsidRPr="00FD557B" w:rsidRDefault="00AC2131" w:rsidP="00AC2131">
                  <w:pPr>
                    <w:spacing w:before="40"/>
                    <w:ind w:left="113"/>
                    <w:jc w:val="right"/>
                    <w:rPr>
                      <w:rFonts w:ascii="Arial" w:hAnsi="Arial" w:cs="Arial"/>
                      <w:sz w:val="18"/>
                      <w:szCs w:val="18"/>
                    </w:rPr>
                  </w:pPr>
                </w:p>
              </w:tc>
            </w:tr>
            <w:tr w:rsidR="00AC2131" w:rsidRPr="00FD557B" w:rsidTr="00AC2131">
              <w:tc>
                <w:tcPr>
                  <w:tcW w:w="2200" w:type="pct"/>
                  <w:shd w:val="clear" w:color="auto" w:fill="auto"/>
                </w:tcPr>
                <w:p w:rsidR="00AC2131" w:rsidRPr="00FD557B" w:rsidRDefault="00AC2131" w:rsidP="00AC2131">
                  <w:pPr>
                    <w:ind w:left="227"/>
                    <w:rPr>
                      <w:rFonts w:ascii="Arial" w:hAnsi="Arial" w:cs="Arial"/>
                      <w:sz w:val="18"/>
                      <w:szCs w:val="18"/>
                    </w:rPr>
                  </w:pPr>
                  <w:r w:rsidRPr="00FD557B">
                    <w:rPr>
                      <w:rFonts w:ascii="Arial" w:hAnsi="Arial" w:cs="Arial"/>
                      <w:sz w:val="18"/>
                      <w:szCs w:val="18"/>
                    </w:rPr>
                    <w:t>Premium Support Scheme</w:t>
                  </w:r>
                </w:p>
              </w:tc>
              <w:tc>
                <w:tcPr>
                  <w:tcW w:w="469" w:type="pct"/>
                  <w:vAlign w:val="bottom"/>
                </w:tcPr>
                <w:p w:rsidR="00AC2131" w:rsidRDefault="00AC2131" w:rsidP="00AC2131">
                  <w:pPr>
                    <w:pStyle w:val="TableBodyText"/>
                    <w:spacing w:after="0"/>
                    <w:ind w:left="0" w:right="57"/>
                  </w:pPr>
                  <w:r>
                    <w:t>16.1</w:t>
                  </w:r>
                </w:p>
              </w:tc>
              <w:tc>
                <w:tcPr>
                  <w:tcW w:w="467" w:type="pct"/>
                  <w:vAlign w:val="bottom"/>
                </w:tcPr>
                <w:p w:rsidR="00AC2131" w:rsidRDefault="00AC2131" w:rsidP="00AC2131">
                  <w:pPr>
                    <w:pStyle w:val="TableBodyText"/>
                    <w:spacing w:after="0"/>
                    <w:ind w:left="0" w:right="57"/>
                  </w:pPr>
                  <w:r>
                    <w:t>17.2</w:t>
                  </w:r>
                </w:p>
              </w:tc>
              <w:tc>
                <w:tcPr>
                  <w:tcW w:w="467" w:type="pct"/>
                  <w:vAlign w:val="bottom"/>
                </w:tcPr>
                <w:p w:rsidR="00AC2131" w:rsidRDefault="00AC2131" w:rsidP="00AC2131">
                  <w:pPr>
                    <w:pStyle w:val="TableBodyText"/>
                    <w:spacing w:after="0"/>
                    <w:ind w:left="0" w:right="57"/>
                  </w:pPr>
                  <w:r>
                    <w:t>13.1</w:t>
                  </w:r>
                </w:p>
              </w:tc>
              <w:tc>
                <w:tcPr>
                  <w:tcW w:w="467" w:type="pct"/>
                  <w:vAlign w:val="bottom"/>
                </w:tcPr>
                <w:p w:rsidR="00AC2131" w:rsidRDefault="00AC2131" w:rsidP="00AC2131">
                  <w:pPr>
                    <w:pStyle w:val="TableBodyText"/>
                    <w:spacing w:after="0"/>
                    <w:ind w:left="0" w:right="57"/>
                  </w:pPr>
                  <w:r>
                    <w:t>11.4</w:t>
                  </w:r>
                </w:p>
              </w:tc>
              <w:tc>
                <w:tcPr>
                  <w:tcW w:w="467" w:type="pct"/>
                  <w:shd w:val="clear" w:color="auto" w:fill="auto"/>
                  <w:vAlign w:val="bottom"/>
                </w:tcPr>
                <w:p w:rsidR="00AC2131" w:rsidRDefault="00AC2131" w:rsidP="00AC2131">
                  <w:pPr>
                    <w:pStyle w:val="TableBodyText"/>
                    <w:spacing w:after="0"/>
                    <w:ind w:left="0" w:right="57"/>
                  </w:pPr>
                  <w:r>
                    <w:t>9.3</w:t>
                  </w:r>
                </w:p>
              </w:tc>
              <w:tc>
                <w:tcPr>
                  <w:tcW w:w="463" w:type="pct"/>
                  <w:shd w:val="clear" w:color="auto" w:fill="auto"/>
                  <w:vAlign w:val="bottom"/>
                </w:tcPr>
                <w:p w:rsidR="00AC2131" w:rsidRDefault="00AC2131" w:rsidP="00AC2131">
                  <w:pPr>
                    <w:pStyle w:val="TableBodyText"/>
                    <w:spacing w:after="0"/>
                    <w:ind w:left="0" w:right="57"/>
                  </w:pPr>
                  <w:r>
                    <w:t>9.3</w:t>
                  </w:r>
                </w:p>
              </w:tc>
            </w:tr>
            <w:tr w:rsidR="00AC2131" w:rsidRPr="00FD557B" w:rsidTr="00AC2131">
              <w:tc>
                <w:tcPr>
                  <w:tcW w:w="2200" w:type="pct"/>
                  <w:shd w:val="clear" w:color="auto" w:fill="auto"/>
                </w:tcPr>
                <w:p w:rsidR="00AC2131" w:rsidRPr="00FD557B" w:rsidRDefault="00AC2131" w:rsidP="00AC2131">
                  <w:pPr>
                    <w:spacing w:before="40"/>
                    <w:ind w:left="113"/>
                    <w:rPr>
                      <w:rFonts w:ascii="Arial" w:hAnsi="Arial" w:cs="Arial"/>
                      <w:i/>
                      <w:sz w:val="18"/>
                      <w:szCs w:val="18"/>
                    </w:rPr>
                  </w:pPr>
                  <w:r w:rsidRPr="00FD557B">
                    <w:rPr>
                      <w:rFonts w:ascii="Arial" w:hAnsi="Arial" w:cs="Arial"/>
                      <w:i/>
                      <w:sz w:val="18"/>
                      <w:szCs w:val="18"/>
                    </w:rPr>
                    <w:t>General export measures</w:t>
                  </w:r>
                </w:p>
              </w:tc>
              <w:tc>
                <w:tcPr>
                  <w:tcW w:w="469" w:type="pct"/>
                  <w:vAlign w:val="bottom"/>
                </w:tcPr>
                <w:p w:rsidR="00AC2131" w:rsidRPr="00FD557B" w:rsidRDefault="00AC2131" w:rsidP="00AC2131">
                  <w:pPr>
                    <w:spacing w:before="40"/>
                    <w:ind w:left="113"/>
                    <w:jc w:val="right"/>
                    <w:rPr>
                      <w:rFonts w:ascii="Arial" w:hAnsi="Arial" w:cs="Arial"/>
                      <w:sz w:val="18"/>
                      <w:szCs w:val="18"/>
                    </w:rPr>
                  </w:pPr>
                </w:p>
              </w:tc>
              <w:tc>
                <w:tcPr>
                  <w:tcW w:w="467" w:type="pct"/>
                  <w:vAlign w:val="bottom"/>
                </w:tcPr>
                <w:p w:rsidR="00AC2131" w:rsidRPr="00FD557B" w:rsidRDefault="00AC2131" w:rsidP="00AC2131">
                  <w:pPr>
                    <w:spacing w:before="40"/>
                    <w:ind w:left="113"/>
                    <w:jc w:val="right"/>
                    <w:rPr>
                      <w:rFonts w:ascii="Arial" w:hAnsi="Arial" w:cs="Arial"/>
                      <w:sz w:val="18"/>
                      <w:szCs w:val="18"/>
                    </w:rPr>
                  </w:pPr>
                </w:p>
              </w:tc>
              <w:tc>
                <w:tcPr>
                  <w:tcW w:w="467" w:type="pct"/>
                  <w:vAlign w:val="bottom"/>
                </w:tcPr>
                <w:p w:rsidR="00AC2131" w:rsidRPr="00FD557B" w:rsidRDefault="00AC2131" w:rsidP="00AC2131">
                  <w:pPr>
                    <w:spacing w:before="40"/>
                    <w:ind w:left="113"/>
                    <w:jc w:val="right"/>
                    <w:rPr>
                      <w:rFonts w:ascii="Arial" w:hAnsi="Arial" w:cs="Arial"/>
                      <w:sz w:val="18"/>
                      <w:szCs w:val="18"/>
                    </w:rPr>
                  </w:pPr>
                </w:p>
              </w:tc>
              <w:tc>
                <w:tcPr>
                  <w:tcW w:w="467" w:type="pct"/>
                  <w:vAlign w:val="bottom"/>
                </w:tcPr>
                <w:p w:rsidR="00AC2131" w:rsidRPr="00FD557B" w:rsidRDefault="00AC2131" w:rsidP="00AC2131">
                  <w:pPr>
                    <w:spacing w:before="40"/>
                    <w:ind w:left="113"/>
                    <w:jc w:val="right"/>
                    <w:rPr>
                      <w:rFonts w:ascii="Arial" w:hAnsi="Arial" w:cs="Arial"/>
                      <w:sz w:val="18"/>
                      <w:szCs w:val="18"/>
                    </w:rPr>
                  </w:pPr>
                </w:p>
              </w:tc>
              <w:tc>
                <w:tcPr>
                  <w:tcW w:w="467" w:type="pct"/>
                  <w:shd w:val="clear" w:color="auto" w:fill="auto"/>
                  <w:vAlign w:val="bottom"/>
                </w:tcPr>
                <w:p w:rsidR="00AC2131" w:rsidRPr="00FD557B" w:rsidRDefault="00AC2131" w:rsidP="00AC2131">
                  <w:pPr>
                    <w:spacing w:before="40"/>
                    <w:ind w:left="113"/>
                    <w:jc w:val="right"/>
                    <w:rPr>
                      <w:rFonts w:ascii="Arial" w:hAnsi="Arial" w:cs="Arial"/>
                      <w:sz w:val="18"/>
                      <w:szCs w:val="18"/>
                    </w:rPr>
                  </w:pPr>
                </w:p>
              </w:tc>
              <w:tc>
                <w:tcPr>
                  <w:tcW w:w="463" w:type="pct"/>
                  <w:shd w:val="clear" w:color="auto" w:fill="auto"/>
                  <w:vAlign w:val="bottom"/>
                </w:tcPr>
                <w:p w:rsidR="00AC2131" w:rsidRPr="00FD557B" w:rsidRDefault="00AC2131" w:rsidP="00AC2131">
                  <w:pPr>
                    <w:spacing w:before="40"/>
                    <w:ind w:left="113"/>
                    <w:jc w:val="right"/>
                    <w:rPr>
                      <w:rFonts w:ascii="Arial" w:hAnsi="Arial" w:cs="Arial"/>
                      <w:sz w:val="18"/>
                      <w:szCs w:val="18"/>
                    </w:rPr>
                  </w:pPr>
                </w:p>
              </w:tc>
            </w:tr>
            <w:tr w:rsidR="00AC2131" w:rsidRPr="00FD557B" w:rsidTr="00AC2131">
              <w:tc>
                <w:tcPr>
                  <w:tcW w:w="2200" w:type="pct"/>
                  <w:shd w:val="clear" w:color="auto" w:fill="auto"/>
                </w:tcPr>
                <w:p w:rsidR="00AC2131" w:rsidRPr="00FD557B" w:rsidRDefault="00AC2131" w:rsidP="00AC2131">
                  <w:pPr>
                    <w:ind w:left="227"/>
                    <w:rPr>
                      <w:rFonts w:ascii="Arial" w:hAnsi="Arial" w:cs="Arial"/>
                      <w:sz w:val="18"/>
                      <w:szCs w:val="18"/>
                    </w:rPr>
                  </w:pPr>
                  <w:r w:rsidRPr="00FD557B">
                    <w:rPr>
                      <w:rFonts w:ascii="Arial" w:hAnsi="Arial" w:cs="Arial"/>
                      <w:sz w:val="18"/>
                      <w:szCs w:val="18"/>
                    </w:rPr>
                    <w:t>Export Market Development Grants Scheme</w:t>
                  </w:r>
                </w:p>
              </w:tc>
              <w:tc>
                <w:tcPr>
                  <w:tcW w:w="469"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1.6</w:t>
                  </w:r>
                </w:p>
              </w:tc>
              <w:tc>
                <w:tcPr>
                  <w:tcW w:w="467" w:type="pct"/>
                  <w:shd w:val="clear" w:color="auto" w:fill="auto"/>
                  <w:vAlign w:val="bottom"/>
                </w:tcPr>
                <w:p w:rsidR="00AC2131" w:rsidRDefault="00AC2131" w:rsidP="00AC2131">
                  <w:pPr>
                    <w:pStyle w:val="TableBodyText"/>
                    <w:spacing w:after="0"/>
                    <w:ind w:left="0" w:right="57"/>
                  </w:pPr>
                  <w:r>
                    <w:t>1.2</w:t>
                  </w:r>
                </w:p>
              </w:tc>
              <w:tc>
                <w:tcPr>
                  <w:tcW w:w="463" w:type="pct"/>
                  <w:shd w:val="clear" w:color="auto" w:fill="auto"/>
                  <w:vAlign w:val="bottom"/>
                </w:tcPr>
                <w:p w:rsidR="00AC2131" w:rsidRDefault="00AC2131" w:rsidP="00AC2131">
                  <w:pPr>
                    <w:pStyle w:val="TableBodyText"/>
                    <w:spacing w:after="0"/>
                    <w:ind w:left="0" w:right="57"/>
                  </w:pPr>
                  <w:r>
                    <w:t>2.2</w:t>
                  </w:r>
                </w:p>
              </w:tc>
            </w:tr>
            <w:tr w:rsidR="00AC2131" w:rsidRPr="00FD557B" w:rsidTr="00AC2131">
              <w:tc>
                <w:tcPr>
                  <w:tcW w:w="2200" w:type="pct"/>
                  <w:shd w:val="clear" w:color="auto" w:fill="auto"/>
                </w:tcPr>
                <w:p w:rsidR="00AC2131" w:rsidRPr="00FD557B" w:rsidRDefault="00AC2131" w:rsidP="00AC2131">
                  <w:pPr>
                    <w:ind w:left="227"/>
                    <w:rPr>
                      <w:rFonts w:ascii="Arial" w:hAnsi="Arial" w:cs="Arial"/>
                      <w:sz w:val="18"/>
                      <w:szCs w:val="18"/>
                    </w:rPr>
                  </w:pPr>
                  <w:r w:rsidRPr="00FD557B">
                    <w:rPr>
                      <w:rFonts w:ascii="Arial" w:hAnsi="Arial" w:cs="Arial"/>
                      <w:sz w:val="18"/>
                      <w:szCs w:val="18"/>
                    </w:rPr>
                    <w:t>TRADEX</w:t>
                  </w:r>
                </w:p>
              </w:tc>
              <w:tc>
                <w:tcPr>
                  <w:tcW w:w="469"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shd w:val="clear" w:color="auto" w:fill="auto"/>
                  <w:vAlign w:val="bottom"/>
                </w:tcPr>
                <w:p w:rsidR="00AC2131" w:rsidRDefault="00AC2131" w:rsidP="00AC2131">
                  <w:pPr>
                    <w:pStyle w:val="TableBodyText"/>
                    <w:spacing w:after="0"/>
                    <w:ind w:left="0" w:right="57"/>
                  </w:pPr>
                  <w:r>
                    <w:t>0.2</w:t>
                  </w:r>
                </w:p>
              </w:tc>
              <w:tc>
                <w:tcPr>
                  <w:tcW w:w="463"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tcPr>
                <w:p w:rsidR="00AC2131" w:rsidRPr="0085010C" w:rsidRDefault="00AC2131" w:rsidP="00AC2131">
                  <w:pPr>
                    <w:pStyle w:val="TableBodyText"/>
                    <w:spacing w:before="40" w:after="0"/>
                    <w:ind w:left="113"/>
                    <w:jc w:val="left"/>
                    <w:rPr>
                      <w:i/>
                    </w:rPr>
                  </w:pPr>
                  <w:r w:rsidRPr="0085010C">
                    <w:rPr>
                      <w:i/>
                    </w:rPr>
                    <w:t>General R&amp;D measures</w:t>
                  </w:r>
                </w:p>
              </w:tc>
              <w:tc>
                <w:tcPr>
                  <w:tcW w:w="469"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sidRPr="0085010C">
                    <w:rPr>
                      <w:rFonts w:ascii="Arial" w:hAnsi="Arial" w:cs="Arial"/>
                      <w:color w:val="000000"/>
                      <w:sz w:val="18"/>
                      <w:szCs w:val="18"/>
                    </w:rPr>
                    <w:t>COMET Program</w:t>
                  </w:r>
                </w:p>
              </w:tc>
              <w:tc>
                <w:tcPr>
                  <w:tcW w:w="469" w:type="pct"/>
                  <w:vAlign w:val="bottom"/>
                </w:tcPr>
                <w:p w:rsidR="00AC2131" w:rsidRDefault="00AC2131" w:rsidP="00AC2131">
                  <w:pPr>
                    <w:pStyle w:val="TableBodyText"/>
                    <w:spacing w:after="0"/>
                    <w:ind w:left="0" w:right="57"/>
                  </w:pPr>
                  <w:r>
                    <w:t>0.4</w:t>
                  </w:r>
                </w:p>
              </w:tc>
              <w:tc>
                <w:tcPr>
                  <w:tcW w:w="467" w:type="pct"/>
                  <w:vAlign w:val="bottom"/>
                </w:tcPr>
                <w:p w:rsidR="00AC2131" w:rsidRDefault="00AC2131" w:rsidP="00AC2131">
                  <w:pPr>
                    <w:pStyle w:val="TableBodyText"/>
                    <w:spacing w:after="0"/>
                    <w:ind w:left="0" w:right="57"/>
                  </w:pPr>
                  <w:r>
                    <w:t>0.3</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sidRPr="0085010C">
                    <w:rPr>
                      <w:rFonts w:ascii="Arial" w:hAnsi="Arial" w:cs="Arial"/>
                      <w:color w:val="000000"/>
                      <w:sz w:val="18"/>
                      <w:szCs w:val="18"/>
                    </w:rPr>
                    <w:t>Commercial Ready Program</w:t>
                  </w:r>
                </w:p>
              </w:tc>
              <w:tc>
                <w:tcPr>
                  <w:tcW w:w="469" w:type="pct"/>
                  <w:vAlign w:val="bottom"/>
                </w:tcPr>
                <w:p w:rsidR="00AC2131" w:rsidRDefault="00AC2131" w:rsidP="00AC2131">
                  <w:pPr>
                    <w:pStyle w:val="TableBodyText"/>
                    <w:spacing w:after="0"/>
                    <w:ind w:left="0" w:right="57"/>
                  </w:pPr>
                  <w:r>
                    <w:t>2.3</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sidRPr="0085010C">
                    <w:rPr>
                      <w:rFonts w:ascii="Arial" w:hAnsi="Arial" w:cs="Arial"/>
                      <w:color w:val="000000"/>
                      <w:sz w:val="18"/>
                      <w:szCs w:val="18"/>
                    </w:rPr>
                    <w:t>Commercialisation Australia</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1.4</w:t>
                  </w:r>
                </w:p>
              </w:tc>
              <w:tc>
                <w:tcPr>
                  <w:tcW w:w="467" w:type="pct"/>
                  <w:shd w:val="clear" w:color="auto" w:fill="auto"/>
                  <w:vAlign w:val="bottom"/>
                </w:tcPr>
                <w:p w:rsidR="00AC2131" w:rsidRDefault="00AC2131" w:rsidP="00AC2131">
                  <w:pPr>
                    <w:pStyle w:val="TableBodyText"/>
                    <w:spacing w:after="0"/>
                    <w:ind w:left="0" w:right="57"/>
                  </w:pPr>
                  <w:r>
                    <w:t>1.5</w:t>
                  </w:r>
                </w:p>
              </w:tc>
              <w:tc>
                <w:tcPr>
                  <w:tcW w:w="463" w:type="pct"/>
                  <w:shd w:val="clear" w:color="auto" w:fill="auto"/>
                  <w:vAlign w:val="bottom"/>
                </w:tcPr>
                <w:p w:rsidR="00AC2131" w:rsidRDefault="00AC2131" w:rsidP="00AC2131">
                  <w:pPr>
                    <w:pStyle w:val="TableBodyText"/>
                    <w:spacing w:after="0"/>
                    <w:ind w:left="0" w:right="57"/>
                  </w:pPr>
                  <w:r>
                    <w:t>3.2</w:t>
                  </w: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sidRPr="0085010C">
                    <w:rPr>
                      <w:rFonts w:ascii="Arial" w:hAnsi="Arial" w:cs="Arial"/>
                      <w:color w:val="000000"/>
                      <w:sz w:val="18"/>
                      <w:szCs w:val="18"/>
                    </w:rPr>
                    <w:t>Cooperative Research Centres</w:t>
                  </w:r>
                </w:p>
              </w:tc>
              <w:tc>
                <w:tcPr>
                  <w:tcW w:w="469" w:type="pct"/>
                  <w:vAlign w:val="bottom"/>
                </w:tcPr>
                <w:p w:rsidR="00AC2131" w:rsidRDefault="00AC2131" w:rsidP="00AC2131">
                  <w:pPr>
                    <w:pStyle w:val="TableBodyText"/>
                    <w:spacing w:after="0"/>
                    <w:ind w:left="0" w:right="57"/>
                  </w:pPr>
                  <w:r>
                    <w:t>23.9</w:t>
                  </w:r>
                </w:p>
              </w:tc>
              <w:tc>
                <w:tcPr>
                  <w:tcW w:w="467" w:type="pct"/>
                  <w:vAlign w:val="bottom"/>
                </w:tcPr>
                <w:p w:rsidR="00AC2131" w:rsidRDefault="00AC2131" w:rsidP="00AC2131">
                  <w:pPr>
                    <w:pStyle w:val="TableBodyText"/>
                    <w:spacing w:after="0"/>
                    <w:ind w:left="0" w:right="57"/>
                  </w:pPr>
                  <w:r>
                    <w:t>22.6</w:t>
                  </w:r>
                </w:p>
              </w:tc>
              <w:tc>
                <w:tcPr>
                  <w:tcW w:w="467" w:type="pct"/>
                  <w:vAlign w:val="bottom"/>
                </w:tcPr>
                <w:p w:rsidR="00AC2131" w:rsidRDefault="00AC2131" w:rsidP="00AC2131">
                  <w:pPr>
                    <w:pStyle w:val="TableBodyText"/>
                    <w:spacing w:after="0"/>
                    <w:ind w:left="0" w:right="57"/>
                  </w:pPr>
                  <w:r>
                    <w:t>29.6</w:t>
                  </w:r>
                </w:p>
              </w:tc>
              <w:tc>
                <w:tcPr>
                  <w:tcW w:w="467" w:type="pct"/>
                  <w:vAlign w:val="bottom"/>
                </w:tcPr>
                <w:p w:rsidR="00AC2131" w:rsidRDefault="00AC2131" w:rsidP="00AC2131">
                  <w:pPr>
                    <w:pStyle w:val="TableBodyText"/>
                    <w:spacing w:after="0"/>
                    <w:ind w:left="0" w:right="57"/>
                  </w:pPr>
                  <w:r>
                    <w:t>38.9</w:t>
                  </w:r>
                </w:p>
              </w:tc>
              <w:tc>
                <w:tcPr>
                  <w:tcW w:w="467" w:type="pct"/>
                  <w:shd w:val="clear" w:color="auto" w:fill="auto"/>
                  <w:vAlign w:val="bottom"/>
                </w:tcPr>
                <w:p w:rsidR="00AC2131" w:rsidRDefault="00AC2131" w:rsidP="00AC2131">
                  <w:pPr>
                    <w:pStyle w:val="TableBodyText"/>
                    <w:spacing w:after="0"/>
                    <w:ind w:left="0" w:right="57"/>
                  </w:pPr>
                  <w:r>
                    <w:t>35.4</w:t>
                  </w:r>
                </w:p>
              </w:tc>
              <w:tc>
                <w:tcPr>
                  <w:tcW w:w="463" w:type="pct"/>
                  <w:shd w:val="clear" w:color="auto" w:fill="auto"/>
                  <w:vAlign w:val="bottom"/>
                </w:tcPr>
                <w:p w:rsidR="00AC2131" w:rsidRDefault="00AC2131" w:rsidP="00AC2131">
                  <w:pPr>
                    <w:pStyle w:val="TableBodyText"/>
                    <w:spacing w:after="0"/>
                    <w:ind w:left="0" w:right="57"/>
                  </w:pPr>
                  <w:r>
                    <w:t>43.8</w:t>
                  </w: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sidRPr="0085010C">
                    <w:rPr>
                      <w:rFonts w:ascii="Arial" w:hAnsi="Arial" w:cs="Arial"/>
                      <w:color w:val="000000"/>
                      <w:sz w:val="18"/>
                      <w:szCs w:val="18"/>
                    </w:rPr>
                    <w:t>CSIRO</w:t>
                  </w:r>
                </w:p>
              </w:tc>
              <w:tc>
                <w:tcPr>
                  <w:tcW w:w="469" w:type="pct"/>
                  <w:vAlign w:val="bottom"/>
                </w:tcPr>
                <w:p w:rsidR="00AC2131" w:rsidRDefault="00AC2131" w:rsidP="00AC2131">
                  <w:pPr>
                    <w:pStyle w:val="TableBodyText"/>
                    <w:spacing w:after="0"/>
                    <w:ind w:left="0" w:right="57"/>
                  </w:pPr>
                  <w:r>
                    <w:t>40.5</w:t>
                  </w:r>
                </w:p>
              </w:tc>
              <w:tc>
                <w:tcPr>
                  <w:tcW w:w="467" w:type="pct"/>
                  <w:vAlign w:val="bottom"/>
                </w:tcPr>
                <w:p w:rsidR="00AC2131" w:rsidRDefault="00AC2131" w:rsidP="00AC2131">
                  <w:pPr>
                    <w:pStyle w:val="TableBodyText"/>
                    <w:spacing w:after="0"/>
                    <w:ind w:left="0" w:right="57"/>
                  </w:pPr>
                  <w:r>
                    <w:t>43.6</w:t>
                  </w:r>
                </w:p>
              </w:tc>
              <w:tc>
                <w:tcPr>
                  <w:tcW w:w="467" w:type="pct"/>
                  <w:vAlign w:val="bottom"/>
                </w:tcPr>
                <w:p w:rsidR="00AC2131" w:rsidRDefault="00AC2131" w:rsidP="00AC2131">
                  <w:pPr>
                    <w:pStyle w:val="TableBodyText"/>
                    <w:spacing w:after="0"/>
                    <w:ind w:left="0" w:right="57"/>
                  </w:pPr>
                  <w:r>
                    <w:t>44.6</w:t>
                  </w:r>
                </w:p>
              </w:tc>
              <w:tc>
                <w:tcPr>
                  <w:tcW w:w="467" w:type="pct"/>
                  <w:vAlign w:val="bottom"/>
                </w:tcPr>
                <w:p w:rsidR="00AC2131" w:rsidRDefault="00AC2131" w:rsidP="00AC2131">
                  <w:pPr>
                    <w:pStyle w:val="TableBodyText"/>
                    <w:spacing w:after="0"/>
                    <w:ind w:left="0" w:right="57"/>
                  </w:pPr>
                  <w:r>
                    <w:t>53.1</w:t>
                  </w:r>
                </w:p>
              </w:tc>
              <w:tc>
                <w:tcPr>
                  <w:tcW w:w="467" w:type="pct"/>
                  <w:shd w:val="clear" w:color="auto" w:fill="auto"/>
                  <w:vAlign w:val="bottom"/>
                </w:tcPr>
                <w:p w:rsidR="00AC2131" w:rsidRDefault="00AC2131" w:rsidP="00AC2131">
                  <w:pPr>
                    <w:pStyle w:val="TableBodyText"/>
                    <w:spacing w:after="0"/>
                    <w:ind w:left="0" w:right="57"/>
                  </w:pPr>
                  <w:r>
                    <w:t>53.4</w:t>
                  </w:r>
                </w:p>
              </w:tc>
              <w:tc>
                <w:tcPr>
                  <w:tcW w:w="463" w:type="pct"/>
                  <w:shd w:val="clear" w:color="auto" w:fill="auto"/>
                  <w:vAlign w:val="bottom"/>
                </w:tcPr>
                <w:p w:rsidR="00AC2131" w:rsidRDefault="00AC2131" w:rsidP="00AC2131">
                  <w:pPr>
                    <w:pStyle w:val="TableBodyText"/>
                    <w:spacing w:after="0"/>
                    <w:ind w:left="0" w:right="57"/>
                  </w:pPr>
                  <w:r>
                    <w:t>55.4</w:t>
                  </w: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sidRPr="0085010C">
                    <w:rPr>
                      <w:rFonts w:ascii="Arial" w:hAnsi="Arial" w:cs="Arial"/>
                      <w:color w:val="000000"/>
                      <w:sz w:val="18"/>
                      <w:szCs w:val="18"/>
                    </w:rPr>
                    <w:t>Innovation Investment Fund</w:t>
                  </w:r>
                </w:p>
              </w:tc>
              <w:tc>
                <w:tcPr>
                  <w:tcW w:w="469"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1.6</w:t>
                  </w:r>
                </w:p>
              </w:tc>
              <w:tc>
                <w:tcPr>
                  <w:tcW w:w="467" w:type="pct"/>
                  <w:shd w:val="clear" w:color="auto" w:fill="auto"/>
                  <w:vAlign w:val="bottom"/>
                </w:tcPr>
                <w:p w:rsidR="00AC2131" w:rsidRDefault="00AC2131" w:rsidP="00AC2131">
                  <w:pPr>
                    <w:pStyle w:val="TableBodyText"/>
                    <w:spacing w:after="0"/>
                    <w:ind w:left="0" w:right="57"/>
                  </w:pPr>
                  <w:r>
                    <w:t>1.9</w:t>
                  </w:r>
                </w:p>
              </w:tc>
              <w:tc>
                <w:tcPr>
                  <w:tcW w:w="463" w:type="pct"/>
                  <w:shd w:val="clear" w:color="auto" w:fill="auto"/>
                  <w:vAlign w:val="bottom"/>
                </w:tcPr>
                <w:p w:rsidR="00AC2131" w:rsidRDefault="00AC2131" w:rsidP="00AC2131">
                  <w:pPr>
                    <w:pStyle w:val="TableBodyText"/>
                    <w:spacing w:after="0"/>
                    <w:ind w:left="0" w:right="57"/>
                  </w:pPr>
                  <w:r>
                    <w:t>2.2</w:t>
                  </w: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sidRPr="0085010C">
                    <w:rPr>
                      <w:rFonts w:ascii="Arial" w:hAnsi="Arial" w:cs="Arial"/>
                      <w:color w:val="000000"/>
                      <w:sz w:val="18"/>
                      <w:szCs w:val="18"/>
                    </w:rPr>
                    <w:t>Premium R&amp;D tax concession</w:t>
                  </w:r>
                </w:p>
              </w:tc>
              <w:tc>
                <w:tcPr>
                  <w:tcW w:w="469"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1.0</w:t>
                  </w:r>
                </w:p>
              </w:tc>
              <w:tc>
                <w:tcPr>
                  <w:tcW w:w="467" w:type="pct"/>
                  <w:shd w:val="clear" w:color="auto" w:fill="auto"/>
                  <w:vAlign w:val="bottom"/>
                </w:tcPr>
                <w:p w:rsidR="00AC2131" w:rsidRDefault="00AC2131" w:rsidP="00AC2131">
                  <w:pPr>
                    <w:pStyle w:val="TableBodyText"/>
                    <w:spacing w:after="0"/>
                    <w:ind w:left="0" w:right="57"/>
                  </w:pPr>
                  <w:r>
                    <w:t>0.3</w:t>
                  </w:r>
                </w:p>
              </w:tc>
              <w:tc>
                <w:tcPr>
                  <w:tcW w:w="463"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Pr>
                      <w:rFonts w:ascii="Arial" w:hAnsi="Arial" w:cs="Arial"/>
                      <w:color w:val="000000"/>
                      <w:sz w:val="18"/>
                      <w:szCs w:val="18"/>
                    </w:rPr>
                    <w:t>Pre-seed fund</w:t>
                  </w:r>
                </w:p>
              </w:tc>
              <w:tc>
                <w:tcPr>
                  <w:tcW w:w="469"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sidRPr="0085010C">
                    <w:rPr>
                      <w:rFonts w:ascii="Arial" w:hAnsi="Arial" w:cs="Arial"/>
                      <w:color w:val="000000"/>
                      <w:sz w:val="18"/>
                      <w:szCs w:val="18"/>
                    </w:rPr>
                    <w:t>R&amp;D tax concession</w:t>
                  </w:r>
                </w:p>
              </w:tc>
              <w:tc>
                <w:tcPr>
                  <w:tcW w:w="469" w:type="pct"/>
                  <w:vAlign w:val="bottom"/>
                </w:tcPr>
                <w:p w:rsidR="00AC2131" w:rsidRDefault="00AC2131" w:rsidP="00AC2131">
                  <w:pPr>
                    <w:pStyle w:val="TableBodyText"/>
                    <w:spacing w:after="0"/>
                    <w:ind w:left="0" w:right="57"/>
                  </w:pPr>
                  <w:r>
                    <w:t>2.6</w:t>
                  </w:r>
                </w:p>
              </w:tc>
              <w:tc>
                <w:tcPr>
                  <w:tcW w:w="467" w:type="pct"/>
                  <w:vAlign w:val="bottom"/>
                </w:tcPr>
                <w:p w:rsidR="00AC2131" w:rsidRDefault="00AC2131" w:rsidP="00AC2131">
                  <w:pPr>
                    <w:pStyle w:val="TableBodyText"/>
                    <w:spacing w:after="0"/>
                    <w:ind w:left="0" w:right="57"/>
                  </w:pPr>
                  <w:r>
                    <w:t>4.0</w:t>
                  </w:r>
                </w:p>
              </w:tc>
              <w:tc>
                <w:tcPr>
                  <w:tcW w:w="467" w:type="pct"/>
                  <w:vAlign w:val="bottom"/>
                </w:tcPr>
                <w:p w:rsidR="00AC2131" w:rsidRDefault="00AC2131" w:rsidP="00AC2131">
                  <w:pPr>
                    <w:pStyle w:val="TableBodyText"/>
                    <w:spacing w:after="0"/>
                    <w:ind w:left="0" w:right="57"/>
                  </w:pPr>
                  <w:r>
                    <w:t>4.0</w:t>
                  </w:r>
                </w:p>
              </w:tc>
              <w:tc>
                <w:tcPr>
                  <w:tcW w:w="467" w:type="pct"/>
                  <w:vAlign w:val="bottom"/>
                </w:tcPr>
                <w:p w:rsidR="00AC2131" w:rsidRDefault="00AC2131" w:rsidP="00AC2131">
                  <w:pPr>
                    <w:pStyle w:val="TableBodyText"/>
                    <w:spacing w:after="0"/>
                    <w:ind w:left="0" w:right="57"/>
                  </w:pPr>
                  <w:r>
                    <w:t>4.2</w:t>
                  </w:r>
                </w:p>
              </w:tc>
              <w:tc>
                <w:tcPr>
                  <w:tcW w:w="467" w:type="pct"/>
                  <w:shd w:val="clear" w:color="auto" w:fill="auto"/>
                  <w:vAlign w:val="bottom"/>
                </w:tcPr>
                <w:p w:rsidR="00AC2131" w:rsidRDefault="00AC2131" w:rsidP="00AC2131">
                  <w:pPr>
                    <w:pStyle w:val="TableBodyText"/>
                    <w:spacing w:after="0"/>
                    <w:ind w:left="0" w:right="57"/>
                  </w:pPr>
                  <w:r>
                    <w:t>1.9</w:t>
                  </w:r>
                </w:p>
              </w:tc>
              <w:tc>
                <w:tcPr>
                  <w:tcW w:w="463" w:type="pct"/>
                  <w:shd w:val="clear" w:color="auto" w:fill="auto"/>
                  <w:vAlign w:val="bottom"/>
                </w:tcPr>
                <w:p w:rsidR="00AC2131" w:rsidRDefault="00AC2131" w:rsidP="00AC2131">
                  <w:pPr>
                    <w:pStyle w:val="TableBodyText"/>
                    <w:spacing w:after="0"/>
                    <w:ind w:left="0" w:right="57"/>
                  </w:pPr>
                  <w:r>
                    <w:t>0.6</w:t>
                  </w: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-2.3</w:t>
                  </w: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4.9</w:t>
                  </w:r>
                </w:p>
              </w:tc>
              <w:tc>
                <w:tcPr>
                  <w:tcW w:w="463" w:type="pct"/>
                  <w:shd w:val="clear" w:color="auto" w:fill="auto"/>
                  <w:vAlign w:val="bottom"/>
                </w:tcPr>
                <w:p w:rsidR="00AC2131" w:rsidRDefault="00AC2131" w:rsidP="00AC2131">
                  <w:pPr>
                    <w:pStyle w:val="TableBodyText"/>
                    <w:spacing w:after="0"/>
                    <w:ind w:left="0" w:right="57"/>
                  </w:pPr>
                  <w:r>
                    <w:t>3.0</w:t>
                  </w:r>
                </w:p>
              </w:tc>
            </w:tr>
            <w:tr w:rsidR="00AC2131" w:rsidTr="00AC2131">
              <w:tc>
                <w:tcPr>
                  <w:tcW w:w="2200" w:type="pct"/>
                  <w:shd w:val="clear" w:color="auto" w:fill="auto"/>
                  <w:vAlign w:val="bottom"/>
                </w:tcPr>
                <w:p w:rsidR="00AC2131" w:rsidRPr="0085010C"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4.3</w:t>
                  </w:r>
                </w:p>
              </w:tc>
              <w:tc>
                <w:tcPr>
                  <w:tcW w:w="463" w:type="pct"/>
                  <w:shd w:val="clear" w:color="auto" w:fill="auto"/>
                  <w:vAlign w:val="bottom"/>
                </w:tcPr>
                <w:p w:rsidR="00AC2131" w:rsidRDefault="00AC2131" w:rsidP="00AC2131">
                  <w:pPr>
                    <w:pStyle w:val="TableBodyText"/>
                    <w:spacing w:after="0"/>
                    <w:ind w:left="0" w:right="57"/>
                  </w:pPr>
                  <w:r>
                    <w:t>7.6</w:t>
                  </w:r>
                </w:p>
              </w:tc>
            </w:tr>
            <w:tr w:rsidR="00AC2131" w:rsidTr="00AC2131">
              <w:tc>
                <w:tcPr>
                  <w:tcW w:w="2200" w:type="pct"/>
                  <w:tcBorders>
                    <w:bottom w:val="single" w:sz="6" w:space="0" w:color="BFBFBF"/>
                  </w:tcBorders>
                  <w:shd w:val="clear" w:color="auto" w:fill="auto"/>
                  <w:vAlign w:val="bottom"/>
                </w:tcPr>
                <w:p w:rsidR="00AC2131" w:rsidRPr="0085010C"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9" w:type="pct"/>
                  <w:tcBorders>
                    <w:bottom w:val="single" w:sz="6" w:space="0" w:color="BFBFBF"/>
                  </w:tcBorders>
                  <w:vAlign w:val="bottom"/>
                </w:tcPr>
                <w:p w:rsidR="00AC2131" w:rsidRDefault="00AC2131" w:rsidP="00AC2131">
                  <w:pPr>
                    <w:pStyle w:val="TableBodyText"/>
                    <w:spacing w:after="0"/>
                    <w:ind w:left="0" w:right="57"/>
                  </w:pPr>
                  <w:r>
                    <w:t>6.7</w:t>
                  </w:r>
                </w:p>
              </w:tc>
              <w:tc>
                <w:tcPr>
                  <w:tcW w:w="467" w:type="pct"/>
                  <w:tcBorders>
                    <w:bottom w:val="single" w:sz="6" w:space="0" w:color="BFBFBF"/>
                  </w:tcBorders>
                  <w:vAlign w:val="bottom"/>
                </w:tcPr>
                <w:p w:rsidR="00AC2131" w:rsidRDefault="00AC2131" w:rsidP="00AC2131">
                  <w:pPr>
                    <w:pStyle w:val="TableBodyText"/>
                    <w:spacing w:after="0"/>
                    <w:ind w:left="0" w:right="57"/>
                  </w:pPr>
                  <w:r>
                    <w:t>8.9</w:t>
                  </w:r>
                </w:p>
              </w:tc>
              <w:tc>
                <w:tcPr>
                  <w:tcW w:w="467" w:type="pct"/>
                  <w:tcBorders>
                    <w:bottom w:val="single" w:sz="6" w:space="0" w:color="BFBFBF"/>
                  </w:tcBorders>
                  <w:vAlign w:val="bottom"/>
                </w:tcPr>
                <w:p w:rsidR="00AC2131" w:rsidRDefault="00AC2131" w:rsidP="00AC2131">
                  <w:pPr>
                    <w:pStyle w:val="TableBodyText"/>
                    <w:spacing w:after="0"/>
                    <w:ind w:left="0" w:right="57"/>
                  </w:pPr>
                  <w:r>
                    <w:t>4.9</w:t>
                  </w:r>
                </w:p>
              </w:tc>
              <w:tc>
                <w:tcPr>
                  <w:tcW w:w="467" w:type="pct"/>
                  <w:tcBorders>
                    <w:bottom w:val="single" w:sz="6" w:space="0" w:color="BFBFBF"/>
                  </w:tcBorders>
                  <w:vAlign w:val="bottom"/>
                </w:tcPr>
                <w:p w:rsidR="00AC2131" w:rsidRDefault="00AC2131" w:rsidP="00AC2131">
                  <w:pPr>
                    <w:pStyle w:val="TableBodyText"/>
                    <w:spacing w:after="0"/>
                    <w:ind w:left="0" w:right="57"/>
                  </w:pPr>
                  <w:r>
                    <w:t>5.5</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3"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640"/>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71"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798"/>
              <w:gridCol w:w="794"/>
              <w:gridCol w:w="794"/>
              <w:gridCol w:w="794"/>
              <w:gridCol w:w="794"/>
              <w:gridCol w:w="788"/>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9"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3"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59660A" w:rsidRDefault="00AC2131" w:rsidP="00AC2131">
                  <w:pPr>
                    <w:pStyle w:val="TableUnitsRow"/>
                    <w:spacing w:after="0"/>
                    <w:ind w:left="113"/>
                    <w:jc w:val="left"/>
                    <w:rPr>
                      <w:i/>
                    </w:rPr>
                  </w:pPr>
                  <w:r w:rsidRPr="0059660A">
                    <w:rPr>
                      <w:i/>
                    </w:rPr>
                    <w:t>Other measures</w:t>
                  </w:r>
                </w:p>
              </w:tc>
              <w:tc>
                <w:tcPr>
                  <w:tcW w:w="469"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3"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shd w:val="clear" w:color="auto" w:fill="auto"/>
                  <w:vAlign w:val="bottom"/>
                </w:tcPr>
                <w:p w:rsidR="00AC2131" w:rsidRPr="00FD557B" w:rsidRDefault="00AC2131" w:rsidP="00AC2131">
                  <w:pPr>
                    <w:ind w:left="227"/>
                    <w:rPr>
                      <w:rFonts w:ascii="Arial" w:hAnsi="Arial" w:cs="Arial"/>
                      <w:color w:val="000000"/>
                      <w:sz w:val="18"/>
                      <w:szCs w:val="18"/>
                    </w:rPr>
                  </w:pPr>
                  <w:r w:rsidRPr="00FD557B">
                    <w:rPr>
                      <w:rFonts w:ascii="Arial" w:hAnsi="Arial" w:cs="Arial"/>
                      <w:color w:val="000000"/>
                      <w:sz w:val="18"/>
                      <w:szCs w:val="18"/>
                    </w:rPr>
                    <w:t>25 per cent entrepreneurs' tax offset</w:t>
                  </w:r>
                </w:p>
              </w:tc>
              <w:tc>
                <w:tcPr>
                  <w:tcW w:w="469" w:type="pct"/>
                  <w:vAlign w:val="bottom"/>
                </w:tcPr>
                <w:p w:rsidR="00AC2131" w:rsidRDefault="00AC2131" w:rsidP="00AC2131">
                  <w:pPr>
                    <w:pStyle w:val="TableBodyText"/>
                    <w:spacing w:after="0"/>
                    <w:ind w:left="0" w:right="57"/>
                  </w:pPr>
                  <w:r>
                    <w:t>12.7</w:t>
                  </w:r>
                </w:p>
              </w:tc>
              <w:tc>
                <w:tcPr>
                  <w:tcW w:w="467" w:type="pct"/>
                  <w:vAlign w:val="bottom"/>
                </w:tcPr>
                <w:p w:rsidR="00AC2131" w:rsidRDefault="00AC2131" w:rsidP="00AC2131">
                  <w:pPr>
                    <w:pStyle w:val="TableBodyText"/>
                    <w:spacing w:after="0"/>
                    <w:ind w:left="0" w:right="57"/>
                  </w:pPr>
                  <w:r>
                    <w:t>10.4</w:t>
                  </w:r>
                </w:p>
              </w:tc>
              <w:tc>
                <w:tcPr>
                  <w:tcW w:w="467" w:type="pct"/>
                  <w:vAlign w:val="bottom"/>
                </w:tcPr>
                <w:p w:rsidR="00AC2131" w:rsidRDefault="00AC2131" w:rsidP="00AC2131">
                  <w:pPr>
                    <w:pStyle w:val="TableBodyText"/>
                    <w:spacing w:after="0"/>
                    <w:ind w:left="0" w:right="57"/>
                  </w:pPr>
                  <w:r>
                    <w:t>10.2</w:t>
                  </w:r>
                </w:p>
              </w:tc>
              <w:tc>
                <w:tcPr>
                  <w:tcW w:w="467" w:type="pct"/>
                  <w:vAlign w:val="bottom"/>
                </w:tcPr>
                <w:p w:rsidR="00AC2131" w:rsidRDefault="00AC2131" w:rsidP="00AC2131">
                  <w:pPr>
                    <w:pStyle w:val="TableBodyText"/>
                    <w:spacing w:after="0"/>
                    <w:ind w:left="0" w:right="57"/>
                  </w:pPr>
                  <w:r>
                    <w:t>10.2</w:t>
                  </w:r>
                </w:p>
              </w:tc>
              <w:tc>
                <w:tcPr>
                  <w:tcW w:w="467" w:type="pct"/>
                  <w:shd w:val="clear" w:color="auto" w:fill="auto"/>
                  <w:vAlign w:val="bottom"/>
                </w:tcPr>
                <w:p w:rsidR="00AC2131" w:rsidRDefault="00AC2131" w:rsidP="00AC2131">
                  <w:pPr>
                    <w:pStyle w:val="TableBodyText"/>
                    <w:spacing w:after="0"/>
                    <w:ind w:left="0" w:right="57"/>
                  </w:pPr>
                  <w:r>
                    <w:t>11.6</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FD557B" w:rsidRDefault="00AC2131" w:rsidP="00AC2131">
                  <w:pPr>
                    <w:ind w:left="227"/>
                    <w:rPr>
                      <w:rFonts w:ascii="Arial" w:hAnsi="Arial" w:cs="Arial"/>
                      <w:color w:val="000000"/>
                      <w:sz w:val="18"/>
                      <w:szCs w:val="18"/>
                    </w:rPr>
                  </w:pPr>
                  <w:r w:rsidRPr="00FD557B">
                    <w:rPr>
                      <w:rFonts w:ascii="Arial" w:hAnsi="Arial" w:cs="Arial"/>
                      <w:color w:val="000000"/>
                      <w:sz w:val="18"/>
                      <w:szCs w:val="18"/>
                    </w:rPr>
                    <w:t>Enterprise Connect Innovation Centres</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shd w:val="clear" w:color="auto" w:fill="auto"/>
                  <w:vAlign w:val="bottom"/>
                </w:tcPr>
                <w:p w:rsidR="00AC2131" w:rsidRDefault="00AC2131" w:rsidP="00AC2131">
                  <w:pPr>
                    <w:pStyle w:val="TableBodyText"/>
                    <w:spacing w:after="0"/>
                    <w:ind w:left="0" w:right="57"/>
                  </w:pPr>
                  <w:r>
                    <w:t>0.1</w:t>
                  </w:r>
                </w:p>
              </w:tc>
              <w:tc>
                <w:tcPr>
                  <w:tcW w:w="463"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vAlign w:val="bottom"/>
                </w:tcPr>
                <w:p w:rsidR="00AC2131" w:rsidRPr="00FD557B" w:rsidRDefault="00AC2131" w:rsidP="00AC2131">
                  <w:pPr>
                    <w:ind w:left="227"/>
                    <w:rPr>
                      <w:rFonts w:ascii="Arial" w:hAnsi="Arial" w:cs="Arial"/>
                      <w:color w:val="000000"/>
                      <w:sz w:val="18"/>
                      <w:szCs w:val="18"/>
                    </w:rPr>
                  </w:pPr>
                  <w:r w:rsidRPr="00FD557B">
                    <w:rPr>
                      <w:rFonts w:ascii="Arial" w:hAnsi="Arial" w:cs="Arial"/>
                      <w:color w:val="000000"/>
                      <w:sz w:val="18"/>
                      <w:szCs w:val="18"/>
                    </w:rPr>
                    <w:t>Illawarra Region Innovation and Investment Fund</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2.0</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FD557B" w:rsidRDefault="00AC2131" w:rsidP="00AC2131">
                  <w:pPr>
                    <w:ind w:left="227"/>
                    <w:rPr>
                      <w:rFonts w:ascii="Arial" w:hAnsi="Arial" w:cs="Arial"/>
                      <w:color w:val="000000"/>
                      <w:sz w:val="18"/>
                      <w:szCs w:val="18"/>
                    </w:rPr>
                  </w:pPr>
                  <w:r w:rsidRPr="00FD557B">
                    <w:rPr>
                      <w:rFonts w:ascii="Arial" w:hAnsi="Arial" w:cs="Arial"/>
                      <w:color w:val="000000"/>
                      <w:sz w:val="18"/>
                      <w:szCs w:val="18"/>
                    </w:rPr>
                    <w:t>Industry Cooperative Innovation Program</w:t>
                  </w:r>
                </w:p>
              </w:tc>
              <w:tc>
                <w:tcPr>
                  <w:tcW w:w="469"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FD557B"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9" w:type="pct"/>
                  <w:vAlign w:val="bottom"/>
                </w:tcPr>
                <w:p w:rsidR="00AC2131" w:rsidRDefault="00AC2131" w:rsidP="00AC2131">
                  <w:pPr>
                    <w:pStyle w:val="TableBodyText"/>
                    <w:spacing w:after="0"/>
                    <w:ind w:left="0" w:right="57"/>
                  </w:pPr>
                  <w:r>
                    <w:t>3.0</w:t>
                  </w:r>
                </w:p>
              </w:tc>
              <w:tc>
                <w:tcPr>
                  <w:tcW w:w="467" w:type="pct"/>
                  <w:vAlign w:val="bottom"/>
                </w:tcPr>
                <w:p w:rsidR="00AC2131" w:rsidRDefault="00AC2131" w:rsidP="00AC2131">
                  <w:pPr>
                    <w:pStyle w:val="TableBodyText"/>
                    <w:spacing w:after="0"/>
                    <w:ind w:left="0" w:right="57"/>
                  </w:pPr>
                  <w:r>
                    <w:t>3.9</w:t>
                  </w:r>
                </w:p>
              </w:tc>
              <w:tc>
                <w:tcPr>
                  <w:tcW w:w="467" w:type="pct"/>
                  <w:vAlign w:val="bottom"/>
                </w:tcPr>
                <w:p w:rsidR="00AC2131" w:rsidRDefault="00AC2131" w:rsidP="00AC2131">
                  <w:pPr>
                    <w:pStyle w:val="TableBodyText"/>
                    <w:spacing w:after="0"/>
                    <w:ind w:left="0" w:right="57"/>
                  </w:pPr>
                  <w:r>
                    <w:t>6.4</w:t>
                  </w:r>
                </w:p>
              </w:tc>
              <w:tc>
                <w:tcPr>
                  <w:tcW w:w="467" w:type="pct"/>
                  <w:vAlign w:val="bottom"/>
                </w:tcPr>
                <w:p w:rsidR="00AC2131" w:rsidRDefault="00AC2131" w:rsidP="00AC2131">
                  <w:pPr>
                    <w:pStyle w:val="TableBodyText"/>
                    <w:spacing w:after="0"/>
                    <w:ind w:left="0" w:right="57"/>
                  </w:pPr>
                  <w:r>
                    <w:t>0.5</w:t>
                  </w:r>
                </w:p>
              </w:tc>
              <w:tc>
                <w:tcPr>
                  <w:tcW w:w="467" w:type="pct"/>
                  <w:shd w:val="clear" w:color="auto" w:fill="auto"/>
                  <w:vAlign w:val="bottom"/>
                </w:tcPr>
                <w:p w:rsidR="00AC2131" w:rsidRDefault="00AC2131" w:rsidP="00AC2131">
                  <w:pPr>
                    <w:pStyle w:val="TableBodyText"/>
                    <w:spacing w:after="0"/>
                    <w:ind w:left="0" w:right="57"/>
                  </w:pPr>
                  <w:r>
                    <w:t>-2.0</w:t>
                  </w:r>
                </w:p>
              </w:tc>
              <w:tc>
                <w:tcPr>
                  <w:tcW w:w="463" w:type="pct"/>
                  <w:shd w:val="clear" w:color="auto" w:fill="auto"/>
                  <w:vAlign w:val="bottom"/>
                </w:tcPr>
                <w:p w:rsidR="00AC2131" w:rsidRDefault="00AC2131" w:rsidP="00AC2131">
                  <w:pPr>
                    <w:pStyle w:val="TableBodyText"/>
                    <w:spacing w:after="0"/>
                    <w:ind w:left="0" w:right="57"/>
                  </w:pPr>
                  <w:r>
                    <w:t>69.9</w:t>
                  </w:r>
                </w:p>
              </w:tc>
            </w:tr>
            <w:tr w:rsidR="00AC2131" w:rsidTr="00AC2131">
              <w:tc>
                <w:tcPr>
                  <w:tcW w:w="2200" w:type="pct"/>
                  <w:shd w:val="clear" w:color="auto" w:fill="auto"/>
                  <w:vAlign w:val="bottom"/>
                </w:tcPr>
                <w:p w:rsidR="00AC2131" w:rsidRPr="00FD557B"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9"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1.9</w:t>
                  </w:r>
                </w:p>
              </w:tc>
              <w:tc>
                <w:tcPr>
                  <w:tcW w:w="467" w:type="pct"/>
                  <w:vAlign w:val="bottom"/>
                </w:tcPr>
                <w:p w:rsidR="00AC2131" w:rsidRDefault="00AC2131" w:rsidP="00AC2131">
                  <w:pPr>
                    <w:pStyle w:val="TableBodyText"/>
                    <w:spacing w:after="0"/>
                    <w:ind w:left="0" w:right="57"/>
                  </w:pPr>
                  <w:r>
                    <w:t>2.6</w:t>
                  </w:r>
                </w:p>
              </w:tc>
              <w:tc>
                <w:tcPr>
                  <w:tcW w:w="467" w:type="pct"/>
                  <w:shd w:val="clear" w:color="auto" w:fill="auto"/>
                  <w:vAlign w:val="bottom"/>
                </w:tcPr>
                <w:p w:rsidR="00AC2131" w:rsidRDefault="00AC2131" w:rsidP="00AC2131">
                  <w:pPr>
                    <w:pStyle w:val="TableBodyText"/>
                    <w:spacing w:after="0"/>
                    <w:ind w:left="0" w:right="57"/>
                  </w:pPr>
                  <w:r>
                    <w:t>2.7</w:t>
                  </w:r>
                </w:p>
              </w:tc>
              <w:tc>
                <w:tcPr>
                  <w:tcW w:w="463" w:type="pct"/>
                  <w:shd w:val="clear" w:color="auto" w:fill="auto"/>
                  <w:vAlign w:val="bottom"/>
                </w:tcPr>
                <w:p w:rsidR="00AC2131" w:rsidRDefault="00AC2131" w:rsidP="00AC2131">
                  <w:pPr>
                    <w:pStyle w:val="TableBodyText"/>
                    <w:spacing w:after="0"/>
                    <w:ind w:left="0" w:right="57"/>
                  </w:pPr>
                  <w:r>
                    <w:t>3.3</w:t>
                  </w:r>
                </w:p>
              </w:tc>
            </w:tr>
            <w:tr w:rsidR="00AC2131" w:rsidTr="00AC2131">
              <w:tc>
                <w:tcPr>
                  <w:tcW w:w="2200" w:type="pct"/>
                  <w:shd w:val="clear" w:color="auto" w:fill="auto"/>
                  <w:vAlign w:val="bottom"/>
                </w:tcPr>
                <w:p w:rsidR="00AC2131" w:rsidRPr="00FD557B" w:rsidRDefault="00AC2131" w:rsidP="00AC2131">
                  <w:pPr>
                    <w:ind w:left="227"/>
                    <w:rPr>
                      <w:rFonts w:ascii="Arial" w:hAnsi="Arial" w:cs="Arial"/>
                      <w:color w:val="000000"/>
                      <w:sz w:val="18"/>
                      <w:szCs w:val="18"/>
                    </w:rPr>
                  </w:pPr>
                  <w:r w:rsidRPr="00FD557B">
                    <w:rPr>
                      <w:rFonts w:ascii="Arial" w:hAnsi="Arial" w:cs="Arial"/>
                      <w:color w:val="000000"/>
                      <w:sz w:val="18"/>
                      <w:szCs w:val="18"/>
                    </w:rPr>
                    <w:t xml:space="preserve">Small business </w:t>
                  </w:r>
                  <w:r>
                    <w:rPr>
                      <w:rFonts w:ascii="Arial" w:hAnsi="Arial" w:cs="Arial"/>
                      <w:color w:val="000000"/>
                      <w:sz w:val="18"/>
                      <w:szCs w:val="18"/>
                    </w:rPr>
                    <w:t>capital gains tax</w:t>
                  </w:r>
                  <w:r w:rsidRPr="00FD557B">
                    <w:rPr>
                      <w:rFonts w:ascii="Arial" w:hAnsi="Arial" w:cs="Arial"/>
                      <w:color w:val="000000"/>
                      <w:sz w:val="18"/>
                      <w:szCs w:val="18"/>
                    </w:rPr>
                    <w:t xml:space="preserve"> 50 per cent reduction</w:t>
                  </w:r>
                </w:p>
              </w:tc>
              <w:tc>
                <w:tcPr>
                  <w:tcW w:w="469" w:type="pct"/>
                  <w:vAlign w:val="bottom"/>
                </w:tcPr>
                <w:p w:rsidR="00AC2131" w:rsidRDefault="00AC2131" w:rsidP="00AC2131">
                  <w:pPr>
                    <w:pStyle w:val="TableBodyText"/>
                    <w:spacing w:after="0"/>
                    <w:ind w:left="0" w:right="57"/>
                  </w:pPr>
                  <w:r>
                    <w:t>36.4</w:t>
                  </w:r>
                </w:p>
              </w:tc>
              <w:tc>
                <w:tcPr>
                  <w:tcW w:w="467" w:type="pct"/>
                  <w:vAlign w:val="bottom"/>
                </w:tcPr>
                <w:p w:rsidR="00AC2131" w:rsidRDefault="00AC2131" w:rsidP="00AC2131">
                  <w:pPr>
                    <w:pStyle w:val="TableBodyText"/>
                    <w:spacing w:after="0"/>
                    <w:ind w:left="0" w:right="57"/>
                  </w:pPr>
                  <w:r>
                    <w:t>18.1</w:t>
                  </w:r>
                </w:p>
              </w:tc>
              <w:tc>
                <w:tcPr>
                  <w:tcW w:w="467" w:type="pct"/>
                  <w:vAlign w:val="bottom"/>
                </w:tcPr>
                <w:p w:rsidR="00AC2131" w:rsidRDefault="00AC2131" w:rsidP="00AC2131">
                  <w:pPr>
                    <w:pStyle w:val="TableBodyText"/>
                    <w:spacing w:after="0"/>
                    <w:ind w:left="0" w:right="57"/>
                  </w:pPr>
                  <w:r>
                    <w:t>15.7</w:t>
                  </w:r>
                </w:p>
              </w:tc>
              <w:tc>
                <w:tcPr>
                  <w:tcW w:w="467" w:type="pct"/>
                  <w:vAlign w:val="bottom"/>
                </w:tcPr>
                <w:p w:rsidR="00AC2131" w:rsidRDefault="00AC2131" w:rsidP="00AC2131">
                  <w:pPr>
                    <w:pStyle w:val="TableBodyText"/>
                    <w:spacing w:after="0"/>
                    <w:ind w:left="0" w:right="57"/>
                  </w:pPr>
                  <w:r>
                    <w:t>19.3</w:t>
                  </w:r>
                </w:p>
              </w:tc>
              <w:tc>
                <w:tcPr>
                  <w:tcW w:w="467" w:type="pct"/>
                  <w:shd w:val="clear" w:color="auto" w:fill="auto"/>
                  <w:vAlign w:val="bottom"/>
                </w:tcPr>
                <w:p w:rsidR="00AC2131" w:rsidRDefault="00AC2131" w:rsidP="00AC2131">
                  <w:pPr>
                    <w:pStyle w:val="TableBodyText"/>
                    <w:spacing w:after="0"/>
                    <w:ind w:left="0" w:right="57"/>
                  </w:pPr>
                  <w:r>
                    <w:t>20.0</w:t>
                  </w:r>
                </w:p>
              </w:tc>
              <w:tc>
                <w:tcPr>
                  <w:tcW w:w="463" w:type="pct"/>
                  <w:shd w:val="clear" w:color="auto" w:fill="auto"/>
                  <w:vAlign w:val="bottom"/>
                </w:tcPr>
                <w:p w:rsidR="00AC2131" w:rsidRDefault="00AC2131" w:rsidP="00AC2131">
                  <w:pPr>
                    <w:pStyle w:val="TableBodyText"/>
                    <w:spacing w:after="0"/>
                    <w:ind w:left="0" w:right="57"/>
                  </w:pPr>
                  <w:r>
                    <w:t>21.1</w:t>
                  </w:r>
                </w:p>
              </w:tc>
            </w:tr>
            <w:tr w:rsidR="00AC2131" w:rsidTr="00AC2131">
              <w:tc>
                <w:tcPr>
                  <w:tcW w:w="2200" w:type="pct"/>
                  <w:shd w:val="clear" w:color="auto" w:fill="auto"/>
                  <w:vAlign w:val="bottom"/>
                </w:tcPr>
                <w:p w:rsidR="00AC2131" w:rsidRPr="00FD557B" w:rsidRDefault="00AC2131" w:rsidP="00AC2131">
                  <w:pPr>
                    <w:ind w:left="227"/>
                    <w:rPr>
                      <w:rFonts w:ascii="Arial" w:hAnsi="Arial" w:cs="Arial"/>
                      <w:color w:val="000000"/>
                      <w:sz w:val="18"/>
                      <w:szCs w:val="18"/>
                    </w:rPr>
                  </w:pPr>
                  <w:r w:rsidRPr="00FD557B">
                    <w:rPr>
                      <w:rFonts w:ascii="Arial" w:hAnsi="Arial" w:cs="Arial"/>
                      <w:color w:val="000000"/>
                      <w:sz w:val="18"/>
                      <w:szCs w:val="18"/>
                    </w:rPr>
                    <w:t xml:space="preserve">Small business </w:t>
                  </w:r>
                  <w:r>
                    <w:rPr>
                      <w:rFonts w:ascii="Arial" w:hAnsi="Arial" w:cs="Arial"/>
                      <w:color w:val="000000"/>
                      <w:sz w:val="18"/>
                      <w:szCs w:val="18"/>
                    </w:rPr>
                    <w:t>capital gains tax</w:t>
                  </w:r>
                  <w:r w:rsidRPr="00FD557B">
                    <w:rPr>
                      <w:rFonts w:ascii="Arial" w:hAnsi="Arial" w:cs="Arial"/>
                      <w:color w:val="000000"/>
                      <w:sz w:val="18"/>
                      <w:szCs w:val="18"/>
                    </w:rPr>
                    <w:t xml:space="preserve"> retirement exemption</w:t>
                  </w:r>
                </w:p>
              </w:tc>
              <w:tc>
                <w:tcPr>
                  <w:tcW w:w="469" w:type="pct"/>
                  <w:vAlign w:val="bottom"/>
                </w:tcPr>
                <w:p w:rsidR="00AC2131" w:rsidRDefault="00AC2131" w:rsidP="00AC2131">
                  <w:pPr>
                    <w:pStyle w:val="TableBodyText"/>
                    <w:spacing w:after="0"/>
                    <w:ind w:left="0" w:right="57"/>
                  </w:pPr>
                  <w:r>
                    <w:t>21.5</w:t>
                  </w:r>
                </w:p>
              </w:tc>
              <w:tc>
                <w:tcPr>
                  <w:tcW w:w="467" w:type="pct"/>
                  <w:vAlign w:val="bottom"/>
                </w:tcPr>
                <w:p w:rsidR="00AC2131" w:rsidRDefault="00AC2131" w:rsidP="00AC2131">
                  <w:pPr>
                    <w:pStyle w:val="TableBodyText"/>
                    <w:spacing w:after="0"/>
                    <w:ind w:left="0" w:right="57"/>
                  </w:pPr>
                  <w:r>
                    <w:t>15.5</w:t>
                  </w:r>
                </w:p>
              </w:tc>
              <w:tc>
                <w:tcPr>
                  <w:tcW w:w="467" w:type="pct"/>
                  <w:vAlign w:val="bottom"/>
                </w:tcPr>
                <w:p w:rsidR="00AC2131" w:rsidRDefault="00AC2131" w:rsidP="00AC2131">
                  <w:pPr>
                    <w:pStyle w:val="TableBodyText"/>
                    <w:spacing w:after="0"/>
                    <w:ind w:left="0" w:right="57"/>
                  </w:pPr>
                  <w:r>
                    <w:t>11.0</w:t>
                  </w:r>
                </w:p>
              </w:tc>
              <w:tc>
                <w:tcPr>
                  <w:tcW w:w="467" w:type="pct"/>
                  <w:vAlign w:val="bottom"/>
                </w:tcPr>
                <w:p w:rsidR="00AC2131" w:rsidRDefault="00AC2131" w:rsidP="00AC2131">
                  <w:pPr>
                    <w:pStyle w:val="TableBodyText"/>
                    <w:spacing w:after="0"/>
                    <w:ind w:left="0" w:right="57"/>
                  </w:pPr>
                  <w:r>
                    <w:t>18.2</w:t>
                  </w:r>
                </w:p>
              </w:tc>
              <w:tc>
                <w:tcPr>
                  <w:tcW w:w="467" w:type="pct"/>
                  <w:shd w:val="clear" w:color="auto" w:fill="auto"/>
                  <w:vAlign w:val="bottom"/>
                </w:tcPr>
                <w:p w:rsidR="00AC2131" w:rsidRDefault="00AC2131" w:rsidP="00AC2131">
                  <w:pPr>
                    <w:pStyle w:val="TableBodyText"/>
                    <w:spacing w:after="0"/>
                    <w:ind w:left="0" w:right="57"/>
                  </w:pPr>
                  <w:r>
                    <w:t>18.2</w:t>
                  </w:r>
                </w:p>
              </w:tc>
              <w:tc>
                <w:tcPr>
                  <w:tcW w:w="463" w:type="pct"/>
                  <w:shd w:val="clear" w:color="auto" w:fill="auto"/>
                  <w:vAlign w:val="bottom"/>
                </w:tcPr>
                <w:p w:rsidR="00AC2131" w:rsidRDefault="00AC2131" w:rsidP="00AC2131">
                  <w:pPr>
                    <w:pStyle w:val="TableBodyText"/>
                    <w:spacing w:after="0"/>
                    <w:ind w:left="0" w:right="57"/>
                  </w:pPr>
                  <w:r>
                    <w:t>19.1</w:t>
                  </w:r>
                </w:p>
              </w:tc>
            </w:tr>
            <w:tr w:rsidR="00AC2131" w:rsidTr="00AC2131">
              <w:tc>
                <w:tcPr>
                  <w:tcW w:w="2200" w:type="pct"/>
                  <w:shd w:val="clear" w:color="auto" w:fill="auto"/>
                  <w:vAlign w:val="bottom"/>
                </w:tcPr>
                <w:p w:rsidR="00AC2131" w:rsidRPr="00FD557B" w:rsidRDefault="00AC2131" w:rsidP="00AC2131">
                  <w:pPr>
                    <w:ind w:left="227"/>
                    <w:rPr>
                      <w:rFonts w:ascii="Arial" w:hAnsi="Arial" w:cs="Arial"/>
                      <w:color w:val="000000"/>
                      <w:sz w:val="18"/>
                      <w:szCs w:val="18"/>
                    </w:rPr>
                  </w:pPr>
                  <w:r w:rsidRPr="00FD557B">
                    <w:rPr>
                      <w:rFonts w:ascii="Arial" w:hAnsi="Arial" w:cs="Arial"/>
                      <w:color w:val="000000"/>
                      <w:sz w:val="18"/>
                      <w:szCs w:val="18"/>
                    </w:rPr>
                    <w:t xml:space="preserve">Small business </w:t>
                  </w:r>
                  <w:r>
                    <w:rPr>
                      <w:rFonts w:ascii="Arial" w:hAnsi="Arial" w:cs="Arial"/>
                      <w:color w:val="000000"/>
                      <w:sz w:val="18"/>
                      <w:szCs w:val="18"/>
                    </w:rPr>
                    <w:t>capital gains tax</w:t>
                  </w:r>
                  <w:r w:rsidRPr="00FD557B">
                    <w:rPr>
                      <w:rFonts w:ascii="Arial" w:hAnsi="Arial" w:cs="Arial"/>
                      <w:color w:val="000000"/>
                      <w:sz w:val="18"/>
                      <w:szCs w:val="18"/>
                    </w:rPr>
                    <w:t xml:space="preserve"> rollover deferral</w:t>
                  </w:r>
                </w:p>
              </w:tc>
              <w:tc>
                <w:tcPr>
                  <w:tcW w:w="469" w:type="pct"/>
                  <w:vAlign w:val="bottom"/>
                </w:tcPr>
                <w:p w:rsidR="00AC2131" w:rsidRDefault="00AC2131" w:rsidP="00AC2131">
                  <w:pPr>
                    <w:pStyle w:val="TableBodyText"/>
                    <w:spacing w:after="0"/>
                    <w:ind w:left="0" w:right="57"/>
                  </w:pPr>
                  <w:r>
                    <w:t>7.5</w:t>
                  </w:r>
                </w:p>
              </w:tc>
              <w:tc>
                <w:tcPr>
                  <w:tcW w:w="467" w:type="pct"/>
                  <w:vAlign w:val="bottom"/>
                </w:tcPr>
                <w:p w:rsidR="00AC2131" w:rsidRDefault="00AC2131" w:rsidP="00AC2131">
                  <w:pPr>
                    <w:pStyle w:val="TableBodyText"/>
                    <w:spacing w:after="0"/>
                    <w:ind w:left="0" w:right="57"/>
                  </w:pPr>
                  <w:r>
                    <w:t>4.4</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0.8</w:t>
                  </w:r>
                </w:p>
              </w:tc>
              <w:tc>
                <w:tcPr>
                  <w:tcW w:w="467" w:type="pct"/>
                  <w:shd w:val="clear" w:color="auto" w:fill="auto"/>
                  <w:vAlign w:val="bottom"/>
                </w:tcPr>
                <w:p w:rsidR="00AC2131" w:rsidRDefault="00AC2131" w:rsidP="00AC2131">
                  <w:pPr>
                    <w:pStyle w:val="TableBodyText"/>
                    <w:spacing w:after="0"/>
                    <w:ind w:left="0" w:right="57"/>
                  </w:pPr>
                  <w:r>
                    <w:t>1.0</w:t>
                  </w:r>
                </w:p>
              </w:tc>
              <w:tc>
                <w:tcPr>
                  <w:tcW w:w="463" w:type="pct"/>
                  <w:shd w:val="clear" w:color="auto" w:fill="auto"/>
                  <w:vAlign w:val="bottom"/>
                </w:tcPr>
                <w:p w:rsidR="00AC2131" w:rsidRDefault="00AC2131" w:rsidP="00AC2131">
                  <w:pPr>
                    <w:pStyle w:val="TableBodyText"/>
                    <w:spacing w:after="0"/>
                    <w:ind w:left="0" w:right="57"/>
                  </w:pPr>
                  <w:r>
                    <w:t>1.1</w:t>
                  </w:r>
                </w:p>
              </w:tc>
            </w:tr>
            <w:tr w:rsidR="00AC2131" w:rsidTr="00AC2131">
              <w:tc>
                <w:tcPr>
                  <w:tcW w:w="2200" w:type="pct"/>
                  <w:shd w:val="clear" w:color="auto" w:fill="auto"/>
                  <w:vAlign w:val="bottom"/>
                </w:tcPr>
                <w:p w:rsidR="00AC2131" w:rsidRPr="00FD557B" w:rsidRDefault="00AC2131" w:rsidP="00AC2131">
                  <w:pPr>
                    <w:ind w:left="227"/>
                    <w:rPr>
                      <w:rFonts w:ascii="Arial" w:hAnsi="Arial" w:cs="Arial"/>
                      <w:color w:val="000000"/>
                      <w:sz w:val="18"/>
                      <w:szCs w:val="18"/>
                    </w:rPr>
                  </w:pPr>
                  <w:r w:rsidRPr="00FD557B">
                    <w:rPr>
                      <w:rFonts w:ascii="Arial" w:hAnsi="Arial" w:cs="Arial"/>
                      <w:color w:val="000000"/>
                      <w:sz w:val="18"/>
                      <w:szCs w:val="18"/>
                    </w:rPr>
                    <w:t>The Small Business and General Business Tax Break</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61.6</w:t>
                  </w:r>
                </w:p>
              </w:tc>
              <w:tc>
                <w:tcPr>
                  <w:tcW w:w="467" w:type="pct"/>
                  <w:vAlign w:val="bottom"/>
                </w:tcPr>
                <w:p w:rsidR="00AC2131" w:rsidRDefault="00AC2131" w:rsidP="00AC2131">
                  <w:pPr>
                    <w:pStyle w:val="TableBodyText"/>
                    <w:spacing w:after="0"/>
                    <w:ind w:left="0" w:right="57"/>
                  </w:pPr>
                  <w:r>
                    <w:t>31.7</w:t>
                  </w:r>
                </w:p>
              </w:tc>
              <w:tc>
                <w:tcPr>
                  <w:tcW w:w="467" w:type="pct"/>
                  <w:vAlign w:val="bottom"/>
                </w:tcPr>
                <w:p w:rsidR="00AC2131" w:rsidRDefault="00AC2131" w:rsidP="00AC2131">
                  <w:pPr>
                    <w:pStyle w:val="TableBodyText"/>
                    <w:spacing w:after="0"/>
                    <w:ind w:left="0" w:right="57"/>
                  </w:pPr>
                  <w:r>
                    <w:t>13.9</w:t>
                  </w:r>
                </w:p>
              </w:tc>
              <w:tc>
                <w:tcPr>
                  <w:tcW w:w="467" w:type="pct"/>
                  <w:shd w:val="clear" w:color="auto" w:fill="auto"/>
                  <w:vAlign w:val="bottom"/>
                </w:tcPr>
                <w:p w:rsidR="00AC2131" w:rsidRDefault="00AC2131" w:rsidP="00AC2131">
                  <w:pPr>
                    <w:pStyle w:val="TableBodyText"/>
                    <w:spacing w:after="0"/>
                    <w:ind w:left="0" w:right="57"/>
                  </w:pPr>
                  <w:r>
                    <w:t>4.8</w:t>
                  </w:r>
                </w:p>
              </w:tc>
              <w:tc>
                <w:tcPr>
                  <w:tcW w:w="463" w:type="pct"/>
                  <w:shd w:val="clear" w:color="auto" w:fill="auto"/>
                  <w:vAlign w:val="bottom"/>
                </w:tcPr>
                <w:p w:rsidR="00AC2131" w:rsidRDefault="00AC2131" w:rsidP="00AC2131">
                  <w:pPr>
                    <w:pStyle w:val="TableBodyText"/>
                    <w:spacing w:after="0"/>
                    <w:ind w:left="0" w:right="57"/>
                  </w:pPr>
                  <w:r>
                    <w:t>0.6</w:t>
                  </w:r>
                </w:p>
              </w:tc>
            </w:tr>
            <w:tr w:rsidR="00AC2131" w:rsidRPr="00FD557B" w:rsidTr="00AC2131">
              <w:tc>
                <w:tcPr>
                  <w:tcW w:w="2200" w:type="pct"/>
                  <w:shd w:val="clear" w:color="auto" w:fill="auto"/>
                </w:tcPr>
                <w:p w:rsidR="00AC2131" w:rsidRPr="00FD557B" w:rsidRDefault="00AC2131" w:rsidP="00AC2131">
                  <w:pPr>
                    <w:pStyle w:val="TableBodyText"/>
                    <w:spacing w:before="20" w:after="20"/>
                    <w:jc w:val="left"/>
                    <w:rPr>
                      <w:i/>
                    </w:rPr>
                  </w:pPr>
                  <w:r w:rsidRPr="00FD557B">
                    <w:rPr>
                      <w:i/>
                    </w:rPr>
                    <w:t>Total</w:t>
                  </w:r>
                </w:p>
              </w:tc>
              <w:tc>
                <w:tcPr>
                  <w:tcW w:w="469" w:type="pct"/>
                  <w:vAlign w:val="bottom"/>
                </w:tcPr>
                <w:p w:rsidR="00AC2131" w:rsidRPr="00004210" w:rsidRDefault="00AC2131" w:rsidP="00AC2131">
                  <w:pPr>
                    <w:pStyle w:val="TableBodyText"/>
                    <w:spacing w:before="20" w:after="20"/>
                    <w:ind w:left="0" w:right="57"/>
                    <w:rPr>
                      <w:i/>
                    </w:rPr>
                  </w:pPr>
                  <w:r w:rsidRPr="00004210">
                    <w:rPr>
                      <w:i/>
                    </w:rPr>
                    <w:t>178.7</w:t>
                  </w:r>
                </w:p>
              </w:tc>
              <w:tc>
                <w:tcPr>
                  <w:tcW w:w="467" w:type="pct"/>
                  <w:vAlign w:val="bottom"/>
                </w:tcPr>
                <w:p w:rsidR="00AC2131" w:rsidRPr="00004210" w:rsidRDefault="00AC2131" w:rsidP="00AC2131">
                  <w:pPr>
                    <w:pStyle w:val="TableBodyText"/>
                    <w:spacing w:before="20" w:after="20"/>
                    <w:ind w:left="0" w:right="57"/>
                    <w:rPr>
                      <w:i/>
                    </w:rPr>
                  </w:pPr>
                  <w:r w:rsidRPr="00004210">
                    <w:rPr>
                      <w:i/>
                    </w:rPr>
                    <w:t>217.7</w:t>
                  </w:r>
                </w:p>
              </w:tc>
              <w:tc>
                <w:tcPr>
                  <w:tcW w:w="467" w:type="pct"/>
                  <w:vAlign w:val="bottom"/>
                </w:tcPr>
                <w:p w:rsidR="00AC2131" w:rsidRPr="00004210" w:rsidRDefault="00AC2131" w:rsidP="00AC2131">
                  <w:pPr>
                    <w:pStyle w:val="TableBodyText"/>
                    <w:spacing w:before="20" w:after="20"/>
                    <w:ind w:left="0" w:right="57"/>
                    <w:rPr>
                      <w:i/>
                    </w:rPr>
                  </w:pPr>
                  <w:r w:rsidRPr="00004210">
                    <w:rPr>
                      <w:i/>
                    </w:rPr>
                    <w:t>179.2</w:t>
                  </w:r>
                </w:p>
              </w:tc>
              <w:tc>
                <w:tcPr>
                  <w:tcW w:w="467" w:type="pct"/>
                  <w:vAlign w:val="bottom"/>
                </w:tcPr>
                <w:p w:rsidR="00AC2131" w:rsidRPr="00004210" w:rsidRDefault="00AC2131" w:rsidP="00AC2131">
                  <w:pPr>
                    <w:pStyle w:val="TableBodyText"/>
                    <w:spacing w:before="20" w:after="20"/>
                    <w:ind w:left="0" w:right="57"/>
                    <w:rPr>
                      <w:i/>
                    </w:rPr>
                  </w:pPr>
                  <w:r w:rsidRPr="00004210">
                    <w:rPr>
                      <w:i/>
                    </w:rPr>
                    <w:t>184.3</w:t>
                  </w:r>
                </w:p>
              </w:tc>
              <w:tc>
                <w:tcPr>
                  <w:tcW w:w="467" w:type="pct"/>
                  <w:shd w:val="clear" w:color="auto" w:fill="auto"/>
                  <w:vAlign w:val="bottom"/>
                </w:tcPr>
                <w:p w:rsidR="00AC2131" w:rsidRPr="00004210" w:rsidRDefault="00AC2131" w:rsidP="00AC2131">
                  <w:pPr>
                    <w:pStyle w:val="TableBodyText"/>
                    <w:spacing w:before="20" w:after="20"/>
                    <w:ind w:left="0" w:right="57"/>
                    <w:rPr>
                      <w:i/>
                    </w:rPr>
                  </w:pPr>
                  <w:r w:rsidRPr="00004210">
                    <w:rPr>
                      <w:i/>
                    </w:rPr>
                    <w:t>172.6</w:t>
                  </w:r>
                </w:p>
              </w:tc>
              <w:tc>
                <w:tcPr>
                  <w:tcW w:w="463" w:type="pct"/>
                  <w:shd w:val="clear" w:color="auto" w:fill="auto"/>
                  <w:vAlign w:val="bottom"/>
                </w:tcPr>
                <w:p w:rsidR="00AC2131" w:rsidRPr="00004210" w:rsidRDefault="00AC2131" w:rsidP="00AC2131">
                  <w:pPr>
                    <w:pStyle w:val="TableBodyText"/>
                    <w:spacing w:before="20" w:after="20"/>
                    <w:ind w:left="0" w:right="57"/>
                    <w:rPr>
                      <w:i/>
                    </w:rPr>
                  </w:pPr>
                  <w:r w:rsidRPr="00004210">
                    <w:rPr>
                      <w:i/>
                    </w:rPr>
                    <w:t>240.5</w:t>
                  </w:r>
                </w:p>
              </w:tc>
            </w:tr>
            <w:tr w:rsidR="00AC2131" w:rsidTr="00AC2131">
              <w:tc>
                <w:tcPr>
                  <w:tcW w:w="2200" w:type="pct"/>
                  <w:shd w:val="clear" w:color="auto" w:fill="auto"/>
                </w:tcPr>
                <w:p w:rsidR="00AC2131" w:rsidRPr="00900EA0" w:rsidRDefault="00AC2131" w:rsidP="00AC2131">
                  <w:pPr>
                    <w:pStyle w:val="TableBodyText"/>
                    <w:spacing w:before="40"/>
                    <w:jc w:val="left"/>
                    <w:rPr>
                      <w:b/>
                    </w:rPr>
                  </w:pPr>
                  <w:r w:rsidRPr="00900EA0">
                    <w:rPr>
                      <w:b/>
                    </w:rPr>
                    <w:t>Arts and recreation services</w:t>
                  </w:r>
                </w:p>
              </w:tc>
              <w:tc>
                <w:tcPr>
                  <w:tcW w:w="469" w:type="pct"/>
                  <w:vAlign w:val="bottom"/>
                </w:tcPr>
                <w:p w:rsidR="00AC2131" w:rsidRDefault="00AC2131" w:rsidP="00AC2131">
                  <w:pPr>
                    <w:spacing w:before="40" w:after="40"/>
                    <w:jc w:val="right"/>
                    <w:rPr>
                      <w:rFonts w:ascii="Arial" w:hAnsi="Arial" w:cs="Arial"/>
                      <w:sz w:val="18"/>
                      <w:szCs w:val="18"/>
                    </w:rPr>
                  </w:pPr>
                </w:p>
              </w:tc>
              <w:tc>
                <w:tcPr>
                  <w:tcW w:w="467" w:type="pct"/>
                  <w:vAlign w:val="bottom"/>
                </w:tcPr>
                <w:p w:rsidR="00AC2131" w:rsidRDefault="00AC2131" w:rsidP="00AC2131">
                  <w:pPr>
                    <w:spacing w:before="40" w:after="40"/>
                    <w:jc w:val="right"/>
                    <w:rPr>
                      <w:rFonts w:ascii="Arial" w:hAnsi="Arial" w:cs="Arial"/>
                      <w:sz w:val="18"/>
                      <w:szCs w:val="18"/>
                    </w:rPr>
                  </w:pPr>
                </w:p>
              </w:tc>
              <w:tc>
                <w:tcPr>
                  <w:tcW w:w="467" w:type="pct"/>
                  <w:vAlign w:val="bottom"/>
                </w:tcPr>
                <w:p w:rsidR="00AC2131" w:rsidRDefault="00AC2131" w:rsidP="00AC2131">
                  <w:pPr>
                    <w:spacing w:before="40" w:after="40"/>
                    <w:jc w:val="right"/>
                    <w:rPr>
                      <w:rFonts w:ascii="Arial" w:hAnsi="Arial" w:cs="Arial"/>
                      <w:sz w:val="18"/>
                      <w:szCs w:val="18"/>
                    </w:rPr>
                  </w:pPr>
                </w:p>
              </w:tc>
              <w:tc>
                <w:tcPr>
                  <w:tcW w:w="467" w:type="pct"/>
                  <w:vAlign w:val="bottom"/>
                </w:tcPr>
                <w:p w:rsidR="00AC2131" w:rsidRDefault="00AC2131" w:rsidP="00AC2131">
                  <w:pPr>
                    <w:spacing w:before="40" w:after="40"/>
                    <w:jc w:val="right"/>
                    <w:rPr>
                      <w:rFonts w:ascii="Arial" w:hAnsi="Arial" w:cs="Arial"/>
                      <w:sz w:val="18"/>
                      <w:szCs w:val="18"/>
                    </w:rPr>
                  </w:pPr>
                </w:p>
              </w:tc>
              <w:tc>
                <w:tcPr>
                  <w:tcW w:w="467" w:type="pct"/>
                  <w:shd w:val="clear" w:color="auto" w:fill="auto"/>
                  <w:vAlign w:val="bottom"/>
                </w:tcPr>
                <w:p w:rsidR="00AC2131" w:rsidRDefault="00AC2131" w:rsidP="00AC2131">
                  <w:pPr>
                    <w:spacing w:before="40" w:after="40"/>
                    <w:jc w:val="right"/>
                    <w:rPr>
                      <w:rFonts w:ascii="Arial" w:hAnsi="Arial" w:cs="Arial"/>
                      <w:sz w:val="18"/>
                      <w:szCs w:val="18"/>
                    </w:rPr>
                  </w:pPr>
                </w:p>
              </w:tc>
              <w:tc>
                <w:tcPr>
                  <w:tcW w:w="463" w:type="pct"/>
                  <w:shd w:val="clear" w:color="auto" w:fill="auto"/>
                  <w:vAlign w:val="bottom"/>
                </w:tcPr>
                <w:p w:rsidR="00AC2131" w:rsidRDefault="00AC2131" w:rsidP="00AC2131">
                  <w:pPr>
                    <w:spacing w:before="40" w:after="40"/>
                    <w:jc w:val="right"/>
                    <w:rPr>
                      <w:rFonts w:ascii="Arial" w:hAnsi="Arial" w:cs="Arial"/>
                      <w:sz w:val="18"/>
                      <w:szCs w:val="18"/>
                    </w:rPr>
                  </w:pPr>
                </w:p>
              </w:tc>
            </w:tr>
            <w:tr w:rsidR="00AC2131" w:rsidTr="00AC2131">
              <w:tc>
                <w:tcPr>
                  <w:tcW w:w="2200" w:type="pct"/>
                  <w:shd w:val="clear" w:color="auto" w:fill="auto"/>
                </w:tcPr>
                <w:p w:rsidR="00AC2131" w:rsidRPr="00900EA0" w:rsidRDefault="00AC2131" w:rsidP="00AC2131">
                  <w:pPr>
                    <w:pStyle w:val="TableBodyText"/>
                    <w:spacing w:before="40" w:after="0"/>
                    <w:ind w:left="113"/>
                    <w:jc w:val="left"/>
                    <w:rPr>
                      <w:i/>
                    </w:rPr>
                  </w:pPr>
                  <w:r w:rsidRPr="00900EA0">
                    <w:rPr>
                      <w:i/>
                    </w:rPr>
                    <w:t>Industry-specific measures</w:t>
                  </w:r>
                </w:p>
              </w:tc>
              <w:tc>
                <w:tcPr>
                  <w:tcW w:w="469"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shd w:val="clear" w:color="auto" w:fill="auto"/>
                  <w:vAlign w:val="bottom"/>
                </w:tcPr>
                <w:p w:rsidR="00AC2131" w:rsidRDefault="00AC2131" w:rsidP="00AC2131">
                  <w:pPr>
                    <w:spacing w:before="40"/>
                    <w:ind w:left="113"/>
                    <w:jc w:val="right"/>
                    <w:rPr>
                      <w:rFonts w:ascii="Arial" w:hAnsi="Arial" w:cs="Arial"/>
                      <w:sz w:val="18"/>
                      <w:szCs w:val="18"/>
                    </w:rPr>
                  </w:pPr>
                </w:p>
              </w:tc>
              <w:tc>
                <w:tcPr>
                  <w:tcW w:w="463" w:type="pct"/>
                  <w:shd w:val="clear" w:color="auto" w:fill="auto"/>
                  <w:vAlign w:val="bottom"/>
                </w:tcPr>
                <w:p w:rsidR="00AC2131" w:rsidRDefault="00AC2131" w:rsidP="00AC2131">
                  <w:pPr>
                    <w:spacing w:before="40"/>
                    <w:ind w:left="113"/>
                    <w:jc w:val="right"/>
                    <w:rPr>
                      <w:rFonts w:ascii="Arial" w:hAnsi="Arial" w:cs="Arial"/>
                      <w:sz w:val="18"/>
                      <w:szCs w:val="18"/>
                    </w:rPr>
                  </w:pP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Exemption of film tax offset payments</w:t>
                  </w:r>
                </w:p>
              </w:tc>
              <w:tc>
                <w:tcPr>
                  <w:tcW w:w="469" w:type="pct"/>
                  <w:vAlign w:val="bottom"/>
                </w:tcPr>
                <w:p w:rsidR="00AC2131" w:rsidRDefault="00AC2131" w:rsidP="00AC2131">
                  <w:pPr>
                    <w:pStyle w:val="TableBodyText"/>
                    <w:spacing w:after="0"/>
                    <w:ind w:left="0" w:right="57"/>
                  </w:pPr>
                  <w:r>
                    <w:t>17.0</w:t>
                  </w:r>
                </w:p>
              </w:tc>
              <w:tc>
                <w:tcPr>
                  <w:tcW w:w="467" w:type="pct"/>
                  <w:vAlign w:val="bottom"/>
                </w:tcPr>
                <w:p w:rsidR="00AC2131" w:rsidRDefault="00AC2131" w:rsidP="00AC2131">
                  <w:pPr>
                    <w:pStyle w:val="TableBodyText"/>
                    <w:spacing w:after="0"/>
                    <w:ind w:left="0" w:right="57"/>
                  </w:pPr>
                  <w:r>
                    <w:t>38.0</w:t>
                  </w:r>
                </w:p>
              </w:tc>
              <w:tc>
                <w:tcPr>
                  <w:tcW w:w="467" w:type="pct"/>
                  <w:vAlign w:val="bottom"/>
                </w:tcPr>
                <w:p w:rsidR="00AC2131" w:rsidRDefault="00AC2131" w:rsidP="00AC2131">
                  <w:pPr>
                    <w:pStyle w:val="TableBodyText"/>
                    <w:spacing w:after="0"/>
                    <w:ind w:left="0" w:right="57"/>
                  </w:pPr>
                  <w:r>
                    <w:t>36.0</w:t>
                  </w:r>
                </w:p>
              </w:tc>
              <w:tc>
                <w:tcPr>
                  <w:tcW w:w="467" w:type="pct"/>
                  <w:vAlign w:val="bottom"/>
                </w:tcPr>
                <w:p w:rsidR="00AC2131" w:rsidRDefault="00AC2131" w:rsidP="00AC2131">
                  <w:pPr>
                    <w:pStyle w:val="TableBodyText"/>
                    <w:spacing w:after="0"/>
                    <w:ind w:left="0" w:right="57"/>
                  </w:pPr>
                  <w:r>
                    <w:t>32.0</w:t>
                  </w:r>
                </w:p>
              </w:tc>
              <w:tc>
                <w:tcPr>
                  <w:tcW w:w="467" w:type="pct"/>
                  <w:shd w:val="clear" w:color="auto" w:fill="auto"/>
                  <w:vAlign w:val="bottom"/>
                </w:tcPr>
                <w:p w:rsidR="00AC2131" w:rsidRDefault="00AC2131" w:rsidP="00AC2131">
                  <w:pPr>
                    <w:pStyle w:val="TableBodyText"/>
                    <w:spacing w:after="0"/>
                    <w:ind w:left="0" w:right="57"/>
                  </w:pPr>
                  <w:r>
                    <w:t>55.0</w:t>
                  </w:r>
                </w:p>
              </w:tc>
              <w:tc>
                <w:tcPr>
                  <w:tcW w:w="463" w:type="pct"/>
                  <w:shd w:val="clear" w:color="auto" w:fill="auto"/>
                  <w:vAlign w:val="bottom"/>
                </w:tcPr>
                <w:p w:rsidR="00AC2131" w:rsidRDefault="00AC2131" w:rsidP="00AC2131">
                  <w:pPr>
                    <w:pStyle w:val="TableBodyText"/>
                    <w:spacing w:after="0"/>
                    <w:ind w:left="0" w:right="57"/>
                  </w:pPr>
                  <w:r>
                    <w:t>61.0</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 xml:space="preserve">Film industry division </w:t>
                  </w:r>
                  <w:r>
                    <w:rPr>
                      <w:rFonts w:ascii="Arial" w:hAnsi="Arial" w:cs="Arial"/>
                      <w:color w:val="000000"/>
                      <w:sz w:val="18"/>
                      <w:szCs w:val="18"/>
                    </w:rPr>
                    <w:t>–</w:t>
                  </w:r>
                  <w:r w:rsidRPr="00900EA0">
                    <w:rPr>
                      <w:rFonts w:ascii="Arial" w:hAnsi="Arial" w:cs="Arial"/>
                      <w:color w:val="000000"/>
                      <w:sz w:val="18"/>
                      <w:szCs w:val="18"/>
                    </w:rPr>
                    <w:t xml:space="preserve"> 10B &amp; 10BA</w:t>
                  </w:r>
                </w:p>
              </w:tc>
              <w:tc>
                <w:tcPr>
                  <w:tcW w:w="469" w:type="pct"/>
                  <w:vAlign w:val="bottom"/>
                </w:tcPr>
                <w:p w:rsidR="00AC2131" w:rsidRDefault="00AC2131" w:rsidP="00AC2131">
                  <w:pPr>
                    <w:pStyle w:val="TableBodyText"/>
                    <w:spacing w:after="0"/>
                    <w:ind w:left="0" w:right="57"/>
                  </w:pPr>
                  <w:r>
                    <w:t>-14.0</w:t>
                  </w:r>
                </w:p>
              </w:tc>
              <w:tc>
                <w:tcPr>
                  <w:tcW w:w="467" w:type="pct"/>
                  <w:vAlign w:val="bottom"/>
                </w:tcPr>
                <w:p w:rsidR="00AC2131" w:rsidRDefault="00AC2131" w:rsidP="00AC2131">
                  <w:pPr>
                    <w:pStyle w:val="TableBodyText"/>
                    <w:spacing w:after="0"/>
                    <w:ind w:left="0" w:right="57"/>
                  </w:pPr>
                  <w:r>
                    <w:t>-22.0</w:t>
                  </w:r>
                </w:p>
              </w:tc>
              <w:tc>
                <w:tcPr>
                  <w:tcW w:w="467" w:type="pct"/>
                  <w:vAlign w:val="bottom"/>
                </w:tcPr>
                <w:p w:rsidR="00AC2131" w:rsidRDefault="00AC2131" w:rsidP="00AC2131">
                  <w:pPr>
                    <w:pStyle w:val="TableBodyText"/>
                    <w:spacing w:after="0"/>
                    <w:ind w:left="0" w:right="57"/>
                  </w:pPr>
                  <w:r>
                    <w:t>-18.0</w:t>
                  </w:r>
                </w:p>
              </w:tc>
              <w:tc>
                <w:tcPr>
                  <w:tcW w:w="467" w:type="pct"/>
                  <w:vAlign w:val="bottom"/>
                </w:tcPr>
                <w:p w:rsidR="00AC2131" w:rsidRDefault="00AC2131" w:rsidP="00AC2131">
                  <w:pPr>
                    <w:pStyle w:val="TableBodyText"/>
                    <w:spacing w:after="0"/>
                    <w:ind w:left="0" w:right="57"/>
                  </w:pPr>
                  <w:r>
                    <w:t>-17.0</w:t>
                  </w:r>
                </w:p>
              </w:tc>
              <w:tc>
                <w:tcPr>
                  <w:tcW w:w="467" w:type="pct"/>
                  <w:shd w:val="clear" w:color="auto" w:fill="auto"/>
                  <w:vAlign w:val="bottom"/>
                </w:tcPr>
                <w:p w:rsidR="00AC2131" w:rsidRDefault="00AC2131" w:rsidP="00AC2131">
                  <w:pPr>
                    <w:pStyle w:val="TableBodyText"/>
                    <w:spacing w:after="0"/>
                    <w:ind w:left="0" w:right="57"/>
                  </w:pPr>
                  <w:r>
                    <w:t>-14.0</w:t>
                  </w:r>
                </w:p>
              </w:tc>
              <w:tc>
                <w:tcPr>
                  <w:tcW w:w="463" w:type="pct"/>
                  <w:shd w:val="clear" w:color="auto" w:fill="auto"/>
                  <w:vAlign w:val="bottom"/>
                </w:tcPr>
                <w:p w:rsidR="00AC2131" w:rsidRDefault="00AC2131" w:rsidP="00AC2131">
                  <w:pPr>
                    <w:pStyle w:val="TableBodyText"/>
                    <w:spacing w:after="0"/>
                    <w:ind w:left="0" w:right="57"/>
                  </w:pPr>
                  <w:r>
                    <w:t>-11.0</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Film industry offsets</w:t>
                  </w:r>
                </w:p>
              </w:tc>
              <w:tc>
                <w:tcPr>
                  <w:tcW w:w="469" w:type="pct"/>
                  <w:vAlign w:val="bottom"/>
                </w:tcPr>
                <w:p w:rsidR="00AC2131" w:rsidRDefault="00AC2131" w:rsidP="00AC2131">
                  <w:pPr>
                    <w:pStyle w:val="TableBodyText"/>
                    <w:spacing w:after="0"/>
                    <w:ind w:left="0" w:right="57"/>
                  </w:pPr>
                  <w:r>
                    <w:t>128.2</w:t>
                  </w:r>
                </w:p>
              </w:tc>
              <w:tc>
                <w:tcPr>
                  <w:tcW w:w="467" w:type="pct"/>
                  <w:vAlign w:val="bottom"/>
                </w:tcPr>
                <w:p w:rsidR="00AC2131" w:rsidRDefault="00AC2131" w:rsidP="00AC2131">
                  <w:pPr>
                    <w:pStyle w:val="TableBodyText"/>
                    <w:spacing w:after="0"/>
                    <w:ind w:left="0" w:right="57"/>
                  </w:pPr>
                  <w:r>
                    <w:t>242.0</w:t>
                  </w:r>
                </w:p>
              </w:tc>
              <w:tc>
                <w:tcPr>
                  <w:tcW w:w="467" w:type="pct"/>
                  <w:vAlign w:val="bottom"/>
                </w:tcPr>
                <w:p w:rsidR="00AC2131" w:rsidRDefault="00AC2131" w:rsidP="00AC2131">
                  <w:pPr>
                    <w:pStyle w:val="TableBodyText"/>
                    <w:spacing w:after="0"/>
                    <w:ind w:left="0" w:right="57"/>
                  </w:pPr>
                  <w:r>
                    <w:t>152.0</w:t>
                  </w:r>
                </w:p>
              </w:tc>
              <w:tc>
                <w:tcPr>
                  <w:tcW w:w="467" w:type="pct"/>
                  <w:vAlign w:val="bottom"/>
                </w:tcPr>
                <w:p w:rsidR="00AC2131" w:rsidRDefault="00AC2131" w:rsidP="00AC2131">
                  <w:pPr>
                    <w:pStyle w:val="TableBodyText"/>
                    <w:spacing w:after="0"/>
                    <w:ind w:left="0" w:right="57"/>
                  </w:pPr>
                  <w:r>
                    <w:t>204.0</w:t>
                  </w:r>
                </w:p>
              </w:tc>
              <w:tc>
                <w:tcPr>
                  <w:tcW w:w="467" w:type="pct"/>
                  <w:shd w:val="clear" w:color="auto" w:fill="auto"/>
                  <w:vAlign w:val="bottom"/>
                </w:tcPr>
                <w:p w:rsidR="00AC2131" w:rsidRDefault="00AC2131" w:rsidP="00AC2131">
                  <w:pPr>
                    <w:pStyle w:val="TableBodyText"/>
                    <w:spacing w:after="0"/>
                    <w:ind w:left="0" w:right="57"/>
                  </w:pPr>
                  <w:r>
                    <w:t>226.0</w:t>
                  </w:r>
                </w:p>
              </w:tc>
              <w:tc>
                <w:tcPr>
                  <w:tcW w:w="463" w:type="pct"/>
                  <w:shd w:val="clear" w:color="auto" w:fill="auto"/>
                  <w:vAlign w:val="bottom"/>
                </w:tcPr>
                <w:p w:rsidR="00AC2131" w:rsidRDefault="00AC2131" w:rsidP="00AC2131">
                  <w:pPr>
                    <w:pStyle w:val="TableBodyText"/>
                    <w:spacing w:after="0"/>
                    <w:ind w:left="0" w:right="57"/>
                  </w:pPr>
                  <w:r>
                    <w:t>252.0</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Indigenous Broadcasting Program</w:t>
                  </w:r>
                </w:p>
              </w:tc>
              <w:tc>
                <w:tcPr>
                  <w:tcW w:w="469" w:type="pct"/>
                  <w:vAlign w:val="bottom"/>
                </w:tcPr>
                <w:p w:rsidR="00AC2131" w:rsidRDefault="00AC2131" w:rsidP="00AC2131">
                  <w:pPr>
                    <w:pStyle w:val="TableBodyText"/>
                    <w:spacing w:after="0"/>
                    <w:ind w:left="0" w:right="57"/>
                  </w:pPr>
                  <w:r>
                    <w:t>13.7</w:t>
                  </w:r>
                </w:p>
              </w:tc>
              <w:tc>
                <w:tcPr>
                  <w:tcW w:w="467" w:type="pct"/>
                  <w:vAlign w:val="bottom"/>
                </w:tcPr>
                <w:p w:rsidR="00AC2131" w:rsidRDefault="00AC2131" w:rsidP="00AC2131">
                  <w:pPr>
                    <w:pStyle w:val="TableBodyText"/>
                    <w:spacing w:after="0"/>
                    <w:ind w:left="0" w:right="57"/>
                  </w:pPr>
                  <w:r>
                    <w:t>14.4</w:t>
                  </w:r>
                </w:p>
              </w:tc>
              <w:tc>
                <w:tcPr>
                  <w:tcW w:w="467" w:type="pct"/>
                  <w:vAlign w:val="bottom"/>
                </w:tcPr>
                <w:p w:rsidR="00AC2131" w:rsidRDefault="00AC2131" w:rsidP="00AC2131">
                  <w:pPr>
                    <w:pStyle w:val="TableBodyText"/>
                    <w:spacing w:after="0"/>
                    <w:ind w:left="0" w:right="57"/>
                  </w:pPr>
                  <w:r>
                    <w:t>14.7</w:t>
                  </w:r>
                </w:p>
              </w:tc>
              <w:tc>
                <w:tcPr>
                  <w:tcW w:w="467" w:type="pct"/>
                  <w:vAlign w:val="bottom"/>
                </w:tcPr>
                <w:p w:rsidR="00AC2131" w:rsidRDefault="00AC2131" w:rsidP="00AC2131">
                  <w:pPr>
                    <w:pStyle w:val="TableBodyText"/>
                    <w:spacing w:after="0"/>
                    <w:ind w:left="0" w:right="57"/>
                  </w:pPr>
                  <w:r>
                    <w:t>15.0</w:t>
                  </w:r>
                </w:p>
              </w:tc>
              <w:tc>
                <w:tcPr>
                  <w:tcW w:w="467" w:type="pct"/>
                  <w:shd w:val="clear" w:color="auto" w:fill="auto"/>
                  <w:vAlign w:val="bottom"/>
                </w:tcPr>
                <w:p w:rsidR="00AC2131" w:rsidRDefault="00AC2131" w:rsidP="00AC2131">
                  <w:pPr>
                    <w:pStyle w:val="TableBodyText"/>
                    <w:spacing w:after="0"/>
                    <w:ind w:left="0" w:right="57"/>
                  </w:pPr>
                  <w:r>
                    <w:t>15.4</w:t>
                  </w:r>
                </w:p>
              </w:tc>
              <w:tc>
                <w:tcPr>
                  <w:tcW w:w="463" w:type="pct"/>
                  <w:shd w:val="clear" w:color="auto" w:fill="auto"/>
                  <w:vAlign w:val="bottom"/>
                </w:tcPr>
                <w:p w:rsidR="00AC2131" w:rsidRDefault="00AC2131" w:rsidP="00AC2131">
                  <w:pPr>
                    <w:pStyle w:val="TableBodyText"/>
                    <w:spacing w:after="0"/>
                    <w:ind w:left="0" w:right="57"/>
                  </w:pPr>
                  <w:r>
                    <w:t>16.0</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Screen Australia</w:t>
                  </w:r>
                </w:p>
              </w:tc>
              <w:tc>
                <w:tcPr>
                  <w:tcW w:w="469" w:type="pct"/>
                  <w:vAlign w:val="bottom"/>
                </w:tcPr>
                <w:p w:rsidR="00AC2131" w:rsidRDefault="00AC2131" w:rsidP="00AC2131">
                  <w:pPr>
                    <w:pStyle w:val="TableBodyText"/>
                    <w:spacing w:after="0"/>
                    <w:ind w:left="0" w:right="57"/>
                  </w:pPr>
                  <w:r>
                    <w:t>102.9</w:t>
                  </w:r>
                </w:p>
              </w:tc>
              <w:tc>
                <w:tcPr>
                  <w:tcW w:w="467" w:type="pct"/>
                  <w:vAlign w:val="bottom"/>
                </w:tcPr>
                <w:p w:rsidR="00AC2131" w:rsidRDefault="00AC2131" w:rsidP="00AC2131">
                  <w:pPr>
                    <w:pStyle w:val="TableBodyText"/>
                    <w:spacing w:after="0"/>
                    <w:ind w:left="0" w:right="57"/>
                  </w:pPr>
                  <w:r>
                    <w:t>93.6</w:t>
                  </w:r>
                </w:p>
              </w:tc>
              <w:tc>
                <w:tcPr>
                  <w:tcW w:w="467" w:type="pct"/>
                  <w:vAlign w:val="bottom"/>
                </w:tcPr>
                <w:p w:rsidR="00AC2131" w:rsidRDefault="00AC2131" w:rsidP="00AC2131">
                  <w:pPr>
                    <w:pStyle w:val="TableBodyText"/>
                    <w:spacing w:after="0"/>
                    <w:ind w:left="0" w:right="57"/>
                  </w:pPr>
                  <w:r>
                    <w:t>89.4</w:t>
                  </w:r>
                </w:p>
              </w:tc>
              <w:tc>
                <w:tcPr>
                  <w:tcW w:w="467" w:type="pct"/>
                  <w:vAlign w:val="bottom"/>
                </w:tcPr>
                <w:p w:rsidR="00AC2131" w:rsidRDefault="00AC2131" w:rsidP="00AC2131">
                  <w:pPr>
                    <w:pStyle w:val="TableBodyText"/>
                    <w:spacing w:after="0"/>
                    <w:ind w:left="0" w:right="57"/>
                  </w:pPr>
                  <w:r>
                    <w:t>91.8</w:t>
                  </w:r>
                </w:p>
              </w:tc>
              <w:tc>
                <w:tcPr>
                  <w:tcW w:w="467" w:type="pct"/>
                  <w:shd w:val="clear" w:color="auto" w:fill="auto"/>
                  <w:vAlign w:val="bottom"/>
                </w:tcPr>
                <w:p w:rsidR="00AC2131" w:rsidRDefault="00AC2131" w:rsidP="00AC2131">
                  <w:pPr>
                    <w:pStyle w:val="TableBodyText"/>
                    <w:spacing w:after="0"/>
                    <w:ind w:left="0" w:right="57"/>
                  </w:pPr>
                  <w:r>
                    <w:t>98.1</w:t>
                  </w:r>
                </w:p>
              </w:tc>
              <w:tc>
                <w:tcPr>
                  <w:tcW w:w="463" w:type="pct"/>
                  <w:shd w:val="clear" w:color="auto" w:fill="auto"/>
                  <w:vAlign w:val="bottom"/>
                </w:tcPr>
                <w:p w:rsidR="00AC2131" w:rsidRDefault="00AC2131" w:rsidP="00AC2131">
                  <w:pPr>
                    <w:pStyle w:val="TableBodyText"/>
                    <w:spacing w:after="0"/>
                    <w:ind w:left="0" w:right="57"/>
                  </w:pPr>
                  <w:r>
                    <w:t>101.1</w:t>
                  </w:r>
                </w:p>
              </w:tc>
            </w:tr>
            <w:tr w:rsidR="00AC2131" w:rsidTr="00AC2131">
              <w:tc>
                <w:tcPr>
                  <w:tcW w:w="2200" w:type="pct"/>
                  <w:shd w:val="clear" w:color="auto" w:fill="auto"/>
                </w:tcPr>
                <w:p w:rsidR="00AC2131" w:rsidRPr="00900EA0" w:rsidRDefault="00AC2131" w:rsidP="00AC2131">
                  <w:pPr>
                    <w:pStyle w:val="TableBodyText"/>
                    <w:spacing w:before="40" w:after="0"/>
                    <w:ind w:left="113"/>
                    <w:jc w:val="left"/>
                    <w:rPr>
                      <w:i/>
                    </w:rPr>
                  </w:pPr>
                  <w:r w:rsidRPr="00900EA0">
                    <w:rPr>
                      <w:i/>
                    </w:rPr>
                    <w:t>General export measures</w:t>
                  </w:r>
                </w:p>
              </w:tc>
              <w:tc>
                <w:tcPr>
                  <w:tcW w:w="469"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shd w:val="clear" w:color="auto" w:fill="auto"/>
                  <w:vAlign w:val="bottom"/>
                </w:tcPr>
                <w:p w:rsidR="00AC2131" w:rsidRDefault="00AC2131" w:rsidP="00AC2131">
                  <w:pPr>
                    <w:spacing w:before="40"/>
                    <w:ind w:left="113"/>
                    <w:jc w:val="right"/>
                    <w:rPr>
                      <w:rFonts w:ascii="Arial" w:hAnsi="Arial" w:cs="Arial"/>
                      <w:sz w:val="18"/>
                      <w:szCs w:val="18"/>
                    </w:rPr>
                  </w:pPr>
                </w:p>
              </w:tc>
              <w:tc>
                <w:tcPr>
                  <w:tcW w:w="463" w:type="pct"/>
                  <w:shd w:val="clear" w:color="auto" w:fill="auto"/>
                  <w:vAlign w:val="bottom"/>
                </w:tcPr>
                <w:p w:rsidR="00AC2131" w:rsidRDefault="00AC2131" w:rsidP="00AC2131">
                  <w:pPr>
                    <w:spacing w:before="40"/>
                    <w:ind w:left="113"/>
                    <w:jc w:val="right"/>
                    <w:rPr>
                      <w:rFonts w:ascii="Arial" w:hAnsi="Arial" w:cs="Arial"/>
                      <w:sz w:val="18"/>
                      <w:szCs w:val="18"/>
                    </w:rPr>
                  </w:pP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Export Market Development Grants Scheme</w:t>
                  </w:r>
                </w:p>
              </w:tc>
              <w:tc>
                <w:tcPr>
                  <w:tcW w:w="469" w:type="pct"/>
                  <w:vAlign w:val="bottom"/>
                </w:tcPr>
                <w:p w:rsidR="00AC2131" w:rsidRDefault="00AC2131" w:rsidP="00AC2131">
                  <w:pPr>
                    <w:pStyle w:val="TableBodyText"/>
                    <w:spacing w:after="0"/>
                    <w:ind w:left="0" w:right="57"/>
                  </w:pPr>
                  <w:r>
                    <w:t>5.9</w:t>
                  </w:r>
                </w:p>
              </w:tc>
              <w:tc>
                <w:tcPr>
                  <w:tcW w:w="467" w:type="pct"/>
                  <w:vAlign w:val="bottom"/>
                </w:tcPr>
                <w:p w:rsidR="00AC2131" w:rsidRDefault="00AC2131" w:rsidP="00AC2131">
                  <w:pPr>
                    <w:pStyle w:val="TableBodyText"/>
                    <w:spacing w:after="0"/>
                    <w:ind w:left="0" w:right="57"/>
                  </w:pPr>
                  <w:r>
                    <w:t>6.5</w:t>
                  </w:r>
                </w:p>
              </w:tc>
              <w:tc>
                <w:tcPr>
                  <w:tcW w:w="467" w:type="pct"/>
                  <w:vAlign w:val="bottom"/>
                </w:tcPr>
                <w:p w:rsidR="00AC2131" w:rsidRDefault="00AC2131" w:rsidP="00AC2131">
                  <w:pPr>
                    <w:pStyle w:val="TableBodyText"/>
                    <w:spacing w:after="0"/>
                    <w:ind w:left="0" w:right="57"/>
                  </w:pPr>
                  <w:r>
                    <w:t>4.9</w:t>
                  </w:r>
                </w:p>
              </w:tc>
              <w:tc>
                <w:tcPr>
                  <w:tcW w:w="467" w:type="pct"/>
                  <w:vAlign w:val="bottom"/>
                </w:tcPr>
                <w:p w:rsidR="00AC2131" w:rsidRDefault="00AC2131" w:rsidP="00AC2131">
                  <w:pPr>
                    <w:pStyle w:val="TableBodyText"/>
                    <w:spacing w:after="0"/>
                    <w:ind w:left="0" w:right="57"/>
                  </w:pPr>
                  <w:r>
                    <w:t>4.6</w:t>
                  </w:r>
                </w:p>
              </w:tc>
              <w:tc>
                <w:tcPr>
                  <w:tcW w:w="467" w:type="pct"/>
                  <w:shd w:val="clear" w:color="auto" w:fill="auto"/>
                  <w:vAlign w:val="bottom"/>
                </w:tcPr>
                <w:p w:rsidR="00AC2131" w:rsidRDefault="00AC2131" w:rsidP="00AC2131">
                  <w:pPr>
                    <w:pStyle w:val="TableBodyText"/>
                    <w:spacing w:after="0"/>
                    <w:ind w:left="0" w:right="57"/>
                  </w:pPr>
                  <w:r>
                    <w:t>4.1</w:t>
                  </w:r>
                </w:p>
              </w:tc>
              <w:tc>
                <w:tcPr>
                  <w:tcW w:w="463" w:type="pct"/>
                  <w:shd w:val="clear" w:color="auto" w:fill="auto"/>
                  <w:vAlign w:val="bottom"/>
                </w:tcPr>
                <w:p w:rsidR="00AC2131" w:rsidRDefault="00AC2131" w:rsidP="00AC2131">
                  <w:pPr>
                    <w:pStyle w:val="TableBodyText"/>
                    <w:spacing w:after="0"/>
                    <w:ind w:left="0" w:right="57"/>
                  </w:pPr>
                  <w:r>
                    <w:t>5.1</w:t>
                  </w:r>
                </w:p>
              </w:tc>
            </w:tr>
            <w:tr w:rsidR="00AC2131" w:rsidTr="00AC2131">
              <w:tc>
                <w:tcPr>
                  <w:tcW w:w="2200" w:type="pct"/>
                  <w:shd w:val="clear" w:color="auto" w:fill="auto"/>
                  <w:vAlign w:val="bottom"/>
                </w:tcPr>
                <w:p w:rsidR="00AC2131" w:rsidRPr="00F25BCD" w:rsidRDefault="00AC2131" w:rsidP="00AC2131">
                  <w:pPr>
                    <w:spacing w:before="40"/>
                    <w:ind w:left="113"/>
                    <w:rPr>
                      <w:rFonts w:ascii="Arial" w:hAnsi="Arial" w:cs="Arial"/>
                      <w:i/>
                      <w:color w:val="000000"/>
                      <w:sz w:val="18"/>
                      <w:szCs w:val="18"/>
                    </w:rPr>
                  </w:pPr>
                  <w:r w:rsidRPr="00F25BCD">
                    <w:rPr>
                      <w:rFonts w:ascii="Arial" w:hAnsi="Arial" w:cs="Arial"/>
                      <w:i/>
                      <w:color w:val="000000"/>
                      <w:sz w:val="18"/>
                      <w:szCs w:val="18"/>
                    </w:rPr>
                    <w:t>General R&amp;D measures</w:t>
                  </w:r>
                </w:p>
              </w:tc>
              <w:tc>
                <w:tcPr>
                  <w:tcW w:w="469"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vAlign w:val="bottom"/>
                </w:tcPr>
                <w:p w:rsidR="00AC2131" w:rsidRDefault="00AC2131" w:rsidP="00AC2131">
                  <w:pPr>
                    <w:spacing w:before="40"/>
                    <w:ind w:left="113"/>
                    <w:jc w:val="right"/>
                    <w:rPr>
                      <w:rFonts w:ascii="Arial" w:hAnsi="Arial" w:cs="Arial"/>
                      <w:sz w:val="18"/>
                      <w:szCs w:val="18"/>
                    </w:rPr>
                  </w:pPr>
                </w:p>
              </w:tc>
              <w:tc>
                <w:tcPr>
                  <w:tcW w:w="467" w:type="pct"/>
                  <w:shd w:val="clear" w:color="auto" w:fill="auto"/>
                  <w:vAlign w:val="bottom"/>
                </w:tcPr>
                <w:p w:rsidR="00AC2131" w:rsidRDefault="00AC2131" w:rsidP="00AC2131">
                  <w:pPr>
                    <w:spacing w:before="40"/>
                    <w:ind w:left="113"/>
                    <w:jc w:val="right"/>
                    <w:rPr>
                      <w:rFonts w:ascii="Arial" w:hAnsi="Arial" w:cs="Arial"/>
                      <w:sz w:val="18"/>
                      <w:szCs w:val="18"/>
                    </w:rPr>
                  </w:pPr>
                </w:p>
              </w:tc>
              <w:tc>
                <w:tcPr>
                  <w:tcW w:w="463" w:type="pct"/>
                  <w:shd w:val="clear" w:color="auto" w:fill="auto"/>
                  <w:vAlign w:val="bottom"/>
                </w:tcPr>
                <w:p w:rsidR="00AC2131" w:rsidRDefault="00AC2131" w:rsidP="00AC2131">
                  <w:pPr>
                    <w:spacing w:before="40"/>
                    <w:ind w:left="113"/>
                    <w:jc w:val="right"/>
                    <w:rPr>
                      <w:rFonts w:ascii="Arial" w:hAnsi="Arial" w:cs="Arial"/>
                      <w:sz w:val="18"/>
                      <w:szCs w:val="18"/>
                    </w:rPr>
                  </w:pP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COMET Program</w:t>
                  </w:r>
                </w:p>
              </w:tc>
              <w:tc>
                <w:tcPr>
                  <w:tcW w:w="469"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Commercialisation Australia</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0.1</w:t>
                  </w:r>
                </w:p>
              </w:tc>
              <w:tc>
                <w:tcPr>
                  <w:tcW w:w="463" w:type="pct"/>
                  <w:shd w:val="clear" w:color="auto" w:fill="auto"/>
                  <w:vAlign w:val="bottom"/>
                </w:tcPr>
                <w:p w:rsidR="00AC2131" w:rsidRDefault="00AC2131" w:rsidP="00AC2131">
                  <w:pPr>
                    <w:pStyle w:val="TableBodyText"/>
                    <w:spacing w:after="0"/>
                    <w:ind w:left="0" w:right="57"/>
                  </w:pPr>
                  <w:r>
                    <w:t>0.1</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Cooperative Research Centres</w:t>
                  </w:r>
                </w:p>
              </w:tc>
              <w:tc>
                <w:tcPr>
                  <w:tcW w:w="469" w:type="pct"/>
                  <w:vAlign w:val="bottom"/>
                </w:tcPr>
                <w:p w:rsidR="00AC2131" w:rsidRDefault="00AC2131" w:rsidP="00AC2131">
                  <w:pPr>
                    <w:pStyle w:val="TableBodyText"/>
                    <w:spacing w:after="0"/>
                    <w:ind w:left="0" w:right="57"/>
                  </w:pPr>
                  <w:r>
                    <w:t>3.0</w:t>
                  </w:r>
                </w:p>
              </w:tc>
              <w:tc>
                <w:tcPr>
                  <w:tcW w:w="467"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CSIRO</w:t>
                  </w:r>
                </w:p>
              </w:tc>
              <w:tc>
                <w:tcPr>
                  <w:tcW w:w="469"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1.2</w:t>
                  </w:r>
                </w:p>
              </w:tc>
              <w:tc>
                <w:tcPr>
                  <w:tcW w:w="467" w:type="pct"/>
                  <w:shd w:val="clear" w:color="auto" w:fill="auto"/>
                  <w:vAlign w:val="bottom"/>
                </w:tcPr>
                <w:p w:rsidR="00AC2131" w:rsidRDefault="00AC2131" w:rsidP="00AC2131">
                  <w:pPr>
                    <w:pStyle w:val="TableBodyText"/>
                    <w:spacing w:after="0"/>
                    <w:ind w:left="0" w:right="57"/>
                  </w:pPr>
                  <w:r>
                    <w:t>1.1</w:t>
                  </w:r>
                </w:p>
              </w:tc>
              <w:tc>
                <w:tcPr>
                  <w:tcW w:w="463" w:type="pct"/>
                  <w:shd w:val="clear" w:color="auto" w:fill="auto"/>
                  <w:vAlign w:val="bottom"/>
                </w:tcPr>
                <w:p w:rsidR="00AC2131" w:rsidRDefault="00AC2131" w:rsidP="00AC2131">
                  <w:pPr>
                    <w:pStyle w:val="TableBodyText"/>
                    <w:spacing w:after="0"/>
                    <w:ind w:left="0" w:right="57"/>
                  </w:pPr>
                  <w:r>
                    <w:t>1.3</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Premium R&amp;D tax concession</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0.7</w:t>
                  </w:r>
                </w:p>
              </w:tc>
              <w:tc>
                <w:tcPr>
                  <w:tcW w:w="467" w:type="pct"/>
                  <w:vAlign w:val="bottom"/>
                </w:tcPr>
                <w:p w:rsidR="00AC2131" w:rsidRDefault="00AC2131" w:rsidP="00AC2131">
                  <w:pPr>
                    <w:pStyle w:val="TableBodyText"/>
                    <w:spacing w:after="0"/>
                    <w:ind w:left="0" w:right="57"/>
                  </w:pPr>
                  <w:r>
                    <w:t>0.6</w:t>
                  </w:r>
                </w:p>
              </w:tc>
              <w:tc>
                <w:tcPr>
                  <w:tcW w:w="467" w:type="pct"/>
                  <w:vAlign w:val="bottom"/>
                </w:tcPr>
                <w:p w:rsidR="00AC2131" w:rsidRDefault="00AC2131" w:rsidP="00AC2131">
                  <w:pPr>
                    <w:pStyle w:val="TableBodyText"/>
                    <w:spacing w:after="0"/>
                    <w:ind w:left="0" w:right="57"/>
                  </w:pPr>
                  <w:r>
                    <w:t>0.4</w:t>
                  </w:r>
                </w:p>
              </w:tc>
              <w:tc>
                <w:tcPr>
                  <w:tcW w:w="467" w:type="pct"/>
                  <w:shd w:val="clear" w:color="auto" w:fill="auto"/>
                  <w:vAlign w:val="bottom"/>
                </w:tcPr>
                <w:p w:rsidR="00AC2131" w:rsidRDefault="00AC2131" w:rsidP="00AC2131">
                  <w:pPr>
                    <w:pStyle w:val="TableBodyText"/>
                    <w:spacing w:after="0"/>
                    <w:ind w:left="0" w:right="57"/>
                  </w:pPr>
                  <w:r>
                    <w:t>0.1</w:t>
                  </w:r>
                </w:p>
              </w:tc>
              <w:tc>
                <w:tcPr>
                  <w:tcW w:w="463"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sidRPr="00900EA0">
                    <w:rPr>
                      <w:rFonts w:ascii="Arial" w:hAnsi="Arial" w:cs="Arial"/>
                      <w:color w:val="000000"/>
                      <w:sz w:val="18"/>
                      <w:szCs w:val="18"/>
                    </w:rPr>
                    <w:t>R&amp;D tax concession</w:t>
                  </w:r>
                </w:p>
              </w:tc>
              <w:tc>
                <w:tcPr>
                  <w:tcW w:w="469"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2.6</w:t>
                  </w:r>
                </w:p>
              </w:tc>
              <w:tc>
                <w:tcPr>
                  <w:tcW w:w="467" w:type="pct"/>
                  <w:shd w:val="clear" w:color="auto" w:fill="auto"/>
                  <w:vAlign w:val="bottom"/>
                </w:tcPr>
                <w:p w:rsidR="00AC2131" w:rsidRDefault="00AC2131" w:rsidP="00AC2131">
                  <w:pPr>
                    <w:pStyle w:val="TableBodyText"/>
                    <w:spacing w:after="0"/>
                    <w:ind w:left="0" w:right="57"/>
                  </w:pPr>
                  <w:r>
                    <w:t>1.2</w:t>
                  </w:r>
                </w:p>
              </w:tc>
              <w:tc>
                <w:tcPr>
                  <w:tcW w:w="463" w:type="pct"/>
                  <w:shd w:val="clear" w:color="auto" w:fill="auto"/>
                  <w:vAlign w:val="bottom"/>
                </w:tcPr>
                <w:p w:rsidR="00AC2131" w:rsidRDefault="00AC2131" w:rsidP="00AC2131">
                  <w:pPr>
                    <w:pStyle w:val="TableBodyText"/>
                    <w:spacing w:after="0"/>
                    <w:ind w:left="0" w:right="57"/>
                  </w:pPr>
                  <w:r>
                    <w:t>0.4</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-0.5</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3.3</w:t>
                  </w:r>
                </w:p>
              </w:tc>
              <w:tc>
                <w:tcPr>
                  <w:tcW w:w="463" w:type="pct"/>
                  <w:shd w:val="clear" w:color="auto" w:fill="auto"/>
                  <w:vAlign w:val="bottom"/>
                </w:tcPr>
                <w:p w:rsidR="00AC2131" w:rsidRDefault="00AC2131" w:rsidP="00AC2131">
                  <w:pPr>
                    <w:pStyle w:val="TableBodyText"/>
                    <w:spacing w:after="0"/>
                    <w:ind w:left="0" w:right="57"/>
                  </w:pPr>
                  <w:r>
                    <w:t>1.1</w:t>
                  </w:r>
                </w:p>
              </w:tc>
            </w:tr>
            <w:tr w:rsidR="00AC2131" w:rsidTr="00AC2131">
              <w:tc>
                <w:tcPr>
                  <w:tcW w:w="2200" w:type="pct"/>
                  <w:shd w:val="clear" w:color="auto" w:fill="auto"/>
                  <w:vAlign w:val="bottom"/>
                </w:tcPr>
                <w:p w:rsidR="00AC2131" w:rsidRPr="00900EA0"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69"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0.9</w:t>
                  </w:r>
                </w:p>
              </w:tc>
              <w:tc>
                <w:tcPr>
                  <w:tcW w:w="463" w:type="pct"/>
                  <w:shd w:val="clear" w:color="auto" w:fill="auto"/>
                  <w:vAlign w:val="bottom"/>
                </w:tcPr>
                <w:p w:rsidR="00AC2131" w:rsidRDefault="00AC2131" w:rsidP="00AC2131">
                  <w:pPr>
                    <w:pStyle w:val="TableBodyText"/>
                    <w:spacing w:after="0"/>
                    <w:ind w:left="0" w:right="57"/>
                  </w:pPr>
                  <w:r>
                    <w:t>1.7</w:t>
                  </w:r>
                </w:p>
              </w:tc>
            </w:tr>
            <w:tr w:rsidR="00AC2131" w:rsidTr="00AC2131">
              <w:tc>
                <w:tcPr>
                  <w:tcW w:w="2200" w:type="pct"/>
                  <w:tcBorders>
                    <w:bottom w:val="single" w:sz="6" w:space="0" w:color="BFBFBF"/>
                  </w:tcBorders>
                  <w:shd w:val="clear" w:color="auto" w:fill="auto"/>
                  <w:vAlign w:val="bottom"/>
                </w:tcPr>
                <w:p w:rsidR="00AC2131" w:rsidRPr="00900EA0"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69" w:type="pct"/>
                  <w:tcBorders>
                    <w:bottom w:val="single" w:sz="6" w:space="0" w:color="BFBFBF"/>
                  </w:tcBorders>
                  <w:vAlign w:val="bottom"/>
                </w:tcPr>
                <w:p w:rsidR="00AC2131" w:rsidRDefault="00AC2131" w:rsidP="00AC2131">
                  <w:pPr>
                    <w:pStyle w:val="TableBodyText"/>
                    <w:spacing w:after="0"/>
                    <w:ind w:left="0" w:right="57"/>
                  </w:pPr>
                  <w:r>
                    <w:t>1.6</w:t>
                  </w:r>
                </w:p>
              </w:tc>
              <w:tc>
                <w:tcPr>
                  <w:tcW w:w="467" w:type="pct"/>
                  <w:tcBorders>
                    <w:bottom w:val="single" w:sz="6" w:space="0" w:color="BFBFBF"/>
                  </w:tcBorders>
                  <w:vAlign w:val="bottom"/>
                </w:tcPr>
                <w:p w:rsidR="00AC2131" w:rsidRDefault="00AC2131" w:rsidP="00AC2131">
                  <w:pPr>
                    <w:pStyle w:val="TableBodyText"/>
                    <w:spacing w:after="0"/>
                    <w:ind w:left="0" w:right="57"/>
                  </w:pPr>
                  <w:r>
                    <w:t>2.1</w:t>
                  </w:r>
                </w:p>
              </w:tc>
              <w:tc>
                <w:tcPr>
                  <w:tcW w:w="467" w:type="pct"/>
                  <w:tcBorders>
                    <w:bottom w:val="single" w:sz="6" w:space="0" w:color="BFBFBF"/>
                  </w:tcBorders>
                  <w:vAlign w:val="bottom"/>
                </w:tcPr>
                <w:p w:rsidR="00AC2131" w:rsidRDefault="00AC2131" w:rsidP="00AC2131">
                  <w:pPr>
                    <w:pStyle w:val="TableBodyText"/>
                    <w:spacing w:after="0"/>
                    <w:ind w:left="0" w:right="57"/>
                  </w:pPr>
                  <w:r>
                    <w:t>1.1</w:t>
                  </w:r>
                </w:p>
              </w:tc>
              <w:tc>
                <w:tcPr>
                  <w:tcW w:w="467" w:type="pct"/>
                  <w:tcBorders>
                    <w:bottom w:val="single" w:sz="6" w:space="0" w:color="BFBFBF"/>
                  </w:tcBorders>
                  <w:vAlign w:val="bottom"/>
                </w:tcPr>
                <w:p w:rsidR="00AC2131" w:rsidRDefault="00AC2131" w:rsidP="00AC2131">
                  <w:pPr>
                    <w:pStyle w:val="TableBodyText"/>
                    <w:spacing w:after="0"/>
                    <w:ind w:left="0" w:right="57"/>
                  </w:pPr>
                  <w:r>
                    <w:t>1.2</w:t>
                  </w:r>
                </w:p>
              </w:tc>
              <w:tc>
                <w:tcPr>
                  <w:tcW w:w="467"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63"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499"/>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AC2131" w:rsidTr="00AC2131">
        <w:tc>
          <w:tcPr>
            <w:tcW w:w="8789"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789" w:type="dxa"/>
            <w:tcBorders>
              <w:top w:val="nil"/>
              <w:left w:val="nil"/>
              <w:bottom w:val="nil"/>
              <w:right w:val="nil"/>
            </w:tcBorders>
            <w:shd w:val="clear" w:color="auto" w:fill="auto"/>
          </w:tcPr>
          <w:tbl>
            <w:tblPr>
              <w:tblW w:w="8505" w:type="dxa"/>
              <w:tblCellMar>
                <w:top w:w="28" w:type="dxa"/>
                <w:left w:w="0" w:type="dxa"/>
                <w:right w:w="0" w:type="dxa"/>
              </w:tblCellMar>
              <w:tblLook w:val="0000" w:firstRow="0" w:lastRow="0" w:firstColumn="0" w:lastColumn="0" w:noHBand="0" w:noVBand="0"/>
            </w:tblPr>
            <w:tblGrid>
              <w:gridCol w:w="3743"/>
              <w:gridCol w:w="800"/>
              <w:gridCol w:w="794"/>
              <w:gridCol w:w="794"/>
              <w:gridCol w:w="794"/>
              <w:gridCol w:w="799"/>
              <w:gridCol w:w="781"/>
            </w:tblGrid>
            <w:tr w:rsidR="00AC2131" w:rsidTr="00AC2131">
              <w:tc>
                <w:tcPr>
                  <w:tcW w:w="220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70"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70"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59"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0" w:type="pct"/>
                  <w:tcBorders>
                    <w:top w:val="single" w:sz="6" w:space="0" w:color="BFBFBF"/>
                  </w:tcBorders>
                </w:tcPr>
                <w:p w:rsidR="00AC2131" w:rsidRPr="0059660A" w:rsidRDefault="00AC2131" w:rsidP="00AC2131">
                  <w:pPr>
                    <w:pStyle w:val="TableUnitsRow"/>
                    <w:spacing w:after="0"/>
                    <w:ind w:left="113"/>
                    <w:jc w:val="left"/>
                    <w:rPr>
                      <w:i/>
                    </w:rPr>
                  </w:pPr>
                  <w:r w:rsidRPr="0059660A">
                    <w:rPr>
                      <w:i/>
                    </w:rPr>
                    <w:t>Other measures</w:t>
                  </w:r>
                </w:p>
              </w:tc>
              <w:tc>
                <w:tcPr>
                  <w:tcW w:w="470"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67" w:type="pct"/>
                  <w:tcBorders>
                    <w:top w:val="single" w:sz="6" w:space="0" w:color="BFBFBF"/>
                  </w:tcBorders>
                </w:tcPr>
                <w:p w:rsidR="00AC2131" w:rsidRDefault="00AC2131" w:rsidP="00AC2131">
                  <w:pPr>
                    <w:pStyle w:val="TableUnitsRow"/>
                    <w:spacing w:after="0"/>
                    <w:ind w:left="113"/>
                  </w:pPr>
                </w:p>
              </w:tc>
              <w:tc>
                <w:tcPr>
                  <w:tcW w:w="470" w:type="pct"/>
                  <w:tcBorders>
                    <w:top w:val="single" w:sz="6" w:space="0" w:color="BFBFBF"/>
                  </w:tcBorders>
                </w:tcPr>
                <w:p w:rsidR="00AC2131" w:rsidRDefault="00AC2131" w:rsidP="00AC2131">
                  <w:pPr>
                    <w:pStyle w:val="TableUnitsRow"/>
                    <w:spacing w:after="0"/>
                    <w:ind w:left="113"/>
                  </w:pPr>
                </w:p>
              </w:tc>
              <w:tc>
                <w:tcPr>
                  <w:tcW w:w="459" w:type="pct"/>
                  <w:tcBorders>
                    <w:top w:val="single" w:sz="6" w:space="0" w:color="BFBFBF"/>
                  </w:tcBorders>
                </w:tcPr>
                <w:p w:rsidR="00AC2131" w:rsidRDefault="00AC2131" w:rsidP="00AC2131">
                  <w:pPr>
                    <w:pStyle w:val="TableUnitsRow"/>
                    <w:spacing w:after="0"/>
                    <w:ind w:left="113" w:right="28"/>
                  </w:pPr>
                </w:p>
              </w:tc>
            </w:tr>
            <w:tr w:rsidR="00AC2131" w:rsidTr="00AC2131">
              <w:tc>
                <w:tcPr>
                  <w:tcW w:w="2200" w:type="pct"/>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25 per cent entrepreneurs' tax offset</w:t>
                  </w:r>
                </w:p>
              </w:tc>
              <w:tc>
                <w:tcPr>
                  <w:tcW w:w="470" w:type="pct"/>
                  <w:vAlign w:val="bottom"/>
                </w:tcPr>
                <w:p w:rsidR="00AC2131" w:rsidRDefault="00AC2131" w:rsidP="00AC2131">
                  <w:pPr>
                    <w:pStyle w:val="TableBodyText"/>
                    <w:spacing w:after="0"/>
                    <w:ind w:left="0" w:right="57"/>
                  </w:pPr>
                  <w:r>
                    <w:t>6.3</w:t>
                  </w:r>
                </w:p>
              </w:tc>
              <w:tc>
                <w:tcPr>
                  <w:tcW w:w="467" w:type="pct"/>
                  <w:vAlign w:val="bottom"/>
                </w:tcPr>
                <w:p w:rsidR="00AC2131" w:rsidRDefault="00AC2131" w:rsidP="00AC2131">
                  <w:pPr>
                    <w:pStyle w:val="TableBodyText"/>
                    <w:spacing w:after="0"/>
                    <w:ind w:left="0" w:right="57"/>
                  </w:pPr>
                  <w:r>
                    <w:t>6.1</w:t>
                  </w:r>
                </w:p>
              </w:tc>
              <w:tc>
                <w:tcPr>
                  <w:tcW w:w="467" w:type="pct"/>
                  <w:vAlign w:val="bottom"/>
                </w:tcPr>
                <w:p w:rsidR="00AC2131" w:rsidRDefault="00AC2131" w:rsidP="00AC2131">
                  <w:pPr>
                    <w:pStyle w:val="TableBodyText"/>
                    <w:spacing w:after="0"/>
                    <w:ind w:left="0" w:right="57"/>
                  </w:pPr>
                  <w:r>
                    <w:t>5.9</w:t>
                  </w:r>
                </w:p>
              </w:tc>
              <w:tc>
                <w:tcPr>
                  <w:tcW w:w="467" w:type="pct"/>
                  <w:vAlign w:val="bottom"/>
                </w:tcPr>
                <w:p w:rsidR="00AC2131" w:rsidRDefault="00AC2131" w:rsidP="00AC2131">
                  <w:pPr>
                    <w:pStyle w:val="TableBodyText"/>
                    <w:spacing w:after="0"/>
                    <w:ind w:left="0" w:right="57"/>
                  </w:pPr>
                  <w:r>
                    <w:t>5.9</w:t>
                  </w:r>
                </w:p>
              </w:tc>
              <w:tc>
                <w:tcPr>
                  <w:tcW w:w="470" w:type="pct"/>
                  <w:vAlign w:val="bottom"/>
                </w:tcPr>
                <w:p w:rsidR="00AC2131" w:rsidRDefault="00AC2131" w:rsidP="00AC2131">
                  <w:pPr>
                    <w:pStyle w:val="TableBodyText"/>
                    <w:spacing w:after="0"/>
                    <w:ind w:left="0" w:right="57"/>
                  </w:pPr>
                  <w:r>
                    <w:t>8.2</w:t>
                  </w:r>
                </w:p>
              </w:tc>
              <w:tc>
                <w:tcPr>
                  <w:tcW w:w="459" w:type="pct"/>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Enterprise Connect Innovation Centres</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0.1</w:t>
                  </w:r>
                </w:p>
              </w:tc>
              <w:tc>
                <w:tcPr>
                  <w:tcW w:w="470" w:type="pct"/>
                  <w:shd w:val="clear" w:color="auto" w:fill="auto"/>
                  <w:vAlign w:val="bottom"/>
                </w:tcPr>
                <w:p w:rsidR="00AC2131" w:rsidRDefault="00AC2131" w:rsidP="00AC2131">
                  <w:pPr>
                    <w:pStyle w:val="TableBodyText"/>
                    <w:spacing w:after="0"/>
                    <w:ind w:left="0" w:right="57"/>
                  </w:pPr>
                  <w:r>
                    <w:t>0.1</w:t>
                  </w:r>
                </w:p>
              </w:tc>
              <w:tc>
                <w:tcPr>
                  <w:tcW w:w="459"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Illawarra Region Innovation and Investment Fund</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1.9</w:t>
                  </w:r>
                </w:p>
              </w:tc>
              <w:tc>
                <w:tcPr>
                  <w:tcW w:w="470" w:type="pct"/>
                  <w:shd w:val="clear" w:color="auto" w:fill="auto"/>
                  <w:vAlign w:val="bottom"/>
                </w:tcPr>
                <w:p w:rsidR="00AC2131" w:rsidRDefault="00AC2131" w:rsidP="00AC2131">
                  <w:pPr>
                    <w:pStyle w:val="TableBodyText"/>
                    <w:spacing w:after="0"/>
                    <w:ind w:left="0" w:right="57"/>
                  </w:pPr>
                  <w:r>
                    <w:t>1.8</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70"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1.7</w:t>
                  </w:r>
                </w:p>
              </w:tc>
              <w:tc>
                <w:tcPr>
                  <w:tcW w:w="467" w:type="pct"/>
                  <w:vAlign w:val="bottom"/>
                </w:tcPr>
                <w:p w:rsidR="00AC2131" w:rsidRDefault="00AC2131" w:rsidP="00AC2131">
                  <w:pPr>
                    <w:pStyle w:val="TableBodyText"/>
                    <w:spacing w:after="0"/>
                    <w:ind w:left="0" w:right="57"/>
                  </w:pPr>
                  <w:r>
                    <w:t>0.1</w:t>
                  </w:r>
                </w:p>
              </w:tc>
              <w:tc>
                <w:tcPr>
                  <w:tcW w:w="470" w:type="pct"/>
                  <w:shd w:val="clear" w:color="auto" w:fill="auto"/>
                  <w:vAlign w:val="bottom"/>
                </w:tcPr>
                <w:p w:rsidR="00AC2131" w:rsidRDefault="00AC2131" w:rsidP="00AC2131">
                  <w:pPr>
                    <w:pStyle w:val="TableBodyText"/>
                    <w:spacing w:after="0"/>
                    <w:ind w:left="0" w:right="57"/>
                  </w:pPr>
                  <w:r>
                    <w:t>-0.5</w:t>
                  </w:r>
                </w:p>
              </w:tc>
              <w:tc>
                <w:tcPr>
                  <w:tcW w:w="459" w:type="pct"/>
                  <w:shd w:val="clear" w:color="auto" w:fill="auto"/>
                  <w:vAlign w:val="bottom"/>
                </w:tcPr>
                <w:p w:rsidR="00AC2131" w:rsidRDefault="00AC2131" w:rsidP="00AC2131">
                  <w:pPr>
                    <w:pStyle w:val="TableBodyText"/>
                    <w:spacing w:after="0"/>
                    <w:ind w:left="0" w:right="57"/>
                  </w:pPr>
                  <w:r>
                    <w:t>18.9</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 xml:space="preserve">Small business </w:t>
                  </w:r>
                  <w:r>
                    <w:rPr>
                      <w:rFonts w:ascii="Arial" w:hAnsi="Arial" w:cs="Arial"/>
                      <w:color w:val="000000"/>
                      <w:sz w:val="18"/>
                      <w:szCs w:val="18"/>
                    </w:rPr>
                    <w:t>capital gains tax</w:t>
                  </w:r>
                  <w:r w:rsidRPr="0059660A">
                    <w:rPr>
                      <w:rFonts w:ascii="Arial" w:hAnsi="Arial" w:cs="Arial"/>
                      <w:color w:val="000000"/>
                      <w:sz w:val="18"/>
                      <w:szCs w:val="18"/>
                    </w:rPr>
                    <w:t xml:space="preserve"> 50 per cent reduction</w:t>
                  </w:r>
                </w:p>
              </w:tc>
              <w:tc>
                <w:tcPr>
                  <w:tcW w:w="470" w:type="pct"/>
                  <w:vAlign w:val="bottom"/>
                </w:tcPr>
                <w:p w:rsidR="00AC2131" w:rsidRDefault="00AC2131" w:rsidP="00AC2131">
                  <w:pPr>
                    <w:pStyle w:val="TableBodyText"/>
                    <w:spacing w:after="0"/>
                    <w:ind w:left="0" w:right="57"/>
                  </w:pPr>
                  <w:r>
                    <w:t>5.3</w:t>
                  </w:r>
                </w:p>
              </w:tc>
              <w:tc>
                <w:tcPr>
                  <w:tcW w:w="467" w:type="pct"/>
                  <w:vAlign w:val="bottom"/>
                </w:tcPr>
                <w:p w:rsidR="00AC2131" w:rsidRDefault="00AC2131" w:rsidP="00AC2131">
                  <w:pPr>
                    <w:pStyle w:val="TableBodyText"/>
                    <w:spacing w:after="0"/>
                    <w:ind w:left="0" w:right="57"/>
                  </w:pPr>
                  <w:r>
                    <w:t>4.4</w:t>
                  </w:r>
                </w:p>
              </w:tc>
              <w:tc>
                <w:tcPr>
                  <w:tcW w:w="467"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4.7</w:t>
                  </w:r>
                </w:p>
              </w:tc>
              <w:tc>
                <w:tcPr>
                  <w:tcW w:w="470" w:type="pct"/>
                  <w:shd w:val="clear" w:color="auto" w:fill="auto"/>
                  <w:vAlign w:val="bottom"/>
                </w:tcPr>
                <w:p w:rsidR="00AC2131" w:rsidRDefault="00AC2131" w:rsidP="00AC2131">
                  <w:pPr>
                    <w:pStyle w:val="TableBodyText"/>
                    <w:spacing w:after="0"/>
                    <w:ind w:left="0" w:right="57"/>
                  </w:pPr>
                  <w:r>
                    <w:t>4.9</w:t>
                  </w:r>
                </w:p>
              </w:tc>
              <w:tc>
                <w:tcPr>
                  <w:tcW w:w="459" w:type="pct"/>
                  <w:shd w:val="clear" w:color="auto" w:fill="auto"/>
                  <w:vAlign w:val="bottom"/>
                </w:tcPr>
                <w:p w:rsidR="00AC2131" w:rsidRDefault="00AC2131" w:rsidP="00AC2131">
                  <w:pPr>
                    <w:pStyle w:val="TableBodyText"/>
                    <w:spacing w:after="0"/>
                    <w:ind w:left="0" w:right="57"/>
                  </w:pPr>
                  <w:r>
                    <w:t>5.1</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 xml:space="preserve">Small business </w:t>
                  </w:r>
                  <w:r>
                    <w:rPr>
                      <w:rFonts w:ascii="Arial" w:hAnsi="Arial" w:cs="Arial"/>
                      <w:color w:val="000000"/>
                      <w:sz w:val="18"/>
                      <w:szCs w:val="18"/>
                    </w:rPr>
                    <w:t>capital gains tax</w:t>
                  </w:r>
                  <w:r w:rsidRPr="0059660A">
                    <w:rPr>
                      <w:rFonts w:ascii="Arial" w:hAnsi="Arial" w:cs="Arial"/>
                      <w:color w:val="000000"/>
                      <w:sz w:val="18"/>
                      <w:szCs w:val="18"/>
                    </w:rPr>
                    <w:t xml:space="preserve"> retirement exemption</w:t>
                  </w:r>
                </w:p>
              </w:tc>
              <w:tc>
                <w:tcPr>
                  <w:tcW w:w="470" w:type="pct"/>
                  <w:vAlign w:val="bottom"/>
                </w:tcPr>
                <w:p w:rsidR="00AC2131" w:rsidRDefault="00AC2131" w:rsidP="00AC2131">
                  <w:pPr>
                    <w:pStyle w:val="TableBodyText"/>
                    <w:spacing w:after="0"/>
                    <w:ind w:left="0" w:right="57"/>
                  </w:pPr>
                  <w:r>
                    <w:t>2.3</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0" w:type="pct"/>
                  <w:shd w:val="clear" w:color="auto" w:fill="auto"/>
                  <w:vAlign w:val="bottom"/>
                </w:tcPr>
                <w:p w:rsidR="00AC2131" w:rsidRDefault="00AC2131" w:rsidP="00AC2131">
                  <w:pPr>
                    <w:pStyle w:val="TableBodyText"/>
                    <w:spacing w:after="0"/>
                    <w:ind w:left="0" w:right="57"/>
                  </w:pPr>
                  <w:r>
                    <w:t>–</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 xml:space="preserve">Small business </w:t>
                  </w:r>
                  <w:r>
                    <w:rPr>
                      <w:rFonts w:ascii="Arial" w:hAnsi="Arial" w:cs="Arial"/>
                      <w:color w:val="000000"/>
                      <w:sz w:val="18"/>
                      <w:szCs w:val="18"/>
                    </w:rPr>
                    <w:t>capital gains tax</w:t>
                  </w:r>
                  <w:r w:rsidRPr="0059660A">
                    <w:rPr>
                      <w:rFonts w:ascii="Arial" w:hAnsi="Arial" w:cs="Arial"/>
                      <w:color w:val="000000"/>
                      <w:sz w:val="18"/>
                      <w:szCs w:val="18"/>
                    </w:rPr>
                    <w:t xml:space="preserve"> rollover deferral</w:t>
                  </w:r>
                </w:p>
              </w:tc>
              <w:tc>
                <w:tcPr>
                  <w:tcW w:w="470" w:type="pct"/>
                  <w:vAlign w:val="bottom"/>
                </w:tcPr>
                <w:p w:rsidR="00AC2131" w:rsidRDefault="00AC2131" w:rsidP="00AC2131">
                  <w:pPr>
                    <w:pStyle w:val="TableBodyText"/>
                    <w:spacing w:after="0"/>
                    <w:ind w:left="0" w:right="57"/>
                  </w:pPr>
                  <w:r>
                    <w:t>0.8</w:t>
                  </w:r>
                </w:p>
              </w:tc>
              <w:tc>
                <w:tcPr>
                  <w:tcW w:w="467" w:type="pct"/>
                  <w:vAlign w:val="bottom"/>
                </w:tcPr>
                <w:p w:rsidR="00AC2131" w:rsidRDefault="00AC2131" w:rsidP="00AC2131">
                  <w:pPr>
                    <w:pStyle w:val="TableBodyText"/>
                    <w:spacing w:after="0"/>
                    <w:ind w:left="0" w:right="57"/>
                  </w:pPr>
                  <w:r>
                    <w:t>1.1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0" w:type="pct"/>
                  <w:shd w:val="clear" w:color="auto" w:fill="auto"/>
                  <w:vAlign w:val="bottom"/>
                </w:tcPr>
                <w:p w:rsidR="00AC2131" w:rsidRDefault="00AC2131" w:rsidP="00AC2131">
                  <w:pPr>
                    <w:pStyle w:val="TableBodyText"/>
                    <w:spacing w:after="0"/>
                    <w:ind w:left="0" w:right="57"/>
                  </w:pPr>
                  <w:r>
                    <w:t>–</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Tasmanian Freight Equalisation Scheme</w:t>
                  </w:r>
                </w:p>
              </w:tc>
              <w:tc>
                <w:tcPr>
                  <w:tcW w:w="470"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0.1</w:t>
                  </w:r>
                </w:p>
              </w:tc>
              <w:tc>
                <w:tcPr>
                  <w:tcW w:w="470" w:type="pct"/>
                  <w:shd w:val="clear" w:color="auto" w:fill="auto"/>
                  <w:vAlign w:val="bottom"/>
                </w:tcPr>
                <w:p w:rsidR="00AC2131" w:rsidRDefault="00AC2131" w:rsidP="00AC2131">
                  <w:pPr>
                    <w:pStyle w:val="TableBodyText"/>
                    <w:spacing w:after="0"/>
                    <w:ind w:left="0" w:right="57"/>
                  </w:pPr>
                  <w:r>
                    <w:t>0.2</w:t>
                  </w:r>
                </w:p>
              </w:tc>
              <w:tc>
                <w:tcPr>
                  <w:tcW w:w="459" w:type="pct"/>
                  <w:shd w:val="clear" w:color="auto" w:fill="auto"/>
                  <w:vAlign w:val="bottom"/>
                </w:tcPr>
                <w:p w:rsidR="00AC2131" w:rsidRDefault="00AC2131" w:rsidP="00AC2131">
                  <w:pPr>
                    <w:pStyle w:val="TableBodyText"/>
                    <w:spacing w:after="0"/>
                    <w:ind w:left="0" w:right="57"/>
                  </w:pPr>
                  <w:r>
                    <w:t>0.2</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Temporary Assistance for Tasmanian Exporters</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70" w:type="pct"/>
                  <w:shd w:val="clear" w:color="auto" w:fill="auto"/>
                  <w:vAlign w:val="bottom"/>
                </w:tcPr>
                <w:p w:rsidR="00AC2131" w:rsidRDefault="00AC2131" w:rsidP="00AC2131">
                  <w:pPr>
                    <w:pStyle w:val="TableBodyText"/>
                    <w:spacing w:after="0"/>
                    <w:ind w:left="0" w:right="57"/>
                  </w:pPr>
                  <w:r>
                    <w:t>–</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The Small Business and General Business Tax Break</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10.7</w:t>
                  </w:r>
                </w:p>
              </w:tc>
              <w:tc>
                <w:tcPr>
                  <w:tcW w:w="467" w:type="pct"/>
                  <w:vAlign w:val="bottom"/>
                </w:tcPr>
                <w:p w:rsidR="00AC2131" w:rsidRDefault="00AC2131" w:rsidP="00AC2131">
                  <w:pPr>
                    <w:pStyle w:val="TableBodyText"/>
                    <w:spacing w:after="0"/>
                    <w:ind w:left="0" w:right="57"/>
                  </w:pPr>
                  <w:r>
                    <w:t>7.4</w:t>
                  </w:r>
                </w:p>
              </w:tc>
              <w:tc>
                <w:tcPr>
                  <w:tcW w:w="467" w:type="pct"/>
                  <w:vAlign w:val="bottom"/>
                </w:tcPr>
                <w:p w:rsidR="00AC2131" w:rsidRDefault="00AC2131" w:rsidP="00AC2131">
                  <w:pPr>
                    <w:pStyle w:val="TableBodyText"/>
                    <w:spacing w:after="0"/>
                    <w:ind w:left="0" w:right="57"/>
                  </w:pPr>
                  <w:r>
                    <w:t>0.5</w:t>
                  </w:r>
                </w:p>
              </w:tc>
              <w:tc>
                <w:tcPr>
                  <w:tcW w:w="470" w:type="pct"/>
                  <w:shd w:val="clear" w:color="auto" w:fill="auto"/>
                  <w:vAlign w:val="bottom"/>
                </w:tcPr>
                <w:p w:rsidR="00AC2131" w:rsidRDefault="00AC2131" w:rsidP="00AC2131">
                  <w:pPr>
                    <w:pStyle w:val="TableBodyText"/>
                    <w:spacing w:after="0"/>
                    <w:ind w:left="0" w:right="57"/>
                  </w:pPr>
                  <w:r>
                    <w:t>0.2</w:t>
                  </w:r>
                </w:p>
              </w:tc>
              <w:tc>
                <w:tcPr>
                  <w:tcW w:w="459" w:type="pct"/>
                  <w:shd w:val="clear" w:color="auto" w:fill="auto"/>
                  <w:vAlign w:val="bottom"/>
                </w:tcPr>
                <w:p w:rsidR="00AC2131" w:rsidRDefault="00AC2131" w:rsidP="00AC2131">
                  <w:pPr>
                    <w:pStyle w:val="TableBodyText"/>
                    <w:spacing w:after="0"/>
                    <w:ind w:left="0" w:right="57"/>
                  </w:pPr>
                  <w:r>
                    <w:t>&lt;0.1</w:t>
                  </w:r>
                </w:p>
              </w:tc>
            </w:tr>
            <w:tr w:rsidR="00AC2131" w:rsidTr="00AC2131">
              <w:tc>
                <w:tcPr>
                  <w:tcW w:w="2200" w:type="pct"/>
                  <w:shd w:val="clear" w:color="auto" w:fill="auto"/>
                </w:tcPr>
                <w:p w:rsidR="00AC2131" w:rsidRPr="0059660A" w:rsidRDefault="00AC2131" w:rsidP="00AC2131">
                  <w:pPr>
                    <w:pStyle w:val="TableBodyText"/>
                    <w:spacing w:before="20" w:after="20"/>
                    <w:jc w:val="left"/>
                    <w:rPr>
                      <w:i/>
                    </w:rPr>
                  </w:pPr>
                  <w:r w:rsidRPr="0059660A">
                    <w:rPr>
                      <w:i/>
                    </w:rPr>
                    <w:t>Total</w:t>
                  </w:r>
                </w:p>
              </w:tc>
              <w:tc>
                <w:tcPr>
                  <w:tcW w:w="470" w:type="pct"/>
                  <w:vAlign w:val="bottom"/>
                </w:tcPr>
                <w:p w:rsidR="00AC2131" w:rsidRPr="003742DB" w:rsidRDefault="00AC2131" w:rsidP="00AC2131">
                  <w:pPr>
                    <w:pStyle w:val="TableBodyText"/>
                    <w:spacing w:before="20" w:after="20"/>
                    <w:ind w:left="0" w:right="57"/>
                    <w:rPr>
                      <w:i/>
                    </w:rPr>
                  </w:pPr>
                  <w:r w:rsidRPr="003742DB">
                    <w:rPr>
                      <w:i/>
                    </w:rPr>
                    <w:t>276.2</w:t>
                  </w:r>
                </w:p>
              </w:tc>
              <w:tc>
                <w:tcPr>
                  <w:tcW w:w="467" w:type="pct"/>
                  <w:vAlign w:val="bottom"/>
                </w:tcPr>
                <w:p w:rsidR="00AC2131" w:rsidRPr="003742DB" w:rsidRDefault="00AC2131" w:rsidP="00AC2131">
                  <w:pPr>
                    <w:pStyle w:val="TableBodyText"/>
                    <w:spacing w:before="20" w:after="20"/>
                    <w:ind w:left="0" w:right="57"/>
                    <w:rPr>
                      <w:i/>
                    </w:rPr>
                  </w:pPr>
                  <w:r w:rsidRPr="003742DB">
                    <w:rPr>
                      <w:i/>
                    </w:rPr>
                    <w:t>406.4</w:t>
                  </w:r>
                </w:p>
              </w:tc>
              <w:tc>
                <w:tcPr>
                  <w:tcW w:w="467" w:type="pct"/>
                  <w:vAlign w:val="bottom"/>
                </w:tcPr>
                <w:p w:rsidR="00AC2131" w:rsidRPr="003742DB" w:rsidRDefault="00AC2131" w:rsidP="00AC2131">
                  <w:pPr>
                    <w:pStyle w:val="TableBodyText"/>
                    <w:spacing w:before="20" w:after="20"/>
                    <w:ind w:left="0" w:right="57"/>
                    <w:rPr>
                      <w:i/>
                    </w:rPr>
                  </w:pPr>
                  <w:r w:rsidRPr="003742DB">
                    <w:rPr>
                      <w:i/>
                    </w:rPr>
                    <w:t>301.3</w:t>
                  </w:r>
                </w:p>
              </w:tc>
              <w:tc>
                <w:tcPr>
                  <w:tcW w:w="467" w:type="pct"/>
                  <w:vAlign w:val="bottom"/>
                </w:tcPr>
                <w:p w:rsidR="00AC2131" w:rsidRPr="003742DB" w:rsidRDefault="00AC2131" w:rsidP="00AC2131">
                  <w:pPr>
                    <w:pStyle w:val="TableBodyText"/>
                    <w:spacing w:before="20" w:after="20"/>
                    <w:ind w:left="0" w:right="57"/>
                    <w:rPr>
                      <w:i/>
                    </w:rPr>
                  </w:pPr>
                  <w:r w:rsidRPr="003742DB">
                    <w:rPr>
                      <w:i/>
                    </w:rPr>
                    <w:t>349.2</w:t>
                  </w:r>
                </w:p>
              </w:tc>
              <w:tc>
                <w:tcPr>
                  <w:tcW w:w="470" w:type="pct"/>
                  <w:shd w:val="clear" w:color="auto" w:fill="auto"/>
                  <w:vAlign w:val="bottom"/>
                </w:tcPr>
                <w:p w:rsidR="00AC2131" w:rsidRPr="003742DB" w:rsidRDefault="00AC2131" w:rsidP="00AC2131">
                  <w:pPr>
                    <w:pStyle w:val="TableBodyText"/>
                    <w:spacing w:before="20" w:after="20"/>
                    <w:ind w:left="0" w:right="57"/>
                    <w:rPr>
                      <w:i/>
                    </w:rPr>
                  </w:pPr>
                  <w:r w:rsidRPr="003742DB">
                    <w:rPr>
                      <w:i/>
                    </w:rPr>
                    <w:t>406.1</w:t>
                  </w:r>
                </w:p>
              </w:tc>
              <w:tc>
                <w:tcPr>
                  <w:tcW w:w="459" w:type="pct"/>
                  <w:shd w:val="clear" w:color="auto" w:fill="auto"/>
                  <w:vAlign w:val="bottom"/>
                </w:tcPr>
                <w:p w:rsidR="00AC2131" w:rsidRPr="003742DB" w:rsidRDefault="00AC2131" w:rsidP="00AC2131">
                  <w:pPr>
                    <w:pStyle w:val="TableBodyText"/>
                    <w:spacing w:before="20" w:after="20"/>
                    <w:ind w:left="0" w:right="57"/>
                    <w:rPr>
                      <w:i/>
                    </w:rPr>
                  </w:pPr>
                  <w:r w:rsidRPr="003742DB">
                    <w:rPr>
                      <w:i/>
                    </w:rPr>
                    <w:t>452.6</w:t>
                  </w:r>
                </w:p>
              </w:tc>
            </w:tr>
            <w:tr w:rsidR="00AC2131" w:rsidTr="00AC2131">
              <w:tc>
                <w:tcPr>
                  <w:tcW w:w="2200" w:type="pct"/>
                  <w:shd w:val="clear" w:color="auto" w:fill="auto"/>
                </w:tcPr>
                <w:p w:rsidR="00AC2131" w:rsidRPr="0059660A" w:rsidRDefault="00AC2131" w:rsidP="00AC2131">
                  <w:pPr>
                    <w:pStyle w:val="TableBodyText"/>
                    <w:spacing w:before="40"/>
                    <w:jc w:val="left"/>
                    <w:rPr>
                      <w:b/>
                    </w:rPr>
                  </w:pPr>
                  <w:r w:rsidRPr="0059660A">
                    <w:rPr>
                      <w:b/>
                    </w:rPr>
                    <w:t>Other services</w:t>
                  </w:r>
                </w:p>
              </w:tc>
              <w:tc>
                <w:tcPr>
                  <w:tcW w:w="470"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67" w:type="pct"/>
                </w:tcPr>
                <w:p w:rsidR="00AC2131" w:rsidRDefault="00AC2131" w:rsidP="00AC2131">
                  <w:pPr>
                    <w:pStyle w:val="TableBodyText"/>
                    <w:spacing w:before="40"/>
                  </w:pPr>
                </w:p>
              </w:tc>
              <w:tc>
                <w:tcPr>
                  <w:tcW w:w="470" w:type="pct"/>
                  <w:shd w:val="clear" w:color="auto" w:fill="auto"/>
                </w:tcPr>
                <w:p w:rsidR="00AC2131" w:rsidRDefault="00AC2131" w:rsidP="00AC2131">
                  <w:pPr>
                    <w:pStyle w:val="TableBodyText"/>
                    <w:spacing w:before="40"/>
                  </w:pPr>
                </w:p>
              </w:tc>
              <w:tc>
                <w:tcPr>
                  <w:tcW w:w="459" w:type="pct"/>
                  <w:shd w:val="clear" w:color="auto" w:fill="auto"/>
                </w:tcPr>
                <w:p w:rsidR="00AC2131" w:rsidRDefault="00AC2131" w:rsidP="00AC2131">
                  <w:pPr>
                    <w:pStyle w:val="TableBodyText"/>
                    <w:spacing w:before="40"/>
                    <w:ind w:right="28"/>
                  </w:pPr>
                </w:p>
              </w:tc>
            </w:tr>
            <w:tr w:rsidR="00AC2131" w:rsidTr="00AC2131">
              <w:tc>
                <w:tcPr>
                  <w:tcW w:w="2200" w:type="pct"/>
                  <w:shd w:val="clear" w:color="auto" w:fill="auto"/>
                </w:tcPr>
                <w:p w:rsidR="00AC2131" w:rsidRPr="0059660A" w:rsidRDefault="00AC2131" w:rsidP="00AC2131">
                  <w:pPr>
                    <w:pStyle w:val="TableBodyText"/>
                    <w:spacing w:before="40" w:after="0"/>
                    <w:ind w:left="113"/>
                    <w:jc w:val="left"/>
                    <w:rPr>
                      <w:i/>
                    </w:rPr>
                  </w:pPr>
                  <w:r w:rsidRPr="0059660A">
                    <w:rPr>
                      <w:i/>
                    </w:rPr>
                    <w:t>Industry-specific measures</w:t>
                  </w:r>
                </w:p>
              </w:tc>
              <w:tc>
                <w:tcPr>
                  <w:tcW w:w="470"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70" w:type="pct"/>
                  <w:shd w:val="clear" w:color="auto" w:fill="auto"/>
                </w:tcPr>
                <w:p w:rsidR="00AC2131" w:rsidRDefault="00AC2131" w:rsidP="00AC2131">
                  <w:pPr>
                    <w:pStyle w:val="TableBodyText"/>
                    <w:spacing w:before="40" w:after="0"/>
                    <w:ind w:left="113"/>
                  </w:pPr>
                </w:p>
              </w:tc>
              <w:tc>
                <w:tcPr>
                  <w:tcW w:w="459"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spacing w:after="0"/>
                    <w:ind w:left="227" w:right="0"/>
                    <w:jc w:val="left"/>
                  </w:pPr>
                  <w:r w:rsidRPr="0059660A">
                    <w:t>TCF Small Business Program</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0" w:type="pct"/>
                  <w:shd w:val="clear" w:color="auto" w:fill="auto"/>
                  <w:vAlign w:val="bottom"/>
                </w:tcPr>
                <w:p w:rsidR="00AC2131" w:rsidRDefault="00AC2131" w:rsidP="00AC2131">
                  <w:pPr>
                    <w:pStyle w:val="TableBodyText"/>
                    <w:spacing w:after="0"/>
                    <w:ind w:left="0" w:right="57"/>
                  </w:pPr>
                  <w:r>
                    <w:t>–</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59660A" w:rsidRDefault="00AC2131" w:rsidP="00AC2131">
                  <w:pPr>
                    <w:pStyle w:val="TableBodyText"/>
                    <w:spacing w:before="40" w:after="0"/>
                    <w:ind w:left="113"/>
                    <w:jc w:val="left"/>
                    <w:rPr>
                      <w:i/>
                    </w:rPr>
                  </w:pPr>
                  <w:r w:rsidRPr="0059660A">
                    <w:rPr>
                      <w:i/>
                    </w:rPr>
                    <w:t>General export measures</w:t>
                  </w:r>
                </w:p>
              </w:tc>
              <w:tc>
                <w:tcPr>
                  <w:tcW w:w="470"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70" w:type="pct"/>
                  <w:shd w:val="clear" w:color="auto" w:fill="auto"/>
                </w:tcPr>
                <w:p w:rsidR="00AC2131" w:rsidRDefault="00AC2131" w:rsidP="00AC2131">
                  <w:pPr>
                    <w:pStyle w:val="TableBodyText"/>
                    <w:spacing w:before="40" w:after="0"/>
                    <w:ind w:left="113"/>
                  </w:pPr>
                </w:p>
              </w:tc>
              <w:tc>
                <w:tcPr>
                  <w:tcW w:w="459"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tcPr>
                <w:p w:rsidR="00AC2131" w:rsidRDefault="00AC2131" w:rsidP="00AC2131">
                  <w:pPr>
                    <w:pStyle w:val="TableBodyText"/>
                    <w:spacing w:after="0"/>
                    <w:ind w:left="227" w:right="0"/>
                    <w:jc w:val="left"/>
                  </w:pPr>
                  <w:r w:rsidRPr="0059660A">
                    <w:t>Export Market Development Grants Scheme</w:t>
                  </w:r>
                </w:p>
              </w:tc>
              <w:tc>
                <w:tcPr>
                  <w:tcW w:w="470" w:type="pct"/>
                  <w:vAlign w:val="bottom"/>
                </w:tcPr>
                <w:p w:rsidR="00AC2131" w:rsidRDefault="00AC2131" w:rsidP="00AC2131">
                  <w:pPr>
                    <w:pStyle w:val="TableBodyText"/>
                    <w:spacing w:after="0"/>
                    <w:ind w:left="0" w:right="57"/>
                  </w:pPr>
                  <w:r>
                    <w:t>2.4</w:t>
                  </w:r>
                </w:p>
              </w:tc>
              <w:tc>
                <w:tcPr>
                  <w:tcW w:w="467" w:type="pct"/>
                  <w:vAlign w:val="bottom"/>
                </w:tcPr>
                <w:p w:rsidR="00AC2131" w:rsidRDefault="00AC2131" w:rsidP="00AC2131">
                  <w:pPr>
                    <w:pStyle w:val="TableBodyText"/>
                    <w:spacing w:after="0"/>
                    <w:ind w:left="0" w:right="57"/>
                  </w:pPr>
                  <w:r>
                    <w:t>3.1</w:t>
                  </w:r>
                </w:p>
              </w:tc>
              <w:tc>
                <w:tcPr>
                  <w:tcW w:w="467"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1.4</w:t>
                  </w:r>
                </w:p>
              </w:tc>
              <w:tc>
                <w:tcPr>
                  <w:tcW w:w="470" w:type="pct"/>
                  <w:shd w:val="clear" w:color="auto" w:fill="auto"/>
                  <w:vAlign w:val="bottom"/>
                </w:tcPr>
                <w:p w:rsidR="00AC2131" w:rsidRDefault="00AC2131" w:rsidP="00AC2131">
                  <w:pPr>
                    <w:pStyle w:val="TableBodyText"/>
                    <w:spacing w:after="0"/>
                    <w:ind w:left="0" w:right="57"/>
                  </w:pPr>
                  <w:r>
                    <w:t>1.6</w:t>
                  </w:r>
                </w:p>
              </w:tc>
              <w:tc>
                <w:tcPr>
                  <w:tcW w:w="459" w:type="pct"/>
                  <w:shd w:val="clear" w:color="auto" w:fill="auto"/>
                  <w:vAlign w:val="bottom"/>
                </w:tcPr>
                <w:p w:rsidR="00AC2131" w:rsidRDefault="00AC2131" w:rsidP="00AC2131">
                  <w:pPr>
                    <w:pStyle w:val="TableBodyText"/>
                    <w:spacing w:after="0"/>
                    <w:ind w:left="0" w:right="57"/>
                  </w:pPr>
                  <w:r>
                    <w:t>2.3</w:t>
                  </w:r>
                </w:p>
              </w:tc>
            </w:tr>
            <w:tr w:rsidR="00AC2131" w:rsidTr="00AC2131">
              <w:tc>
                <w:tcPr>
                  <w:tcW w:w="2200" w:type="pct"/>
                  <w:shd w:val="clear" w:color="auto" w:fill="auto"/>
                </w:tcPr>
                <w:p w:rsidR="00AC2131" w:rsidRPr="0059660A" w:rsidRDefault="00AC2131" w:rsidP="00AC2131">
                  <w:pPr>
                    <w:pStyle w:val="TableBodyText"/>
                    <w:spacing w:before="40" w:after="0"/>
                    <w:ind w:left="113"/>
                    <w:jc w:val="left"/>
                    <w:rPr>
                      <w:i/>
                    </w:rPr>
                  </w:pPr>
                  <w:r w:rsidRPr="0059660A">
                    <w:rPr>
                      <w:i/>
                    </w:rPr>
                    <w:t>General R&amp;D measures</w:t>
                  </w:r>
                </w:p>
              </w:tc>
              <w:tc>
                <w:tcPr>
                  <w:tcW w:w="470"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70" w:type="pct"/>
                  <w:shd w:val="clear" w:color="auto" w:fill="auto"/>
                </w:tcPr>
                <w:p w:rsidR="00AC2131" w:rsidRDefault="00AC2131" w:rsidP="00AC2131">
                  <w:pPr>
                    <w:pStyle w:val="TableBodyText"/>
                    <w:spacing w:before="40" w:after="0"/>
                    <w:ind w:left="113"/>
                  </w:pPr>
                </w:p>
              </w:tc>
              <w:tc>
                <w:tcPr>
                  <w:tcW w:w="459"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 xml:space="preserve">Clean Business Australia </w:t>
                  </w:r>
                  <w:r>
                    <w:rPr>
                      <w:rFonts w:ascii="Arial" w:hAnsi="Arial" w:cs="Arial"/>
                      <w:color w:val="000000"/>
                      <w:sz w:val="18"/>
                      <w:szCs w:val="18"/>
                    </w:rPr>
                    <w:t>–</w:t>
                  </w:r>
                  <w:r w:rsidRPr="0059660A">
                    <w:rPr>
                      <w:rFonts w:ascii="Arial" w:hAnsi="Arial" w:cs="Arial"/>
                      <w:color w:val="000000"/>
                      <w:sz w:val="18"/>
                      <w:szCs w:val="18"/>
                    </w:rPr>
                    <w:t xml:space="preserve"> Climate Ready Program</w:t>
                  </w:r>
                </w:p>
              </w:tc>
              <w:tc>
                <w:tcPr>
                  <w:tcW w:w="470"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0" w:type="pct"/>
                  <w:shd w:val="clear" w:color="auto" w:fill="auto"/>
                  <w:vAlign w:val="bottom"/>
                </w:tcPr>
                <w:p w:rsidR="00AC2131" w:rsidRDefault="00AC2131" w:rsidP="00AC2131">
                  <w:pPr>
                    <w:pStyle w:val="TableBodyText"/>
                    <w:spacing w:after="0"/>
                    <w:ind w:left="0" w:right="57"/>
                  </w:pPr>
                  <w:r>
                    <w:t>–</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COMET Program</w:t>
                  </w:r>
                </w:p>
              </w:tc>
              <w:tc>
                <w:tcPr>
                  <w:tcW w:w="470" w:type="pct"/>
                  <w:vAlign w:val="bottom"/>
                </w:tcPr>
                <w:p w:rsidR="00AC2131" w:rsidRDefault="00AC2131" w:rsidP="00AC2131">
                  <w:pPr>
                    <w:pStyle w:val="TableBodyText"/>
                    <w:spacing w:after="0"/>
                    <w:ind w:left="0" w:right="57"/>
                  </w:pPr>
                  <w:r>
                    <w: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70" w:type="pct"/>
                  <w:shd w:val="clear" w:color="auto" w:fill="auto"/>
                  <w:vAlign w:val="bottom"/>
                </w:tcPr>
                <w:p w:rsidR="00AC2131" w:rsidRDefault="00AC2131" w:rsidP="00AC2131">
                  <w:pPr>
                    <w:pStyle w:val="TableBodyText"/>
                    <w:spacing w:after="0"/>
                    <w:ind w:left="0" w:right="57"/>
                  </w:pPr>
                  <w:r>
                    <w:t>–</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Commercial Ready Program</w:t>
                  </w:r>
                </w:p>
              </w:tc>
              <w:tc>
                <w:tcPr>
                  <w:tcW w:w="470"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0" w:type="pct"/>
                  <w:shd w:val="clear" w:color="auto" w:fill="auto"/>
                  <w:vAlign w:val="bottom"/>
                </w:tcPr>
                <w:p w:rsidR="00AC2131" w:rsidRDefault="00AC2131" w:rsidP="00AC2131">
                  <w:pPr>
                    <w:pStyle w:val="TableBodyText"/>
                    <w:spacing w:after="0"/>
                    <w:ind w:left="0" w:right="57"/>
                  </w:pPr>
                  <w:r>
                    <w:t>–</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CSIRO</w:t>
                  </w:r>
                </w:p>
              </w:tc>
              <w:tc>
                <w:tcPr>
                  <w:tcW w:w="470"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70" w:type="pct"/>
                  <w:shd w:val="clear" w:color="auto" w:fill="auto"/>
                  <w:vAlign w:val="bottom"/>
                </w:tcPr>
                <w:p w:rsidR="00AC2131" w:rsidRDefault="00AC2131" w:rsidP="00AC2131">
                  <w:pPr>
                    <w:pStyle w:val="TableBodyText"/>
                    <w:spacing w:after="0"/>
                    <w:ind w:left="0" w:right="57"/>
                  </w:pPr>
                  <w:r>
                    <w:t>–</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Premium R&amp;D tax concession</w:t>
                  </w:r>
                </w:p>
              </w:tc>
              <w:tc>
                <w:tcPr>
                  <w:tcW w:w="470" w:type="pct"/>
                  <w:vAlign w:val="bottom"/>
                </w:tcPr>
                <w:p w:rsidR="00AC2131" w:rsidRDefault="00AC2131" w:rsidP="00AC2131">
                  <w:pPr>
                    <w:pStyle w:val="TableBodyText"/>
                    <w:spacing w:after="0"/>
                    <w:ind w:left="0" w:right="57"/>
                  </w:pPr>
                  <w:r>
                    <w:t>1.2</w:t>
                  </w:r>
                </w:p>
              </w:tc>
              <w:tc>
                <w:tcPr>
                  <w:tcW w:w="467" w:type="pct"/>
                  <w:vAlign w:val="bottom"/>
                </w:tcPr>
                <w:p w:rsidR="00AC2131" w:rsidRDefault="00AC2131" w:rsidP="00AC2131">
                  <w:pPr>
                    <w:pStyle w:val="TableBodyText"/>
                    <w:spacing w:after="0"/>
                    <w:ind w:left="0" w:right="57"/>
                  </w:pPr>
                  <w:r>
                    <w:t>1.9</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2.7</w:t>
                  </w:r>
                </w:p>
              </w:tc>
              <w:tc>
                <w:tcPr>
                  <w:tcW w:w="470" w:type="pct"/>
                  <w:shd w:val="clear" w:color="auto" w:fill="auto"/>
                  <w:vAlign w:val="bottom"/>
                </w:tcPr>
                <w:p w:rsidR="00AC2131" w:rsidRDefault="00AC2131" w:rsidP="00AC2131">
                  <w:pPr>
                    <w:pStyle w:val="TableBodyText"/>
                    <w:spacing w:after="0"/>
                    <w:ind w:left="0" w:right="57"/>
                  </w:pPr>
                  <w:r>
                    <w:t>0.7</w:t>
                  </w:r>
                </w:p>
              </w:tc>
              <w:tc>
                <w:tcPr>
                  <w:tcW w:w="459" w:type="pct"/>
                  <w:shd w:val="clear" w:color="auto" w:fill="auto"/>
                  <w:vAlign w:val="bottom"/>
                </w:tcPr>
                <w:p w:rsidR="00AC2131" w:rsidRDefault="00AC2131" w:rsidP="00AC2131">
                  <w:pPr>
                    <w:pStyle w:val="TableBodyText"/>
                    <w:spacing w:after="0"/>
                    <w:ind w:left="0" w:right="57"/>
                  </w:pPr>
                  <w:r>
                    <w:t>0.3</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sidRPr="0059660A">
                    <w:rPr>
                      <w:rFonts w:ascii="Arial" w:hAnsi="Arial" w:cs="Arial"/>
                      <w:color w:val="000000"/>
                      <w:sz w:val="18"/>
                      <w:szCs w:val="18"/>
                    </w:rPr>
                    <w:t>R&amp;D tax concession</w:t>
                  </w:r>
                </w:p>
              </w:tc>
              <w:tc>
                <w:tcPr>
                  <w:tcW w:w="470" w:type="pct"/>
                  <w:vAlign w:val="bottom"/>
                </w:tcPr>
                <w:p w:rsidR="00AC2131" w:rsidRDefault="00AC2131" w:rsidP="00AC2131">
                  <w:pPr>
                    <w:pStyle w:val="TableBodyText"/>
                    <w:spacing w:after="0"/>
                    <w:ind w:left="0" w:right="57"/>
                  </w:pPr>
                  <w:r>
                    <w:t>3.7</w:t>
                  </w:r>
                </w:p>
              </w:tc>
              <w:tc>
                <w:tcPr>
                  <w:tcW w:w="467" w:type="pct"/>
                  <w:vAlign w:val="bottom"/>
                </w:tcPr>
                <w:p w:rsidR="00AC2131" w:rsidRDefault="00AC2131" w:rsidP="00AC2131">
                  <w:pPr>
                    <w:pStyle w:val="TableBodyText"/>
                    <w:spacing w:after="0"/>
                    <w:ind w:left="0" w:right="57"/>
                  </w:pPr>
                  <w:r>
                    <w:t>5.4</w:t>
                  </w:r>
                </w:p>
              </w:tc>
              <w:tc>
                <w:tcPr>
                  <w:tcW w:w="467" w:type="pct"/>
                  <w:vAlign w:val="bottom"/>
                </w:tcPr>
                <w:p w:rsidR="00AC2131" w:rsidRDefault="00AC2131" w:rsidP="00AC2131">
                  <w:pPr>
                    <w:pStyle w:val="TableBodyText"/>
                    <w:spacing w:after="0"/>
                    <w:ind w:left="0" w:right="57"/>
                  </w:pPr>
                  <w:r>
                    <w:t>5.4</w:t>
                  </w:r>
                </w:p>
              </w:tc>
              <w:tc>
                <w:tcPr>
                  <w:tcW w:w="467" w:type="pct"/>
                  <w:vAlign w:val="bottom"/>
                </w:tcPr>
                <w:p w:rsidR="00AC2131" w:rsidRDefault="00AC2131" w:rsidP="00AC2131">
                  <w:pPr>
                    <w:pStyle w:val="TableBodyText"/>
                    <w:spacing w:after="0"/>
                    <w:ind w:left="0" w:right="57"/>
                  </w:pPr>
                  <w:r>
                    <w:t>7.1</w:t>
                  </w:r>
                </w:p>
              </w:tc>
              <w:tc>
                <w:tcPr>
                  <w:tcW w:w="470" w:type="pct"/>
                  <w:shd w:val="clear" w:color="auto" w:fill="auto"/>
                  <w:vAlign w:val="bottom"/>
                </w:tcPr>
                <w:p w:rsidR="00AC2131" w:rsidRDefault="00AC2131" w:rsidP="00AC2131">
                  <w:pPr>
                    <w:pStyle w:val="TableBodyText"/>
                    <w:spacing w:after="0"/>
                    <w:ind w:left="0" w:right="57"/>
                  </w:pPr>
                  <w:r>
                    <w:t>3.2</w:t>
                  </w:r>
                </w:p>
              </w:tc>
              <w:tc>
                <w:tcPr>
                  <w:tcW w:w="459" w:type="pct"/>
                  <w:shd w:val="clear" w:color="auto" w:fill="auto"/>
                  <w:vAlign w:val="bottom"/>
                </w:tcPr>
                <w:p w:rsidR="00AC2131" w:rsidRDefault="00AC2131" w:rsidP="00AC2131">
                  <w:pPr>
                    <w:pStyle w:val="TableBodyText"/>
                    <w:spacing w:after="0"/>
                    <w:ind w:left="0" w:right="57"/>
                  </w:pPr>
                  <w:r>
                    <w:t>1.1</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Pr>
                      <w:rFonts w:ascii="Arial" w:hAnsi="Arial" w:cs="Arial"/>
                      <w:color w:val="000000"/>
                      <w:sz w:val="18"/>
                      <w:szCs w:val="18"/>
                    </w:rPr>
                    <w:t>R&amp;D Tax Incentive – exemption of refundable tax offset</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0" w:type="pct"/>
                  <w:shd w:val="clear" w:color="auto" w:fill="auto"/>
                  <w:vAlign w:val="bottom"/>
                </w:tcPr>
                <w:p w:rsidR="00AC2131" w:rsidRDefault="00AC2131" w:rsidP="00AC2131">
                  <w:pPr>
                    <w:pStyle w:val="TableBodyText"/>
                    <w:spacing w:after="0"/>
                    <w:ind w:left="0" w:right="57"/>
                  </w:pPr>
                  <w:r>
                    <w:t>–</w:t>
                  </w:r>
                </w:p>
              </w:tc>
              <w:tc>
                <w:tcPr>
                  <w:tcW w:w="459" w:type="pct"/>
                  <w:shd w:val="clear" w:color="auto" w:fill="auto"/>
                  <w:vAlign w:val="bottom"/>
                </w:tcPr>
                <w:p w:rsidR="00AC2131" w:rsidRDefault="00AC2131" w:rsidP="00AC2131">
                  <w:pPr>
                    <w:pStyle w:val="TableBodyText"/>
                    <w:spacing w:after="0"/>
                    <w:ind w:left="0" w:right="57"/>
                  </w:pPr>
                  <w:r>
                    <w:t>-2.4</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Pr>
                      <w:rFonts w:ascii="Arial" w:hAnsi="Arial" w:cs="Arial"/>
                      <w:color w:val="000000"/>
                      <w:sz w:val="18"/>
                      <w:szCs w:val="18"/>
                    </w:rPr>
                    <w:t>R&amp;D Tax Incentive – non-refundable tax offset</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0" w:type="pct"/>
                  <w:shd w:val="clear" w:color="auto" w:fill="auto"/>
                  <w:vAlign w:val="bottom"/>
                </w:tcPr>
                <w:p w:rsidR="00AC2131" w:rsidRDefault="00AC2131" w:rsidP="00AC2131">
                  <w:pPr>
                    <w:pStyle w:val="TableBodyText"/>
                    <w:spacing w:after="0"/>
                    <w:ind w:left="0" w:right="57"/>
                  </w:pPr>
                  <w:r>
                    <w:t>6.1</w:t>
                  </w:r>
                </w:p>
              </w:tc>
              <w:tc>
                <w:tcPr>
                  <w:tcW w:w="459" w:type="pct"/>
                  <w:shd w:val="clear" w:color="auto" w:fill="auto"/>
                  <w:vAlign w:val="bottom"/>
                </w:tcPr>
                <w:p w:rsidR="00AC2131" w:rsidRDefault="00AC2131" w:rsidP="00AC2131">
                  <w:pPr>
                    <w:pStyle w:val="TableBodyText"/>
                    <w:spacing w:after="0"/>
                    <w:ind w:left="0" w:right="57"/>
                  </w:pPr>
                  <w:r>
                    <w:t>12.2</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Pr>
                      <w:rFonts w:ascii="Arial" w:hAnsi="Arial" w:cs="Arial"/>
                      <w:color w:val="000000"/>
                      <w:sz w:val="18"/>
                      <w:szCs w:val="18"/>
                    </w:rPr>
                    <w:t>R&amp;D Tax Incentive – refundable tax offset</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70" w:type="pct"/>
                  <w:shd w:val="clear" w:color="auto" w:fill="auto"/>
                  <w:vAlign w:val="bottom"/>
                </w:tcPr>
                <w:p w:rsidR="00AC2131" w:rsidRDefault="00AC2131" w:rsidP="00AC2131">
                  <w:pPr>
                    <w:pStyle w:val="TableBodyText"/>
                    <w:spacing w:after="0"/>
                    <w:ind w:left="0" w:right="57"/>
                  </w:pPr>
                  <w:r>
                    <w:t>4.5</w:t>
                  </w:r>
                </w:p>
              </w:tc>
              <w:tc>
                <w:tcPr>
                  <w:tcW w:w="459" w:type="pct"/>
                  <w:shd w:val="clear" w:color="auto" w:fill="auto"/>
                  <w:vAlign w:val="bottom"/>
                </w:tcPr>
                <w:p w:rsidR="00AC2131" w:rsidRDefault="00AC2131" w:rsidP="00AC2131">
                  <w:pPr>
                    <w:pStyle w:val="TableBodyText"/>
                    <w:spacing w:after="0"/>
                    <w:ind w:left="0" w:right="57"/>
                  </w:pPr>
                  <w:r>
                    <w:t>8.1</w:t>
                  </w:r>
                </w:p>
              </w:tc>
            </w:tr>
            <w:tr w:rsidR="00AC2131" w:rsidTr="00AC2131">
              <w:tc>
                <w:tcPr>
                  <w:tcW w:w="2200" w:type="pct"/>
                  <w:shd w:val="clear" w:color="auto" w:fill="auto"/>
                  <w:vAlign w:val="bottom"/>
                </w:tcPr>
                <w:p w:rsidR="00AC2131" w:rsidRPr="0059660A" w:rsidRDefault="00AC2131" w:rsidP="00AC2131">
                  <w:pPr>
                    <w:ind w:left="227"/>
                    <w:rPr>
                      <w:rFonts w:ascii="Arial" w:hAnsi="Arial" w:cs="Arial"/>
                      <w:color w:val="000000"/>
                      <w:sz w:val="18"/>
                      <w:szCs w:val="18"/>
                    </w:rPr>
                  </w:pPr>
                  <w:r>
                    <w:rPr>
                      <w:rFonts w:ascii="Arial" w:hAnsi="Arial" w:cs="Arial"/>
                      <w:color w:val="000000"/>
                      <w:sz w:val="18"/>
                      <w:szCs w:val="18"/>
                    </w:rPr>
                    <w:t>R&amp;D tax offsets – Refundable</w:t>
                  </w:r>
                </w:p>
              </w:tc>
              <w:tc>
                <w:tcPr>
                  <w:tcW w:w="470" w:type="pct"/>
                  <w:vAlign w:val="bottom"/>
                </w:tcPr>
                <w:p w:rsidR="00AC2131" w:rsidRDefault="00AC2131" w:rsidP="00AC2131">
                  <w:pPr>
                    <w:pStyle w:val="TableBodyText"/>
                    <w:spacing w:after="0"/>
                    <w:ind w:left="0" w:right="57"/>
                  </w:pPr>
                  <w:r>
                    <w:t>6.0</w:t>
                  </w:r>
                </w:p>
              </w:tc>
              <w:tc>
                <w:tcPr>
                  <w:tcW w:w="467" w:type="pct"/>
                  <w:vAlign w:val="bottom"/>
                </w:tcPr>
                <w:p w:rsidR="00AC2131" w:rsidRDefault="00AC2131" w:rsidP="00AC2131">
                  <w:pPr>
                    <w:pStyle w:val="TableBodyText"/>
                    <w:spacing w:after="0"/>
                    <w:ind w:left="0" w:right="57"/>
                  </w:pPr>
                  <w:r>
                    <w:t>9.4</w:t>
                  </w:r>
                </w:p>
              </w:tc>
              <w:tc>
                <w:tcPr>
                  <w:tcW w:w="467" w:type="pct"/>
                  <w:vAlign w:val="bottom"/>
                </w:tcPr>
                <w:p w:rsidR="00AC2131" w:rsidRDefault="00AC2131" w:rsidP="00AC2131">
                  <w:pPr>
                    <w:pStyle w:val="TableBodyText"/>
                    <w:spacing w:after="0"/>
                    <w:ind w:left="0" w:right="57"/>
                  </w:pPr>
                  <w:r>
                    <w:t>5.1</w:t>
                  </w:r>
                </w:p>
              </w:tc>
              <w:tc>
                <w:tcPr>
                  <w:tcW w:w="467" w:type="pct"/>
                  <w:vAlign w:val="bottom"/>
                </w:tcPr>
                <w:p w:rsidR="00AC2131" w:rsidRDefault="00AC2131" w:rsidP="00AC2131">
                  <w:pPr>
                    <w:pStyle w:val="TableBodyText"/>
                    <w:spacing w:after="0"/>
                    <w:ind w:left="0" w:right="57"/>
                  </w:pPr>
                  <w:r>
                    <w:t>5.8</w:t>
                  </w:r>
                </w:p>
              </w:tc>
              <w:tc>
                <w:tcPr>
                  <w:tcW w:w="470" w:type="pct"/>
                  <w:shd w:val="clear" w:color="auto" w:fill="auto"/>
                  <w:vAlign w:val="bottom"/>
                </w:tcPr>
                <w:p w:rsidR="00AC2131" w:rsidRDefault="00AC2131" w:rsidP="00AC2131">
                  <w:pPr>
                    <w:pStyle w:val="TableBodyText"/>
                    <w:spacing w:after="0"/>
                    <w:ind w:left="0" w:right="57"/>
                  </w:pPr>
                  <w:r>
                    <w:t>–</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tcPr>
                <w:p w:rsidR="00AC2131" w:rsidRPr="003D026D" w:rsidRDefault="00AC2131" w:rsidP="00AC2131">
                  <w:pPr>
                    <w:pStyle w:val="TableBodyText"/>
                    <w:spacing w:before="40" w:after="0"/>
                    <w:ind w:left="113"/>
                    <w:jc w:val="left"/>
                    <w:rPr>
                      <w:i/>
                    </w:rPr>
                  </w:pPr>
                  <w:r w:rsidRPr="003D026D">
                    <w:rPr>
                      <w:i/>
                    </w:rPr>
                    <w:t>Other measures</w:t>
                  </w:r>
                </w:p>
              </w:tc>
              <w:tc>
                <w:tcPr>
                  <w:tcW w:w="470"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67" w:type="pct"/>
                </w:tcPr>
                <w:p w:rsidR="00AC2131" w:rsidRDefault="00AC2131" w:rsidP="00AC2131">
                  <w:pPr>
                    <w:pStyle w:val="TableBodyText"/>
                    <w:spacing w:before="40" w:after="0"/>
                    <w:ind w:left="113"/>
                  </w:pPr>
                </w:p>
              </w:tc>
              <w:tc>
                <w:tcPr>
                  <w:tcW w:w="470" w:type="pct"/>
                  <w:shd w:val="clear" w:color="auto" w:fill="auto"/>
                </w:tcPr>
                <w:p w:rsidR="00AC2131" w:rsidRDefault="00AC2131" w:rsidP="00AC2131">
                  <w:pPr>
                    <w:pStyle w:val="TableBodyText"/>
                    <w:spacing w:before="40" w:after="0"/>
                    <w:ind w:left="113"/>
                  </w:pPr>
                </w:p>
              </w:tc>
              <w:tc>
                <w:tcPr>
                  <w:tcW w:w="459" w:type="pct"/>
                  <w:shd w:val="clear" w:color="auto" w:fill="auto"/>
                </w:tcPr>
                <w:p w:rsidR="00AC2131" w:rsidRDefault="00AC2131" w:rsidP="00AC2131">
                  <w:pPr>
                    <w:pStyle w:val="TableBodyText"/>
                    <w:spacing w:before="40" w:after="0"/>
                    <w:ind w:left="113" w:right="28"/>
                  </w:pPr>
                </w:p>
              </w:tc>
            </w:tr>
            <w:tr w:rsidR="00AC2131" w:rsidTr="00AC2131">
              <w:tc>
                <w:tcPr>
                  <w:tcW w:w="2200" w:type="pct"/>
                  <w:shd w:val="clear" w:color="auto" w:fill="auto"/>
                  <w:vAlign w:val="bottom"/>
                </w:tcPr>
                <w:p w:rsidR="00AC2131" w:rsidRPr="003D026D" w:rsidRDefault="00AC2131" w:rsidP="00AC2131">
                  <w:pPr>
                    <w:ind w:left="227"/>
                    <w:rPr>
                      <w:rFonts w:ascii="Arial" w:hAnsi="Arial" w:cs="Arial"/>
                      <w:color w:val="000000"/>
                      <w:sz w:val="18"/>
                      <w:szCs w:val="18"/>
                    </w:rPr>
                  </w:pPr>
                  <w:r w:rsidRPr="003D026D">
                    <w:rPr>
                      <w:rFonts w:ascii="Arial" w:hAnsi="Arial" w:cs="Arial"/>
                      <w:color w:val="000000"/>
                      <w:sz w:val="18"/>
                      <w:szCs w:val="18"/>
                    </w:rPr>
                    <w:t>25 per cent entrepreneurs' tax offset</w:t>
                  </w:r>
                </w:p>
              </w:tc>
              <w:tc>
                <w:tcPr>
                  <w:tcW w:w="470" w:type="pct"/>
                  <w:vAlign w:val="bottom"/>
                </w:tcPr>
                <w:p w:rsidR="00AC2131" w:rsidRDefault="00AC2131" w:rsidP="00AC2131">
                  <w:pPr>
                    <w:pStyle w:val="TableBodyText"/>
                    <w:spacing w:after="0"/>
                    <w:ind w:left="0" w:right="57"/>
                  </w:pPr>
                  <w:r>
                    <w:t>9.9</w:t>
                  </w:r>
                </w:p>
              </w:tc>
              <w:tc>
                <w:tcPr>
                  <w:tcW w:w="467" w:type="pct"/>
                  <w:vAlign w:val="bottom"/>
                </w:tcPr>
                <w:p w:rsidR="00AC2131" w:rsidRDefault="00AC2131" w:rsidP="00AC2131">
                  <w:pPr>
                    <w:pStyle w:val="TableBodyText"/>
                    <w:spacing w:after="0"/>
                    <w:ind w:left="0" w:right="57"/>
                  </w:pPr>
                  <w:r>
                    <w:t>10.6</w:t>
                  </w:r>
                </w:p>
              </w:tc>
              <w:tc>
                <w:tcPr>
                  <w:tcW w:w="467" w:type="pct"/>
                  <w:vAlign w:val="bottom"/>
                </w:tcPr>
                <w:p w:rsidR="00AC2131" w:rsidRDefault="00AC2131" w:rsidP="00AC2131">
                  <w:pPr>
                    <w:pStyle w:val="TableBodyText"/>
                    <w:spacing w:after="0"/>
                    <w:ind w:left="0" w:right="57"/>
                  </w:pPr>
                  <w:r>
                    <w:t>10.3</w:t>
                  </w:r>
                </w:p>
              </w:tc>
              <w:tc>
                <w:tcPr>
                  <w:tcW w:w="467" w:type="pct"/>
                  <w:vAlign w:val="bottom"/>
                </w:tcPr>
                <w:p w:rsidR="00AC2131" w:rsidRDefault="00AC2131" w:rsidP="00AC2131">
                  <w:pPr>
                    <w:pStyle w:val="TableBodyText"/>
                    <w:spacing w:after="0"/>
                    <w:ind w:left="0" w:right="57"/>
                  </w:pPr>
                  <w:r>
                    <w:t>10.3</w:t>
                  </w:r>
                </w:p>
              </w:tc>
              <w:tc>
                <w:tcPr>
                  <w:tcW w:w="470" w:type="pct"/>
                  <w:shd w:val="clear" w:color="auto" w:fill="auto"/>
                  <w:vAlign w:val="bottom"/>
                </w:tcPr>
                <w:p w:rsidR="00AC2131" w:rsidRDefault="00AC2131" w:rsidP="00AC2131">
                  <w:pPr>
                    <w:pStyle w:val="TableBodyText"/>
                    <w:spacing w:after="0"/>
                    <w:ind w:left="0" w:right="57"/>
                  </w:pPr>
                  <w:r>
                    <w:t>13.6</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shd w:val="clear" w:color="auto" w:fill="auto"/>
                  <w:vAlign w:val="bottom"/>
                </w:tcPr>
                <w:p w:rsidR="00AC2131" w:rsidRPr="003D026D" w:rsidRDefault="00AC2131" w:rsidP="00AC2131">
                  <w:pPr>
                    <w:ind w:left="227"/>
                    <w:rPr>
                      <w:rFonts w:ascii="Arial" w:hAnsi="Arial" w:cs="Arial"/>
                      <w:color w:val="000000"/>
                      <w:sz w:val="18"/>
                      <w:szCs w:val="18"/>
                    </w:rPr>
                  </w:pPr>
                  <w:r w:rsidRPr="003D026D">
                    <w:rPr>
                      <w:rFonts w:ascii="Arial" w:hAnsi="Arial" w:cs="Arial"/>
                      <w:color w:val="000000"/>
                      <w:sz w:val="18"/>
                      <w:szCs w:val="18"/>
                    </w:rPr>
                    <w:t>Enterprise Connect Innovation Centres</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0.5</w:t>
                  </w:r>
                </w:p>
              </w:tc>
              <w:tc>
                <w:tcPr>
                  <w:tcW w:w="467" w:type="pct"/>
                  <w:vAlign w:val="bottom"/>
                </w:tcPr>
                <w:p w:rsidR="00AC2131" w:rsidRDefault="00AC2131" w:rsidP="00AC2131">
                  <w:pPr>
                    <w:pStyle w:val="TableBodyText"/>
                    <w:spacing w:after="0"/>
                    <w:ind w:left="0" w:right="57"/>
                  </w:pPr>
                  <w:r>
                    <w:t>1.6</w:t>
                  </w:r>
                </w:p>
              </w:tc>
              <w:tc>
                <w:tcPr>
                  <w:tcW w:w="467" w:type="pct"/>
                  <w:vAlign w:val="bottom"/>
                </w:tcPr>
                <w:p w:rsidR="00AC2131" w:rsidRDefault="00AC2131" w:rsidP="00AC2131">
                  <w:pPr>
                    <w:pStyle w:val="TableBodyText"/>
                    <w:spacing w:after="0"/>
                    <w:ind w:left="0" w:right="57"/>
                  </w:pPr>
                  <w:r>
                    <w:t>12.1</w:t>
                  </w:r>
                </w:p>
              </w:tc>
              <w:tc>
                <w:tcPr>
                  <w:tcW w:w="470" w:type="pct"/>
                  <w:shd w:val="clear" w:color="auto" w:fill="auto"/>
                  <w:vAlign w:val="bottom"/>
                </w:tcPr>
                <w:p w:rsidR="00AC2131" w:rsidRDefault="00AC2131" w:rsidP="00AC2131">
                  <w:pPr>
                    <w:pStyle w:val="TableBodyText"/>
                    <w:spacing w:after="0"/>
                    <w:ind w:left="0" w:right="57"/>
                  </w:pPr>
                  <w:r>
                    <w:t>12.7</w:t>
                  </w:r>
                </w:p>
              </w:tc>
              <w:tc>
                <w:tcPr>
                  <w:tcW w:w="459" w:type="pct"/>
                  <w:shd w:val="clear" w:color="auto" w:fill="auto"/>
                  <w:vAlign w:val="bottom"/>
                </w:tcPr>
                <w:p w:rsidR="00AC2131" w:rsidRDefault="00AC2131" w:rsidP="00AC2131">
                  <w:pPr>
                    <w:pStyle w:val="TableBodyText"/>
                    <w:spacing w:after="0"/>
                    <w:ind w:left="0" w:right="57"/>
                  </w:pPr>
                  <w:r>
                    <w:t>9.3</w:t>
                  </w:r>
                </w:p>
              </w:tc>
            </w:tr>
            <w:tr w:rsidR="00AC2131" w:rsidTr="00AC2131">
              <w:tc>
                <w:tcPr>
                  <w:tcW w:w="2200" w:type="pct"/>
                  <w:shd w:val="clear" w:color="auto" w:fill="auto"/>
                  <w:vAlign w:val="bottom"/>
                </w:tcPr>
                <w:p w:rsidR="00AC2131" w:rsidRPr="003D026D" w:rsidRDefault="00AC2131" w:rsidP="00AC2131">
                  <w:pPr>
                    <w:ind w:left="227"/>
                    <w:rPr>
                      <w:rFonts w:ascii="Arial" w:hAnsi="Arial" w:cs="Arial"/>
                      <w:color w:val="000000"/>
                      <w:sz w:val="18"/>
                      <w:szCs w:val="18"/>
                    </w:rPr>
                  </w:pPr>
                  <w:r w:rsidRPr="003D026D">
                    <w:rPr>
                      <w:rFonts w:ascii="Arial" w:hAnsi="Arial" w:cs="Arial"/>
                      <w:color w:val="000000"/>
                      <w:sz w:val="18"/>
                      <w:szCs w:val="18"/>
                    </w:rPr>
                    <w:t>Industry Cooperative Innovation Program</w:t>
                  </w:r>
                </w:p>
              </w:tc>
              <w:tc>
                <w:tcPr>
                  <w:tcW w:w="470" w:type="pct"/>
                  <w:vAlign w:val="bottom"/>
                </w:tcPr>
                <w:p w:rsidR="00AC2131" w:rsidRDefault="00AC2131" w:rsidP="00AC2131">
                  <w:pPr>
                    <w:pStyle w:val="TableBodyText"/>
                    <w:spacing w:after="0"/>
                    <w:ind w:left="0" w:right="57"/>
                  </w:pPr>
                  <w:r>
                    <w:t>2.2</w:t>
                  </w:r>
                </w:p>
              </w:tc>
              <w:tc>
                <w:tcPr>
                  <w:tcW w:w="467" w:type="pct"/>
                  <w:vAlign w:val="bottom"/>
                </w:tcPr>
                <w:p w:rsidR="00AC2131" w:rsidRDefault="00AC2131" w:rsidP="00AC2131">
                  <w:pPr>
                    <w:pStyle w:val="TableBodyText"/>
                    <w:spacing w:after="0"/>
                    <w:ind w:left="0" w:right="57"/>
                  </w:pPr>
                  <w:r>
                    <w:t>2.6</w:t>
                  </w:r>
                </w:p>
              </w:tc>
              <w:tc>
                <w:tcPr>
                  <w:tcW w:w="467" w:type="pct"/>
                  <w:vAlign w:val="bottom"/>
                </w:tcPr>
                <w:p w:rsidR="00AC2131" w:rsidRDefault="00AC2131" w:rsidP="00AC2131">
                  <w:pPr>
                    <w:pStyle w:val="TableBodyText"/>
                    <w:spacing w:after="0"/>
                    <w:ind w:left="0" w:right="57"/>
                  </w:pPr>
                  <w:r>
                    <w:t>0.9</w:t>
                  </w:r>
                </w:p>
              </w:tc>
              <w:tc>
                <w:tcPr>
                  <w:tcW w:w="467" w:type="pct"/>
                  <w:vAlign w:val="bottom"/>
                </w:tcPr>
                <w:p w:rsidR="00AC2131" w:rsidRDefault="00AC2131" w:rsidP="00AC2131">
                  <w:pPr>
                    <w:pStyle w:val="TableBodyText"/>
                    <w:spacing w:after="0"/>
                    <w:ind w:left="0" w:right="57"/>
                  </w:pPr>
                  <w:r>
                    <w:t>–</w:t>
                  </w:r>
                </w:p>
              </w:tc>
              <w:tc>
                <w:tcPr>
                  <w:tcW w:w="470" w:type="pct"/>
                  <w:shd w:val="clear" w:color="auto" w:fill="auto"/>
                  <w:vAlign w:val="bottom"/>
                </w:tcPr>
                <w:p w:rsidR="00AC2131" w:rsidRDefault="00AC2131" w:rsidP="00AC2131">
                  <w:pPr>
                    <w:pStyle w:val="TableBodyText"/>
                    <w:spacing w:after="0"/>
                    <w:ind w:left="0" w:right="57"/>
                  </w:pPr>
                  <w:r>
                    <w:t>–</w:t>
                  </w:r>
                </w:p>
              </w:tc>
              <w:tc>
                <w:tcPr>
                  <w:tcW w:w="459" w:type="pct"/>
                  <w:shd w:val="clear" w:color="auto" w:fill="auto"/>
                  <w:vAlign w:val="bottom"/>
                </w:tcPr>
                <w:p w:rsidR="00AC2131" w:rsidRDefault="00AC2131" w:rsidP="00AC2131">
                  <w:pPr>
                    <w:pStyle w:val="TableBodyText"/>
                    <w:spacing w:after="0"/>
                    <w:ind w:left="0" w:right="57"/>
                  </w:pPr>
                  <w:r>
                    <w:t>–</w:t>
                  </w:r>
                </w:p>
              </w:tc>
            </w:tr>
            <w:tr w:rsidR="00AC2131" w:rsidTr="00AC2131">
              <w:tc>
                <w:tcPr>
                  <w:tcW w:w="2200" w:type="pct"/>
                  <w:tcBorders>
                    <w:bottom w:val="single" w:sz="6" w:space="0" w:color="BFBFBF"/>
                  </w:tcBorders>
                  <w:shd w:val="clear" w:color="auto" w:fill="auto"/>
                  <w:vAlign w:val="bottom"/>
                </w:tcPr>
                <w:p w:rsidR="00AC2131" w:rsidRPr="003D026D" w:rsidRDefault="00AC2131" w:rsidP="00AC2131">
                  <w:pPr>
                    <w:ind w:left="227"/>
                    <w:rPr>
                      <w:rFonts w:ascii="Arial" w:hAnsi="Arial" w:cs="Arial"/>
                      <w:color w:val="000000"/>
                      <w:sz w:val="18"/>
                      <w:szCs w:val="18"/>
                    </w:rPr>
                  </w:pPr>
                  <w:r w:rsidRPr="003D026D">
                    <w:rPr>
                      <w:rFonts w:ascii="Arial" w:hAnsi="Arial" w:cs="Arial"/>
                      <w:color w:val="000000"/>
                      <w:sz w:val="18"/>
                      <w:szCs w:val="18"/>
                    </w:rPr>
                    <w:t>North West and Northern Tasmania Innovation and Investment Fund</w:t>
                  </w:r>
                </w:p>
              </w:tc>
              <w:tc>
                <w:tcPr>
                  <w:tcW w:w="470" w:type="pct"/>
                  <w:tcBorders>
                    <w:bottom w:val="single" w:sz="6" w:space="0" w:color="BFBFBF"/>
                  </w:tcBorders>
                  <w:vAlign w:val="bottom"/>
                </w:tcPr>
                <w:p w:rsidR="00AC2131" w:rsidRDefault="00AC2131" w:rsidP="00AC2131">
                  <w:pPr>
                    <w:pStyle w:val="TableBodyText"/>
                    <w:spacing w:after="0"/>
                    <w:ind w:left="0" w:right="57"/>
                  </w:pPr>
                  <w:r>
                    <w:t>–</w:t>
                  </w:r>
                </w:p>
              </w:tc>
              <w:tc>
                <w:tcPr>
                  <w:tcW w:w="467" w:type="pct"/>
                  <w:tcBorders>
                    <w:bottom w:val="single" w:sz="6" w:space="0" w:color="BFBFBF"/>
                  </w:tcBorders>
                  <w:vAlign w:val="bottom"/>
                </w:tcPr>
                <w:p w:rsidR="00AC2131" w:rsidRDefault="00AC2131" w:rsidP="00AC2131">
                  <w:pPr>
                    <w:pStyle w:val="TableBodyText"/>
                    <w:spacing w:after="0"/>
                    <w:ind w:left="0" w:right="57"/>
                  </w:pPr>
                  <w:r>
                    <w:t>0.1</w:t>
                  </w:r>
                </w:p>
              </w:tc>
              <w:tc>
                <w:tcPr>
                  <w:tcW w:w="467" w:type="pct"/>
                  <w:tcBorders>
                    <w:bottom w:val="single" w:sz="6" w:space="0" w:color="BFBFBF"/>
                  </w:tcBorders>
                  <w:vAlign w:val="bottom"/>
                </w:tcPr>
                <w:p w:rsidR="00AC2131" w:rsidRDefault="00AC2131" w:rsidP="00AC2131">
                  <w:pPr>
                    <w:pStyle w:val="TableBodyText"/>
                    <w:spacing w:after="0"/>
                    <w:ind w:left="0" w:right="57"/>
                  </w:pPr>
                  <w:r>
                    <w:t>&lt;0.1</w:t>
                  </w:r>
                </w:p>
              </w:tc>
              <w:tc>
                <w:tcPr>
                  <w:tcW w:w="467" w:type="pct"/>
                  <w:tcBorders>
                    <w:bottom w:val="single" w:sz="6" w:space="0" w:color="BFBFBF"/>
                  </w:tcBorders>
                  <w:vAlign w:val="bottom"/>
                </w:tcPr>
                <w:p w:rsidR="00AC2131" w:rsidRDefault="00AC2131" w:rsidP="00AC2131">
                  <w:pPr>
                    <w:pStyle w:val="TableBodyText"/>
                    <w:spacing w:after="0"/>
                    <w:ind w:left="0" w:right="57"/>
                  </w:pPr>
                  <w:r>
                    <w:t>–</w:t>
                  </w:r>
                </w:p>
              </w:tc>
              <w:tc>
                <w:tcPr>
                  <w:tcW w:w="470"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c>
                <w:tcPr>
                  <w:tcW w:w="459" w:type="pct"/>
                  <w:tcBorders>
                    <w:bottom w:val="single" w:sz="6" w:space="0" w:color="BFBFBF"/>
                  </w:tcBorders>
                  <w:shd w:val="clear" w:color="auto" w:fill="auto"/>
                  <w:vAlign w:val="bottom"/>
                </w:tcPr>
                <w:p w:rsidR="00AC2131" w:rsidRDefault="00AC2131" w:rsidP="00AC2131">
                  <w:pPr>
                    <w:pStyle w:val="TableBodyText"/>
                    <w:spacing w:after="0"/>
                    <w:ind w:left="0" w:right="57"/>
                  </w:pPr>
                  <w:r>
                    <w:t>–</w:t>
                  </w:r>
                </w:p>
              </w:tc>
            </w:tr>
          </w:tbl>
          <w:p w:rsidR="00AC2131" w:rsidRDefault="00AC2131" w:rsidP="00AC2131">
            <w:pPr>
              <w:pStyle w:val="Box"/>
            </w:pPr>
          </w:p>
        </w:tc>
      </w:tr>
      <w:tr w:rsidR="00AC2131" w:rsidTr="00AC2131">
        <w:trPr>
          <w:cantSplit/>
        </w:trPr>
        <w:tc>
          <w:tcPr>
            <w:tcW w:w="8787" w:type="dxa"/>
            <w:tcBorders>
              <w:top w:val="nil"/>
              <w:left w:val="nil"/>
              <w:bottom w:val="nil"/>
              <w:right w:val="nil"/>
            </w:tcBorders>
            <w:shd w:val="clear" w:color="auto" w:fill="auto"/>
          </w:tcPr>
          <w:p w:rsidR="00AC2131" w:rsidRDefault="00AC2131" w:rsidP="00AC2131">
            <w:pPr>
              <w:pStyle w:val="Source"/>
              <w:ind w:firstLine="6499"/>
            </w:pPr>
            <w:r>
              <w:t xml:space="preserve"> (continued next page)</w:t>
            </w:r>
          </w:p>
        </w:tc>
      </w:tr>
      <w:tr w:rsidR="00AC2131" w:rsidTr="00AC2131">
        <w:trPr>
          <w:cantSplit/>
        </w:trPr>
        <w:tc>
          <w:tcPr>
            <w:tcW w:w="8789"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89"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7"/>
        <w:gridCol w:w="122"/>
      </w:tblGrid>
      <w:tr w:rsidR="00AC2131" w:rsidRPr="00784A05" w:rsidTr="00AC2131">
        <w:trPr>
          <w:gridAfter w:val="1"/>
          <w:wAfter w:w="122" w:type="dxa"/>
        </w:trPr>
        <w:tc>
          <w:tcPr>
            <w:tcW w:w="878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A.13</w:t>
            </w:r>
            <w:r>
              <w:tab/>
            </w:r>
            <w:r w:rsidRPr="006B64DF">
              <w:rPr>
                <w:b w:val="0"/>
                <w:sz w:val="18"/>
              </w:rPr>
              <w:t>(continued)</w:t>
            </w:r>
          </w:p>
        </w:tc>
      </w:tr>
      <w:tr w:rsidR="00AC2131" w:rsidTr="00AC2131">
        <w:trPr>
          <w:cantSplit/>
        </w:trPr>
        <w:tc>
          <w:tcPr>
            <w:tcW w:w="8909" w:type="dxa"/>
            <w:gridSpan w:val="2"/>
            <w:tcBorders>
              <w:top w:val="nil"/>
              <w:left w:val="nil"/>
              <w:bottom w:val="nil"/>
              <w:right w:val="nil"/>
            </w:tcBorders>
            <w:shd w:val="clear" w:color="auto" w:fill="auto"/>
          </w:tcPr>
          <w:tbl>
            <w:tblPr>
              <w:tblW w:w="8501" w:type="dxa"/>
              <w:tblCellMar>
                <w:top w:w="28" w:type="dxa"/>
                <w:left w:w="0" w:type="dxa"/>
                <w:right w:w="0" w:type="dxa"/>
              </w:tblCellMar>
              <w:tblLook w:val="0000" w:firstRow="0" w:lastRow="0" w:firstColumn="0" w:lastColumn="0" w:noHBand="0" w:noVBand="0"/>
            </w:tblPr>
            <w:tblGrid>
              <w:gridCol w:w="3748"/>
              <w:gridCol w:w="798"/>
              <w:gridCol w:w="792"/>
              <w:gridCol w:w="792"/>
              <w:gridCol w:w="792"/>
              <w:gridCol w:w="792"/>
              <w:gridCol w:w="787"/>
            </w:tblGrid>
            <w:tr w:rsidR="00AC2131" w:rsidTr="00AC2131">
              <w:trPr>
                <w:trHeight w:val="164"/>
              </w:trPr>
              <w:tc>
                <w:tcPr>
                  <w:tcW w:w="2204"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9"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6"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6"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6"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6"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3"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4" w:type="pct"/>
                  <w:tcBorders>
                    <w:top w:val="single" w:sz="6" w:space="0" w:color="BFBFBF"/>
                  </w:tcBorders>
                </w:tcPr>
                <w:p w:rsidR="00AC2131" w:rsidRPr="0059660A" w:rsidRDefault="00AC2131" w:rsidP="00AC2131">
                  <w:pPr>
                    <w:pStyle w:val="TableUnitsRow"/>
                    <w:spacing w:after="0"/>
                    <w:ind w:left="113"/>
                    <w:jc w:val="left"/>
                    <w:rPr>
                      <w:i/>
                    </w:rPr>
                  </w:pPr>
                  <w:r w:rsidRPr="0059660A">
                    <w:rPr>
                      <w:i/>
                    </w:rPr>
                    <w:t>Other measures</w:t>
                  </w:r>
                  <w:r>
                    <w:rPr>
                      <w:i/>
                    </w:rPr>
                    <w:t xml:space="preserve"> (continued)</w:t>
                  </w:r>
                </w:p>
              </w:tc>
              <w:tc>
                <w:tcPr>
                  <w:tcW w:w="469" w:type="pct"/>
                  <w:tcBorders>
                    <w:top w:val="single" w:sz="6" w:space="0" w:color="BFBFBF"/>
                  </w:tcBorders>
                </w:tcPr>
                <w:p w:rsidR="00AC2131" w:rsidRDefault="00AC2131" w:rsidP="00AC2131">
                  <w:pPr>
                    <w:pStyle w:val="TableUnitsRow"/>
                    <w:spacing w:after="0"/>
                    <w:ind w:left="113"/>
                  </w:pPr>
                </w:p>
              </w:tc>
              <w:tc>
                <w:tcPr>
                  <w:tcW w:w="466" w:type="pct"/>
                  <w:tcBorders>
                    <w:top w:val="single" w:sz="6" w:space="0" w:color="BFBFBF"/>
                  </w:tcBorders>
                </w:tcPr>
                <w:p w:rsidR="00AC2131" w:rsidRDefault="00AC2131" w:rsidP="00AC2131">
                  <w:pPr>
                    <w:pStyle w:val="TableUnitsRow"/>
                    <w:spacing w:after="0"/>
                    <w:ind w:left="113"/>
                  </w:pPr>
                </w:p>
              </w:tc>
              <w:tc>
                <w:tcPr>
                  <w:tcW w:w="466" w:type="pct"/>
                  <w:tcBorders>
                    <w:top w:val="single" w:sz="6" w:space="0" w:color="BFBFBF"/>
                  </w:tcBorders>
                </w:tcPr>
                <w:p w:rsidR="00AC2131" w:rsidRDefault="00AC2131" w:rsidP="00AC2131">
                  <w:pPr>
                    <w:pStyle w:val="TableUnitsRow"/>
                    <w:spacing w:after="0"/>
                    <w:ind w:left="113"/>
                  </w:pPr>
                </w:p>
              </w:tc>
              <w:tc>
                <w:tcPr>
                  <w:tcW w:w="466" w:type="pct"/>
                  <w:tcBorders>
                    <w:top w:val="single" w:sz="6" w:space="0" w:color="BFBFBF"/>
                  </w:tcBorders>
                </w:tcPr>
                <w:p w:rsidR="00AC2131" w:rsidRDefault="00AC2131" w:rsidP="00AC2131">
                  <w:pPr>
                    <w:pStyle w:val="TableUnitsRow"/>
                    <w:spacing w:after="0"/>
                    <w:ind w:left="113"/>
                  </w:pPr>
                </w:p>
              </w:tc>
              <w:tc>
                <w:tcPr>
                  <w:tcW w:w="466" w:type="pct"/>
                  <w:tcBorders>
                    <w:top w:val="single" w:sz="6" w:space="0" w:color="BFBFBF"/>
                  </w:tcBorders>
                </w:tcPr>
                <w:p w:rsidR="00AC2131" w:rsidRDefault="00AC2131" w:rsidP="00AC2131">
                  <w:pPr>
                    <w:pStyle w:val="TableUnitsRow"/>
                    <w:spacing w:after="0"/>
                    <w:ind w:left="113"/>
                  </w:pPr>
                </w:p>
              </w:tc>
              <w:tc>
                <w:tcPr>
                  <w:tcW w:w="463" w:type="pct"/>
                  <w:tcBorders>
                    <w:top w:val="single" w:sz="6" w:space="0" w:color="BFBFBF"/>
                  </w:tcBorders>
                </w:tcPr>
                <w:p w:rsidR="00AC2131" w:rsidRDefault="00AC2131" w:rsidP="00AC2131">
                  <w:pPr>
                    <w:pStyle w:val="TableUnitsRow"/>
                    <w:spacing w:after="0"/>
                    <w:ind w:left="113" w:right="28"/>
                  </w:pPr>
                </w:p>
              </w:tc>
            </w:tr>
            <w:tr w:rsidR="00AC2131" w:rsidTr="00AC2131">
              <w:tc>
                <w:tcPr>
                  <w:tcW w:w="2204" w:type="pct"/>
                  <w:shd w:val="clear" w:color="auto" w:fill="auto"/>
                  <w:vAlign w:val="bottom"/>
                </w:tcPr>
                <w:p w:rsidR="00AC2131" w:rsidRPr="003D026D"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9" w:type="pct"/>
                  <w:vAlign w:val="bottom"/>
                </w:tcPr>
                <w:p w:rsidR="00AC2131" w:rsidRDefault="00AC2131" w:rsidP="00AC2131">
                  <w:pPr>
                    <w:pStyle w:val="TableBodyText"/>
                    <w:spacing w:after="0"/>
                    <w:ind w:left="0" w:right="57"/>
                  </w:pPr>
                  <w:r>
                    <w:t>2.6</w:t>
                  </w:r>
                </w:p>
              </w:tc>
              <w:tc>
                <w:tcPr>
                  <w:tcW w:w="466" w:type="pct"/>
                  <w:vAlign w:val="bottom"/>
                </w:tcPr>
                <w:p w:rsidR="00AC2131" w:rsidRDefault="00AC2131" w:rsidP="00AC2131">
                  <w:pPr>
                    <w:pStyle w:val="TableBodyText"/>
                    <w:spacing w:after="0"/>
                    <w:ind w:left="0" w:right="57"/>
                  </w:pPr>
                  <w:r>
                    <w:t>3.4</w:t>
                  </w:r>
                </w:p>
              </w:tc>
              <w:tc>
                <w:tcPr>
                  <w:tcW w:w="466" w:type="pct"/>
                  <w:vAlign w:val="bottom"/>
                </w:tcPr>
                <w:p w:rsidR="00AC2131" w:rsidRDefault="00AC2131" w:rsidP="00AC2131">
                  <w:pPr>
                    <w:pStyle w:val="TableBodyText"/>
                    <w:spacing w:after="0"/>
                    <w:ind w:left="0" w:right="57"/>
                  </w:pPr>
                  <w:r>
                    <w:t>5.6</w:t>
                  </w:r>
                </w:p>
              </w:tc>
              <w:tc>
                <w:tcPr>
                  <w:tcW w:w="466" w:type="pct"/>
                  <w:vAlign w:val="bottom"/>
                </w:tcPr>
                <w:p w:rsidR="00AC2131" w:rsidRDefault="00AC2131" w:rsidP="00AC2131">
                  <w:pPr>
                    <w:pStyle w:val="TableBodyText"/>
                    <w:spacing w:after="0"/>
                    <w:ind w:left="0" w:right="57"/>
                  </w:pPr>
                  <w:r>
                    <w:t>0.4</w:t>
                  </w:r>
                </w:p>
              </w:tc>
              <w:tc>
                <w:tcPr>
                  <w:tcW w:w="466" w:type="pct"/>
                  <w:shd w:val="clear" w:color="auto" w:fill="auto"/>
                  <w:vAlign w:val="bottom"/>
                </w:tcPr>
                <w:p w:rsidR="00AC2131" w:rsidRDefault="00AC2131" w:rsidP="00AC2131">
                  <w:pPr>
                    <w:pStyle w:val="TableBodyText"/>
                    <w:spacing w:after="0"/>
                    <w:ind w:left="0" w:right="57"/>
                  </w:pPr>
                  <w:r>
                    <w:t>-1.7</w:t>
                  </w:r>
                </w:p>
              </w:tc>
              <w:tc>
                <w:tcPr>
                  <w:tcW w:w="463" w:type="pct"/>
                  <w:shd w:val="clear" w:color="auto" w:fill="auto"/>
                  <w:vAlign w:val="bottom"/>
                </w:tcPr>
                <w:p w:rsidR="00AC2131" w:rsidRDefault="00AC2131" w:rsidP="00AC2131">
                  <w:pPr>
                    <w:pStyle w:val="TableBodyText"/>
                    <w:spacing w:after="0"/>
                    <w:ind w:left="0" w:right="57"/>
                  </w:pPr>
                  <w:r>
                    <w:t>61.2</w:t>
                  </w:r>
                </w:p>
              </w:tc>
            </w:tr>
            <w:tr w:rsidR="00AC2131" w:rsidTr="00AC2131">
              <w:tc>
                <w:tcPr>
                  <w:tcW w:w="2204" w:type="pct"/>
                  <w:shd w:val="clear" w:color="auto" w:fill="auto"/>
                  <w:vAlign w:val="bottom"/>
                </w:tcPr>
                <w:p w:rsidR="00AC2131" w:rsidRPr="003D026D"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9" w:type="pct"/>
                  <w:vAlign w:val="bottom"/>
                </w:tcPr>
                <w:p w:rsidR="00AC2131" w:rsidRDefault="00AC2131" w:rsidP="00AC2131">
                  <w:pPr>
                    <w:pStyle w:val="TableBodyText"/>
                    <w:spacing w:after="0"/>
                    <w:ind w:left="0" w:right="57"/>
                  </w:pPr>
                  <w:r>
                    <w:t>1.5</w:t>
                  </w:r>
                </w:p>
              </w:tc>
              <w:tc>
                <w:tcPr>
                  <w:tcW w:w="466" w:type="pct"/>
                  <w:vAlign w:val="bottom"/>
                </w:tcPr>
                <w:p w:rsidR="00AC2131" w:rsidRDefault="00AC2131" w:rsidP="00AC2131">
                  <w:pPr>
                    <w:pStyle w:val="TableBodyText"/>
                    <w:spacing w:after="0"/>
                    <w:ind w:left="0" w:right="57"/>
                  </w:pPr>
                  <w:r>
                    <w:t>1.0</w:t>
                  </w:r>
                </w:p>
              </w:tc>
              <w:tc>
                <w:tcPr>
                  <w:tcW w:w="466" w:type="pct"/>
                  <w:vAlign w:val="bottom"/>
                </w:tcPr>
                <w:p w:rsidR="00AC2131" w:rsidRDefault="00AC2131" w:rsidP="00AC2131">
                  <w:pPr>
                    <w:pStyle w:val="TableBodyText"/>
                    <w:spacing w:after="0"/>
                    <w:ind w:left="0" w:right="57"/>
                  </w:pPr>
                  <w:r>
                    <w:t>1.1</w:t>
                  </w:r>
                </w:p>
              </w:tc>
              <w:tc>
                <w:tcPr>
                  <w:tcW w:w="466" w:type="pct"/>
                  <w:vAlign w:val="bottom"/>
                </w:tcPr>
                <w:p w:rsidR="00AC2131" w:rsidRDefault="00AC2131" w:rsidP="00AC2131">
                  <w:pPr>
                    <w:pStyle w:val="TableBodyText"/>
                    <w:spacing w:after="0"/>
                    <w:ind w:left="0" w:right="57"/>
                  </w:pPr>
                  <w:r>
                    <w:t>1.4</w:t>
                  </w:r>
                </w:p>
              </w:tc>
              <w:tc>
                <w:tcPr>
                  <w:tcW w:w="466" w:type="pct"/>
                  <w:shd w:val="clear" w:color="auto" w:fill="auto"/>
                  <w:vAlign w:val="bottom"/>
                </w:tcPr>
                <w:p w:rsidR="00AC2131" w:rsidRDefault="00AC2131" w:rsidP="00AC2131">
                  <w:pPr>
                    <w:pStyle w:val="TableBodyText"/>
                    <w:spacing w:after="0"/>
                    <w:ind w:left="0" w:right="57"/>
                  </w:pPr>
                  <w:r>
                    <w:t>1.4</w:t>
                  </w:r>
                </w:p>
              </w:tc>
              <w:tc>
                <w:tcPr>
                  <w:tcW w:w="463" w:type="pct"/>
                  <w:shd w:val="clear" w:color="auto" w:fill="auto"/>
                  <w:vAlign w:val="bottom"/>
                </w:tcPr>
                <w:p w:rsidR="00AC2131" w:rsidRDefault="00AC2131" w:rsidP="00AC2131">
                  <w:pPr>
                    <w:pStyle w:val="TableBodyText"/>
                    <w:spacing w:after="0"/>
                    <w:ind w:left="0" w:right="57"/>
                  </w:pPr>
                  <w:r>
                    <w:t>1.8</w:t>
                  </w:r>
                </w:p>
              </w:tc>
            </w:tr>
            <w:tr w:rsidR="00AC2131" w:rsidTr="00AC2131">
              <w:tc>
                <w:tcPr>
                  <w:tcW w:w="2204" w:type="pct"/>
                  <w:shd w:val="clear" w:color="auto" w:fill="auto"/>
                </w:tcPr>
                <w:p w:rsidR="00AC2131" w:rsidRPr="003D026D" w:rsidRDefault="00AC2131" w:rsidP="00AC2131">
                  <w:pPr>
                    <w:ind w:left="227"/>
                    <w:rPr>
                      <w:rFonts w:ascii="Arial" w:hAnsi="Arial" w:cs="Arial"/>
                      <w:sz w:val="18"/>
                      <w:szCs w:val="18"/>
                    </w:rPr>
                  </w:pPr>
                  <w:r w:rsidRPr="003D026D">
                    <w:rPr>
                      <w:rFonts w:ascii="Arial" w:hAnsi="Arial" w:cs="Arial"/>
                      <w:sz w:val="18"/>
                      <w:szCs w:val="18"/>
                    </w:rPr>
                    <w:t xml:space="preserve">Small business </w:t>
                  </w:r>
                  <w:r>
                    <w:rPr>
                      <w:rFonts w:ascii="Arial" w:hAnsi="Arial" w:cs="Arial"/>
                      <w:sz w:val="18"/>
                      <w:szCs w:val="18"/>
                    </w:rPr>
                    <w:t>capital gains tax</w:t>
                  </w:r>
                  <w:r w:rsidRPr="003D026D">
                    <w:rPr>
                      <w:rFonts w:ascii="Arial" w:hAnsi="Arial" w:cs="Arial"/>
                      <w:sz w:val="18"/>
                      <w:szCs w:val="18"/>
                    </w:rPr>
                    <w:t xml:space="preserve"> 50 per cent reduction</w:t>
                  </w:r>
                </w:p>
              </w:tc>
              <w:tc>
                <w:tcPr>
                  <w:tcW w:w="469" w:type="pct"/>
                  <w:vAlign w:val="bottom"/>
                </w:tcPr>
                <w:p w:rsidR="00AC2131" w:rsidRDefault="00AC2131" w:rsidP="00AC2131">
                  <w:pPr>
                    <w:pStyle w:val="TableBodyText"/>
                    <w:spacing w:after="0"/>
                    <w:ind w:left="0" w:right="57"/>
                  </w:pPr>
                  <w:r>
                    <w:t>15.1</w:t>
                  </w:r>
                </w:p>
              </w:tc>
              <w:tc>
                <w:tcPr>
                  <w:tcW w:w="466" w:type="pct"/>
                  <w:vAlign w:val="bottom"/>
                </w:tcPr>
                <w:p w:rsidR="00AC2131" w:rsidRDefault="00AC2131" w:rsidP="00AC2131">
                  <w:pPr>
                    <w:pStyle w:val="TableBodyText"/>
                    <w:spacing w:after="0"/>
                    <w:ind w:left="0" w:right="57"/>
                  </w:pPr>
                  <w:r>
                    <w:t>8.0</w:t>
                  </w:r>
                </w:p>
              </w:tc>
              <w:tc>
                <w:tcPr>
                  <w:tcW w:w="466" w:type="pct"/>
                  <w:vAlign w:val="bottom"/>
                </w:tcPr>
                <w:p w:rsidR="00AC2131" w:rsidRDefault="00AC2131" w:rsidP="00AC2131">
                  <w:pPr>
                    <w:pStyle w:val="TableBodyText"/>
                    <w:spacing w:after="0"/>
                    <w:ind w:left="0" w:right="57"/>
                  </w:pPr>
                  <w:r>
                    <w:t>7.9</w:t>
                  </w:r>
                </w:p>
              </w:tc>
              <w:tc>
                <w:tcPr>
                  <w:tcW w:w="466" w:type="pct"/>
                  <w:vAlign w:val="bottom"/>
                </w:tcPr>
                <w:p w:rsidR="00AC2131" w:rsidRDefault="00AC2131" w:rsidP="00AC2131">
                  <w:pPr>
                    <w:pStyle w:val="TableBodyText"/>
                    <w:spacing w:after="0"/>
                    <w:ind w:left="0" w:right="57"/>
                  </w:pPr>
                  <w:r>
                    <w:t>8.3</w:t>
                  </w:r>
                </w:p>
              </w:tc>
              <w:tc>
                <w:tcPr>
                  <w:tcW w:w="466" w:type="pct"/>
                  <w:shd w:val="clear" w:color="auto" w:fill="auto"/>
                  <w:vAlign w:val="bottom"/>
                </w:tcPr>
                <w:p w:rsidR="00AC2131" w:rsidRDefault="00AC2131" w:rsidP="00AC2131">
                  <w:pPr>
                    <w:pStyle w:val="TableBodyText"/>
                    <w:spacing w:after="0"/>
                    <w:ind w:left="0" w:right="57"/>
                  </w:pPr>
                  <w:r>
                    <w:t>8.6</w:t>
                  </w:r>
                </w:p>
              </w:tc>
              <w:tc>
                <w:tcPr>
                  <w:tcW w:w="463" w:type="pct"/>
                  <w:shd w:val="clear" w:color="auto" w:fill="auto"/>
                  <w:vAlign w:val="bottom"/>
                </w:tcPr>
                <w:p w:rsidR="00AC2131" w:rsidRDefault="00AC2131" w:rsidP="00AC2131">
                  <w:pPr>
                    <w:pStyle w:val="TableBodyText"/>
                    <w:spacing w:after="0"/>
                    <w:ind w:left="0" w:right="57"/>
                  </w:pPr>
                  <w:r>
                    <w:t>9.1</w:t>
                  </w:r>
                </w:p>
              </w:tc>
            </w:tr>
            <w:tr w:rsidR="00AC2131" w:rsidTr="00AC2131">
              <w:tc>
                <w:tcPr>
                  <w:tcW w:w="2204" w:type="pct"/>
                  <w:shd w:val="clear" w:color="auto" w:fill="auto"/>
                  <w:vAlign w:val="bottom"/>
                </w:tcPr>
                <w:p w:rsidR="00AC2131" w:rsidRPr="00A32B40" w:rsidRDefault="00AC2131" w:rsidP="00AC2131">
                  <w:pPr>
                    <w:ind w:left="227"/>
                    <w:rPr>
                      <w:rFonts w:ascii="Arial" w:hAnsi="Arial" w:cs="Arial"/>
                      <w:color w:val="000000"/>
                      <w:sz w:val="18"/>
                      <w:szCs w:val="18"/>
                    </w:rPr>
                  </w:pPr>
                  <w:r w:rsidRPr="00A32B40">
                    <w:rPr>
                      <w:rFonts w:ascii="Arial" w:hAnsi="Arial" w:cs="Arial"/>
                      <w:color w:val="000000"/>
                      <w:sz w:val="18"/>
                      <w:szCs w:val="18"/>
                    </w:rPr>
                    <w:t xml:space="preserve">Small business </w:t>
                  </w:r>
                  <w:r>
                    <w:rPr>
                      <w:rFonts w:ascii="Arial" w:hAnsi="Arial" w:cs="Arial"/>
                      <w:color w:val="000000"/>
                      <w:sz w:val="18"/>
                      <w:szCs w:val="18"/>
                    </w:rPr>
                    <w:t>capital gains tax</w:t>
                  </w:r>
                  <w:r w:rsidRPr="00A32B40">
                    <w:rPr>
                      <w:rFonts w:ascii="Arial" w:hAnsi="Arial" w:cs="Arial"/>
                      <w:color w:val="000000"/>
                      <w:sz w:val="18"/>
                      <w:szCs w:val="18"/>
                    </w:rPr>
                    <w:t xml:space="preserve"> retirement exemption</w:t>
                  </w:r>
                </w:p>
              </w:tc>
              <w:tc>
                <w:tcPr>
                  <w:tcW w:w="469" w:type="pct"/>
                  <w:vAlign w:val="bottom"/>
                </w:tcPr>
                <w:p w:rsidR="00AC2131" w:rsidRDefault="00AC2131" w:rsidP="00AC2131">
                  <w:pPr>
                    <w:pStyle w:val="TableBodyText"/>
                    <w:spacing w:after="0"/>
                    <w:ind w:left="0" w:right="57"/>
                  </w:pPr>
                  <w:r>
                    <w:t>8.0</w:t>
                  </w:r>
                </w:p>
              </w:tc>
              <w:tc>
                <w:tcPr>
                  <w:tcW w:w="466" w:type="pct"/>
                  <w:vAlign w:val="bottom"/>
                </w:tcPr>
                <w:p w:rsidR="00AC2131" w:rsidRDefault="00AC2131" w:rsidP="00AC2131">
                  <w:pPr>
                    <w:pStyle w:val="TableBodyText"/>
                    <w:spacing w:after="0"/>
                    <w:ind w:left="0" w:right="57"/>
                  </w:pPr>
                  <w:r>
                    <w:t>3.6</w:t>
                  </w:r>
                </w:p>
              </w:tc>
              <w:tc>
                <w:tcPr>
                  <w:tcW w:w="466" w:type="pct"/>
                  <w:vAlign w:val="bottom"/>
                </w:tcPr>
                <w:p w:rsidR="00AC2131" w:rsidRDefault="00AC2131" w:rsidP="00AC2131">
                  <w:pPr>
                    <w:pStyle w:val="TableBodyText"/>
                    <w:spacing w:after="0"/>
                    <w:ind w:left="0" w:right="57"/>
                  </w:pPr>
                  <w:r>
                    <w:t>4.0</w:t>
                  </w:r>
                </w:p>
              </w:tc>
              <w:tc>
                <w:tcPr>
                  <w:tcW w:w="466" w:type="pct"/>
                  <w:vAlign w:val="bottom"/>
                </w:tcPr>
                <w:p w:rsidR="00AC2131" w:rsidRDefault="00AC2131" w:rsidP="00AC2131">
                  <w:pPr>
                    <w:pStyle w:val="TableBodyText"/>
                    <w:spacing w:after="0"/>
                    <w:ind w:left="0" w:right="57"/>
                  </w:pPr>
                  <w:r>
                    <w:t>1.8</w:t>
                  </w:r>
                </w:p>
              </w:tc>
              <w:tc>
                <w:tcPr>
                  <w:tcW w:w="466" w:type="pct"/>
                  <w:shd w:val="clear" w:color="auto" w:fill="auto"/>
                  <w:vAlign w:val="bottom"/>
                </w:tcPr>
                <w:p w:rsidR="00AC2131" w:rsidRDefault="00AC2131" w:rsidP="00AC2131">
                  <w:pPr>
                    <w:pStyle w:val="TableBodyText"/>
                    <w:spacing w:after="0"/>
                    <w:ind w:left="0" w:right="57"/>
                  </w:pPr>
                  <w:r>
                    <w:t>1.8</w:t>
                  </w:r>
                </w:p>
              </w:tc>
              <w:tc>
                <w:tcPr>
                  <w:tcW w:w="463" w:type="pct"/>
                  <w:shd w:val="clear" w:color="auto" w:fill="auto"/>
                  <w:vAlign w:val="bottom"/>
                </w:tcPr>
                <w:p w:rsidR="00AC2131" w:rsidRDefault="00AC2131" w:rsidP="00AC2131">
                  <w:pPr>
                    <w:pStyle w:val="TableBodyText"/>
                    <w:spacing w:after="0"/>
                    <w:ind w:left="0" w:right="57"/>
                  </w:pPr>
                  <w:r>
                    <w:t>1.9</w:t>
                  </w:r>
                </w:p>
              </w:tc>
            </w:tr>
            <w:tr w:rsidR="00AC2131" w:rsidTr="00AC2131">
              <w:tc>
                <w:tcPr>
                  <w:tcW w:w="2204" w:type="pct"/>
                  <w:shd w:val="clear" w:color="auto" w:fill="auto"/>
                </w:tcPr>
                <w:p w:rsidR="00AC2131" w:rsidRPr="00A32B40" w:rsidRDefault="00AC2131" w:rsidP="00AC2131">
                  <w:pPr>
                    <w:ind w:left="227"/>
                    <w:rPr>
                      <w:rFonts w:ascii="Arial" w:hAnsi="Arial" w:cs="Arial"/>
                      <w:sz w:val="18"/>
                      <w:szCs w:val="18"/>
                    </w:rPr>
                  </w:pPr>
                  <w:r w:rsidRPr="00A32B40">
                    <w:rPr>
                      <w:rFonts w:ascii="Arial" w:hAnsi="Arial" w:cs="Arial"/>
                      <w:sz w:val="18"/>
                      <w:szCs w:val="18"/>
                    </w:rPr>
                    <w:t xml:space="preserve">Small business </w:t>
                  </w:r>
                  <w:r>
                    <w:rPr>
                      <w:rFonts w:ascii="Arial" w:hAnsi="Arial" w:cs="Arial"/>
                      <w:sz w:val="18"/>
                      <w:szCs w:val="18"/>
                    </w:rPr>
                    <w:t>capital gains tax</w:t>
                  </w:r>
                  <w:r w:rsidRPr="00A32B40">
                    <w:rPr>
                      <w:rFonts w:ascii="Arial" w:hAnsi="Arial" w:cs="Arial"/>
                      <w:sz w:val="18"/>
                      <w:szCs w:val="18"/>
                    </w:rPr>
                    <w:t xml:space="preserve"> rollover deferral</w:t>
                  </w:r>
                </w:p>
              </w:tc>
              <w:tc>
                <w:tcPr>
                  <w:tcW w:w="469" w:type="pct"/>
                  <w:vAlign w:val="bottom"/>
                </w:tcPr>
                <w:p w:rsidR="00AC2131" w:rsidRDefault="00AC2131" w:rsidP="00AC2131">
                  <w:pPr>
                    <w:pStyle w:val="TableBodyText"/>
                    <w:spacing w:after="0"/>
                    <w:ind w:left="0" w:right="57"/>
                  </w:pPr>
                  <w:r>
                    <w:t>5.2</w:t>
                  </w:r>
                </w:p>
              </w:tc>
              <w:tc>
                <w:tcPr>
                  <w:tcW w:w="466" w:type="pct"/>
                  <w:vAlign w:val="bottom"/>
                </w:tcPr>
                <w:p w:rsidR="00AC2131" w:rsidRDefault="00AC2131" w:rsidP="00AC2131">
                  <w:pPr>
                    <w:pStyle w:val="TableBodyText"/>
                    <w:spacing w:after="0"/>
                    <w:ind w:left="0" w:right="57"/>
                  </w:pPr>
                  <w:r>
                    <w:t>1.5</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4" w:type="pct"/>
                  <w:vAlign w:val="bottom"/>
                </w:tcPr>
                <w:p w:rsidR="00AC2131" w:rsidRPr="005846E8" w:rsidRDefault="00AC2131" w:rsidP="00AC2131">
                  <w:pPr>
                    <w:ind w:left="227"/>
                    <w:rPr>
                      <w:rFonts w:ascii="Arial" w:hAnsi="Arial" w:cs="Arial"/>
                      <w:color w:val="000000"/>
                      <w:sz w:val="18"/>
                      <w:szCs w:val="18"/>
                    </w:rPr>
                  </w:pPr>
                  <w:r w:rsidRPr="005846E8">
                    <w:rPr>
                      <w:rFonts w:ascii="Arial" w:hAnsi="Arial" w:cs="Arial"/>
                      <w:color w:val="000000"/>
                      <w:sz w:val="18"/>
                      <w:szCs w:val="18"/>
                    </w:rPr>
                    <w:t>Small business Online Program</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2.4</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3" w:type="pct"/>
                  <w:vAlign w:val="bottom"/>
                </w:tcPr>
                <w:p w:rsidR="00AC2131" w:rsidRDefault="00AC2131" w:rsidP="00AC2131">
                  <w:pPr>
                    <w:pStyle w:val="TableBodyText"/>
                    <w:spacing w:after="0"/>
                    <w:ind w:left="0" w:right="57"/>
                  </w:pPr>
                  <w:r>
                    <w:t>–</w:t>
                  </w:r>
                </w:p>
              </w:tc>
            </w:tr>
            <w:tr w:rsidR="00AC2131" w:rsidTr="00AC2131">
              <w:tc>
                <w:tcPr>
                  <w:tcW w:w="2204" w:type="pct"/>
                  <w:vAlign w:val="bottom"/>
                </w:tcPr>
                <w:p w:rsidR="00AC2131" w:rsidRPr="005846E8" w:rsidRDefault="00AC2131" w:rsidP="00AC2131">
                  <w:pPr>
                    <w:ind w:left="227"/>
                    <w:rPr>
                      <w:rFonts w:ascii="Arial" w:hAnsi="Arial" w:cs="Arial"/>
                      <w:color w:val="000000"/>
                      <w:sz w:val="18"/>
                      <w:szCs w:val="18"/>
                    </w:rPr>
                  </w:pPr>
                  <w:r w:rsidRPr="005846E8">
                    <w:rPr>
                      <w:rFonts w:ascii="Arial" w:hAnsi="Arial" w:cs="Arial"/>
                      <w:color w:val="000000"/>
                      <w:sz w:val="18"/>
                      <w:szCs w:val="18"/>
                    </w:rPr>
                    <w:t>Small business programs</w:t>
                  </w:r>
                </w:p>
              </w:tc>
              <w:tc>
                <w:tcPr>
                  <w:tcW w:w="469" w:type="pct"/>
                  <w:vAlign w:val="bottom"/>
                </w:tcPr>
                <w:p w:rsidR="00AC2131" w:rsidRDefault="00AC2131" w:rsidP="00AC2131">
                  <w:pPr>
                    <w:pStyle w:val="TableBodyText"/>
                    <w:spacing w:after="0"/>
                    <w:ind w:left="0" w:right="57"/>
                  </w:pPr>
                  <w:r>
                    <w:t>0.7</w:t>
                  </w:r>
                </w:p>
              </w:tc>
              <w:tc>
                <w:tcPr>
                  <w:tcW w:w="466" w:type="pct"/>
                  <w:vAlign w:val="bottom"/>
                </w:tcPr>
                <w:p w:rsidR="00AC2131" w:rsidRDefault="00AC2131" w:rsidP="00AC2131">
                  <w:pPr>
                    <w:pStyle w:val="TableBodyText"/>
                    <w:spacing w:after="0"/>
                    <w:ind w:left="0" w:right="57"/>
                  </w:pPr>
                  <w:r>
                    <w:t>0.4</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3" w:type="pct"/>
                  <w:vAlign w:val="bottom"/>
                </w:tcPr>
                <w:p w:rsidR="00AC2131" w:rsidRDefault="00AC2131" w:rsidP="00AC2131">
                  <w:pPr>
                    <w:pStyle w:val="TableBodyText"/>
                    <w:spacing w:after="0"/>
                    <w:ind w:left="0" w:right="57"/>
                  </w:pPr>
                  <w:r>
                    <w:t>–</w:t>
                  </w:r>
                </w:p>
              </w:tc>
            </w:tr>
            <w:tr w:rsidR="00AC2131" w:rsidTr="00AC2131">
              <w:tc>
                <w:tcPr>
                  <w:tcW w:w="2204" w:type="pct"/>
                  <w:shd w:val="clear" w:color="auto" w:fill="auto"/>
                  <w:vAlign w:val="bottom"/>
                </w:tcPr>
                <w:p w:rsidR="00AC2131" w:rsidRPr="005846E8" w:rsidRDefault="00AC2131" w:rsidP="00AC2131">
                  <w:pPr>
                    <w:ind w:left="227"/>
                    <w:rPr>
                      <w:rFonts w:ascii="Arial" w:hAnsi="Arial" w:cs="Arial"/>
                      <w:color w:val="000000"/>
                      <w:sz w:val="18"/>
                      <w:szCs w:val="18"/>
                    </w:rPr>
                  </w:pPr>
                  <w:r w:rsidRPr="005846E8">
                    <w:rPr>
                      <w:rFonts w:ascii="Arial" w:hAnsi="Arial" w:cs="Arial"/>
                      <w:color w:val="000000"/>
                      <w:sz w:val="18"/>
                      <w:szCs w:val="18"/>
                    </w:rPr>
                    <w:t>South East South Australia Innovation and Investment Fund</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&lt;0.1</w:t>
                  </w:r>
                </w:p>
              </w:tc>
              <w:tc>
                <w:tcPr>
                  <w:tcW w:w="466" w:type="pct"/>
                  <w:shd w:val="clear" w:color="auto" w:fill="auto"/>
                  <w:vAlign w:val="bottom"/>
                </w:tcPr>
                <w:p w:rsidR="00AC2131" w:rsidRDefault="00AC2131" w:rsidP="00AC2131">
                  <w:pPr>
                    <w:pStyle w:val="TableBodyText"/>
                    <w:spacing w:after="0"/>
                    <w:ind w:left="0" w:right="57"/>
                  </w:pPr>
                  <w:r>
                    <w:t>0.3</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4" w:type="pct"/>
                  <w:shd w:val="clear" w:color="auto" w:fill="auto"/>
                  <w:vAlign w:val="bottom"/>
                </w:tcPr>
                <w:p w:rsidR="00AC2131" w:rsidRPr="005846E8" w:rsidRDefault="00AC2131" w:rsidP="00AC2131">
                  <w:pPr>
                    <w:ind w:left="227"/>
                    <w:rPr>
                      <w:rFonts w:ascii="Arial" w:hAnsi="Arial" w:cs="Arial"/>
                      <w:color w:val="000000"/>
                      <w:sz w:val="18"/>
                      <w:szCs w:val="18"/>
                    </w:rPr>
                  </w:pPr>
                  <w:r w:rsidRPr="005846E8">
                    <w:rPr>
                      <w:rFonts w:ascii="Arial" w:hAnsi="Arial" w:cs="Arial"/>
                      <w:color w:val="000000"/>
                      <w:sz w:val="18"/>
                      <w:szCs w:val="18"/>
                    </w:rPr>
                    <w:t>Tasmanian Innovation and Investment Fund</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0.1</w:t>
                  </w:r>
                </w:p>
              </w:tc>
              <w:tc>
                <w:tcPr>
                  <w:tcW w:w="466" w:type="pct"/>
                  <w:shd w:val="clear" w:color="auto" w:fill="auto"/>
                  <w:vAlign w:val="bottom"/>
                </w:tcPr>
                <w:p w:rsidR="00AC2131" w:rsidRDefault="00AC2131" w:rsidP="00AC2131">
                  <w:pPr>
                    <w:pStyle w:val="TableBodyText"/>
                    <w:spacing w:after="0"/>
                    <w:ind w:left="0" w:right="57"/>
                  </w:pPr>
                  <w:r>
                    <w:t>&lt;0.1</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4" w:type="pct"/>
                  <w:shd w:val="clear" w:color="auto" w:fill="auto"/>
                  <w:vAlign w:val="bottom"/>
                </w:tcPr>
                <w:p w:rsidR="00AC2131" w:rsidRPr="005846E8" w:rsidRDefault="00AC2131" w:rsidP="00AC2131">
                  <w:pPr>
                    <w:ind w:left="227"/>
                    <w:rPr>
                      <w:rFonts w:ascii="Arial" w:hAnsi="Arial" w:cs="Arial"/>
                      <w:color w:val="000000"/>
                      <w:sz w:val="18"/>
                      <w:szCs w:val="18"/>
                    </w:rPr>
                  </w:pPr>
                  <w:r w:rsidRPr="005846E8">
                    <w:rPr>
                      <w:rFonts w:ascii="Arial" w:hAnsi="Arial" w:cs="Arial"/>
                      <w:color w:val="000000"/>
                      <w:sz w:val="18"/>
                      <w:szCs w:val="18"/>
                    </w:rPr>
                    <w:t>The Small Business and General Business Tax Break</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32.2</w:t>
                  </w:r>
                </w:p>
              </w:tc>
              <w:tc>
                <w:tcPr>
                  <w:tcW w:w="466" w:type="pct"/>
                  <w:vAlign w:val="bottom"/>
                </w:tcPr>
                <w:p w:rsidR="00AC2131" w:rsidRDefault="00AC2131" w:rsidP="00AC2131">
                  <w:pPr>
                    <w:pStyle w:val="TableBodyText"/>
                    <w:spacing w:after="0"/>
                    <w:ind w:left="0" w:right="57"/>
                  </w:pPr>
                  <w:r>
                    <w:t>16.0</w:t>
                  </w:r>
                </w:p>
              </w:tc>
              <w:tc>
                <w:tcPr>
                  <w:tcW w:w="466" w:type="pct"/>
                  <w:vAlign w:val="bottom"/>
                </w:tcPr>
                <w:p w:rsidR="00AC2131" w:rsidRDefault="00AC2131" w:rsidP="00AC2131">
                  <w:pPr>
                    <w:pStyle w:val="TableBodyText"/>
                    <w:spacing w:after="0"/>
                    <w:ind w:left="0" w:right="57"/>
                  </w:pPr>
                  <w:r>
                    <w:t>16.6</w:t>
                  </w:r>
                </w:p>
              </w:tc>
              <w:tc>
                <w:tcPr>
                  <w:tcW w:w="466" w:type="pct"/>
                  <w:shd w:val="clear" w:color="auto" w:fill="auto"/>
                  <w:vAlign w:val="bottom"/>
                </w:tcPr>
                <w:p w:rsidR="00AC2131" w:rsidRDefault="00AC2131" w:rsidP="00AC2131">
                  <w:pPr>
                    <w:pStyle w:val="TableBodyText"/>
                    <w:spacing w:after="0"/>
                    <w:ind w:left="0" w:right="57"/>
                  </w:pPr>
                  <w:r>
                    <w:t>5.7</w:t>
                  </w:r>
                </w:p>
              </w:tc>
              <w:tc>
                <w:tcPr>
                  <w:tcW w:w="463" w:type="pct"/>
                  <w:shd w:val="clear" w:color="auto" w:fill="auto"/>
                  <w:vAlign w:val="bottom"/>
                </w:tcPr>
                <w:p w:rsidR="00AC2131" w:rsidRDefault="00AC2131" w:rsidP="00AC2131">
                  <w:pPr>
                    <w:pStyle w:val="TableBodyText"/>
                    <w:spacing w:after="0"/>
                    <w:ind w:left="0" w:right="57"/>
                  </w:pPr>
                  <w:r>
                    <w:t>0.7</w:t>
                  </w:r>
                </w:p>
              </w:tc>
            </w:tr>
            <w:tr w:rsidR="00AC2131" w:rsidTr="00AC2131">
              <w:tc>
                <w:tcPr>
                  <w:tcW w:w="2204" w:type="pct"/>
                  <w:shd w:val="clear" w:color="auto" w:fill="auto"/>
                </w:tcPr>
                <w:p w:rsidR="00AC2131" w:rsidRPr="005846E8" w:rsidRDefault="00AC2131" w:rsidP="00AC2131">
                  <w:pPr>
                    <w:pStyle w:val="TableBodyText"/>
                    <w:spacing w:before="20" w:after="20"/>
                    <w:jc w:val="left"/>
                    <w:rPr>
                      <w:i/>
                    </w:rPr>
                  </w:pPr>
                  <w:r w:rsidRPr="005846E8">
                    <w:rPr>
                      <w:i/>
                    </w:rPr>
                    <w:t xml:space="preserve">Total </w:t>
                  </w:r>
                </w:p>
              </w:tc>
              <w:tc>
                <w:tcPr>
                  <w:tcW w:w="469" w:type="pct"/>
                  <w:vAlign w:val="bottom"/>
                </w:tcPr>
                <w:p w:rsidR="00AC2131" w:rsidRPr="006C5F01" w:rsidRDefault="00AC2131" w:rsidP="00AC2131">
                  <w:pPr>
                    <w:pStyle w:val="TableBodyText"/>
                    <w:spacing w:before="20" w:after="20"/>
                    <w:ind w:left="0" w:right="57"/>
                    <w:rPr>
                      <w:i/>
                    </w:rPr>
                  </w:pPr>
                  <w:r w:rsidRPr="006C5F01">
                    <w:rPr>
                      <w:i/>
                    </w:rPr>
                    <w:t>58.8</w:t>
                  </w:r>
                </w:p>
              </w:tc>
              <w:tc>
                <w:tcPr>
                  <w:tcW w:w="466" w:type="pct"/>
                  <w:vAlign w:val="bottom"/>
                </w:tcPr>
                <w:p w:rsidR="00AC2131" w:rsidRPr="006C5F01" w:rsidRDefault="00AC2131" w:rsidP="00AC2131">
                  <w:pPr>
                    <w:pStyle w:val="TableBodyText"/>
                    <w:spacing w:before="20" w:after="20"/>
                    <w:ind w:left="0" w:right="57"/>
                    <w:rPr>
                      <w:i/>
                    </w:rPr>
                  </w:pPr>
                  <w:r w:rsidRPr="006C5F01">
                    <w:rPr>
                      <w:i/>
                    </w:rPr>
                    <w:t>83.7</w:t>
                  </w:r>
                </w:p>
              </w:tc>
              <w:tc>
                <w:tcPr>
                  <w:tcW w:w="466" w:type="pct"/>
                  <w:vAlign w:val="bottom"/>
                </w:tcPr>
                <w:p w:rsidR="00AC2131" w:rsidRPr="006C5F01" w:rsidRDefault="00AC2131" w:rsidP="00AC2131">
                  <w:pPr>
                    <w:pStyle w:val="TableBodyText"/>
                    <w:spacing w:before="20" w:after="20"/>
                    <w:ind w:left="0" w:right="57"/>
                    <w:rPr>
                      <w:i/>
                    </w:rPr>
                  </w:pPr>
                  <w:r w:rsidRPr="006C5F01">
                    <w:rPr>
                      <w:i/>
                    </w:rPr>
                    <w:t>64.1</w:t>
                  </w:r>
                </w:p>
              </w:tc>
              <w:tc>
                <w:tcPr>
                  <w:tcW w:w="466" w:type="pct"/>
                  <w:vAlign w:val="bottom"/>
                </w:tcPr>
                <w:p w:rsidR="00AC2131" w:rsidRPr="006C5F01" w:rsidRDefault="00AC2131" w:rsidP="00AC2131">
                  <w:pPr>
                    <w:pStyle w:val="TableBodyText"/>
                    <w:spacing w:before="20" w:after="20"/>
                    <w:ind w:left="0" w:right="57"/>
                    <w:rPr>
                      <w:i/>
                    </w:rPr>
                  </w:pPr>
                  <w:r w:rsidRPr="006C5F01">
                    <w:rPr>
                      <w:i/>
                    </w:rPr>
                    <w:t>68.0</w:t>
                  </w:r>
                </w:p>
              </w:tc>
              <w:tc>
                <w:tcPr>
                  <w:tcW w:w="466" w:type="pct"/>
                  <w:shd w:val="clear" w:color="auto" w:fill="auto"/>
                  <w:vAlign w:val="bottom"/>
                </w:tcPr>
                <w:p w:rsidR="00AC2131" w:rsidRPr="006C5F01" w:rsidRDefault="00AC2131" w:rsidP="00AC2131">
                  <w:pPr>
                    <w:pStyle w:val="TableBodyText"/>
                    <w:spacing w:before="20" w:after="20"/>
                    <w:ind w:left="0" w:right="57"/>
                    <w:rPr>
                      <w:i/>
                    </w:rPr>
                  </w:pPr>
                  <w:r w:rsidRPr="006C5F01">
                    <w:rPr>
                      <w:i/>
                    </w:rPr>
                    <w:t>58.5</w:t>
                  </w:r>
                </w:p>
              </w:tc>
              <w:tc>
                <w:tcPr>
                  <w:tcW w:w="463" w:type="pct"/>
                  <w:shd w:val="clear" w:color="auto" w:fill="auto"/>
                  <w:vAlign w:val="bottom"/>
                </w:tcPr>
                <w:p w:rsidR="00AC2131" w:rsidRPr="006C5F01" w:rsidRDefault="00AC2131" w:rsidP="00AC2131">
                  <w:pPr>
                    <w:pStyle w:val="TableBodyText"/>
                    <w:spacing w:before="20" w:after="20"/>
                    <w:ind w:left="0" w:right="57"/>
                    <w:rPr>
                      <w:i/>
                    </w:rPr>
                  </w:pPr>
                  <w:r w:rsidRPr="006C5F01">
                    <w:rPr>
                      <w:i/>
                    </w:rPr>
                    <w:t>105.5</w:t>
                  </w:r>
                </w:p>
              </w:tc>
            </w:tr>
            <w:tr w:rsidR="00AC2131" w:rsidTr="00AC2131">
              <w:tc>
                <w:tcPr>
                  <w:tcW w:w="2204" w:type="pct"/>
                  <w:shd w:val="clear" w:color="auto" w:fill="auto"/>
                </w:tcPr>
                <w:p w:rsidR="00AC2131" w:rsidRPr="005846E8" w:rsidRDefault="00AC2131" w:rsidP="00AC2131">
                  <w:pPr>
                    <w:pStyle w:val="TableBodyText"/>
                    <w:spacing w:before="40"/>
                    <w:jc w:val="left"/>
                    <w:rPr>
                      <w:b/>
                    </w:rPr>
                  </w:pPr>
                  <w:r w:rsidRPr="005846E8">
                    <w:rPr>
                      <w:b/>
                    </w:rPr>
                    <w:t>Unallocated services</w:t>
                  </w:r>
                </w:p>
              </w:tc>
              <w:tc>
                <w:tcPr>
                  <w:tcW w:w="469" w:type="pct"/>
                </w:tcPr>
                <w:p w:rsidR="00AC2131" w:rsidRDefault="00AC2131" w:rsidP="00AC2131">
                  <w:pPr>
                    <w:pStyle w:val="TableBodyText"/>
                    <w:spacing w:before="40"/>
                  </w:pPr>
                </w:p>
              </w:tc>
              <w:tc>
                <w:tcPr>
                  <w:tcW w:w="466" w:type="pct"/>
                </w:tcPr>
                <w:p w:rsidR="00AC2131" w:rsidRDefault="00AC2131" w:rsidP="00AC2131">
                  <w:pPr>
                    <w:pStyle w:val="TableBodyText"/>
                    <w:spacing w:before="40"/>
                  </w:pPr>
                </w:p>
              </w:tc>
              <w:tc>
                <w:tcPr>
                  <w:tcW w:w="466" w:type="pct"/>
                </w:tcPr>
                <w:p w:rsidR="00AC2131" w:rsidRDefault="00AC2131" w:rsidP="00AC2131">
                  <w:pPr>
                    <w:pStyle w:val="TableBodyText"/>
                    <w:spacing w:before="40"/>
                  </w:pPr>
                </w:p>
              </w:tc>
              <w:tc>
                <w:tcPr>
                  <w:tcW w:w="466" w:type="pct"/>
                </w:tcPr>
                <w:p w:rsidR="00AC2131" w:rsidRDefault="00AC2131" w:rsidP="00AC2131">
                  <w:pPr>
                    <w:pStyle w:val="TableBodyText"/>
                    <w:spacing w:before="40"/>
                  </w:pPr>
                </w:p>
              </w:tc>
              <w:tc>
                <w:tcPr>
                  <w:tcW w:w="466" w:type="pct"/>
                  <w:shd w:val="clear" w:color="auto" w:fill="auto"/>
                </w:tcPr>
                <w:p w:rsidR="00AC2131" w:rsidRDefault="00AC2131" w:rsidP="00AC2131">
                  <w:pPr>
                    <w:pStyle w:val="TableBodyText"/>
                    <w:spacing w:before="40"/>
                  </w:pPr>
                </w:p>
              </w:tc>
              <w:tc>
                <w:tcPr>
                  <w:tcW w:w="463" w:type="pct"/>
                  <w:shd w:val="clear" w:color="auto" w:fill="auto"/>
                </w:tcPr>
                <w:p w:rsidR="00AC2131" w:rsidRDefault="00AC2131" w:rsidP="00AC2131">
                  <w:pPr>
                    <w:pStyle w:val="TableBodyText"/>
                    <w:spacing w:before="40"/>
                    <w:ind w:right="28"/>
                  </w:pPr>
                </w:p>
              </w:tc>
            </w:tr>
            <w:tr w:rsidR="00AC2131" w:rsidTr="00AC2131">
              <w:tc>
                <w:tcPr>
                  <w:tcW w:w="2204" w:type="pct"/>
                  <w:shd w:val="clear" w:color="auto" w:fill="auto"/>
                </w:tcPr>
                <w:p w:rsidR="00AC2131" w:rsidRPr="005846E8" w:rsidRDefault="00AC2131" w:rsidP="00AC2131">
                  <w:pPr>
                    <w:pStyle w:val="TableBodyText"/>
                    <w:spacing w:before="40" w:after="0"/>
                    <w:ind w:left="113"/>
                    <w:jc w:val="left"/>
                    <w:rPr>
                      <w:i/>
                    </w:rPr>
                  </w:pPr>
                  <w:r w:rsidRPr="005846E8">
                    <w:rPr>
                      <w:i/>
                    </w:rPr>
                    <w:t>General export measures</w:t>
                  </w:r>
                </w:p>
              </w:tc>
              <w:tc>
                <w:tcPr>
                  <w:tcW w:w="469"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4" w:type="pct"/>
                  <w:shd w:val="clear" w:color="auto" w:fill="auto"/>
                </w:tcPr>
                <w:p w:rsidR="00AC2131" w:rsidRDefault="00AC2131" w:rsidP="00AC2131">
                  <w:pPr>
                    <w:pStyle w:val="TableBodyText"/>
                    <w:spacing w:after="0"/>
                    <w:ind w:left="227" w:right="0"/>
                    <w:jc w:val="left"/>
                  </w:pPr>
                  <w:r w:rsidRPr="005846E8">
                    <w:t>Tourism Australia</w:t>
                  </w:r>
                </w:p>
              </w:tc>
              <w:tc>
                <w:tcPr>
                  <w:tcW w:w="469" w:type="pct"/>
                  <w:vAlign w:val="bottom"/>
                </w:tcPr>
                <w:p w:rsidR="00AC2131" w:rsidRDefault="00AC2131" w:rsidP="00AC2131">
                  <w:pPr>
                    <w:pStyle w:val="TableBodyText"/>
                    <w:spacing w:after="0"/>
                    <w:ind w:left="0" w:right="57"/>
                  </w:pPr>
                  <w:r>
                    <w:t>137.6</w:t>
                  </w:r>
                </w:p>
              </w:tc>
              <w:tc>
                <w:tcPr>
                  <w:tcW w:w="466" w:type="pct"/>
                  <w:vAlign w:val="bottom"/>
                </w:tcPr>
                <w:p w:rsidR="00AC2131" w:rsidRDefault="00AC2131" w:rsidP="00AC2131">
                  <w:pPr>
                    <w:pStyle w:val="TableBodyText"/>
                    <w:spacing w:after="0"/>
                    <w:ind w:left="0" w:right="57"/>
                  </w:pPr>
                  <w:r>
                    <w:t>141.6</w:t>
                  </w:r>
                </w:p>
              </w:tc>
              <w:tc>
                <w:tcPr>
                  <w:tcW w:w="466" w:type="pct"/>
                  <w:vAlign w:val="bottom"/>
                </w:tcPr>
                <w:p w:rsidR="00AC2131" w:rsidRDefault="00AC2131" w:rsidP="00AC2131">
                  <w:pPr>
                    <w:pStyle w:val="TableBodyText"/>
                    <w:spacing w:after="0"/>
                    <w:ind w:left="0" w:right="57"/>
                  </w:pPr>
                  <w:r>
                    <w:t>136.1</w:t>
                  </w:r>
                </w:p>
              </w:tc>
              <w:tc>
                <w:tcPr>
                  <w:tcW w:w="466" w:type="pct"/>
                  <w:vAlign w:val="bottom"/>
                </w:tcPr>
                <w:p w:rsidR="00AC2131" w:rsidRDefault="00AC2131" w:rsidP="00AC2131">
                  <w:pPr>
                    <w:pStyle w:val="TableBodyText"/>
                    <w:spacing w:after="0"/>
                    <w:ind w:left="0" w:right="57"/>
                  </w:pPr>
                  <w:r>
                    <w:t>136.8</w:t>
                  </w:r>
                </w:p>
              </w:tc>
              <w:tc>
                <w:tcPr>
                  <w:tcW w:w="466" w:type="pct"/>
                  <w:shd w:val="clear" w:color="auto" w:fill="auto"/>
                  <w:vAlign w:val="bottom"/>
                </w:tcPr>
                <w:p w:rsidR="00AC2131" w:rsidRDefault="00AC2131" w:rsidP="00AC2131">
                  <w:pPr>
                    <w:pStyle w:val="TableBodyText"/>
                    <w:spacing w:after="0"/>
                    <w:ind w:left="0" w:right="57"/>
                  </w:pPr>
                  <w:r>
                    <w:t>129.7</w:t>
                  </w:r>
                </w:p>
              </w:tc>
              <w:tc>
                <w:tcPr>
                  <w:tcW w:w="463" w:type="pct"/>
                  <w:shd w:val="clear" w:color="auto" w:fill="auto"/>
                  <w:vAlign w:val="bottom"/>
                </w:tcPr>
                <w:p w:rsidR="00AC2131" w:rsidRDefault="00AC2131" w:rsidP="00AC2131">
                  <w:pPr>
                    <w:pStyle w:val="TableBodyText"/>
                    <w:spacing w:after="0"/>
                    <w:ind w:left="0" w:right="57"/>
                  </w:pPr>
                  <w:r>
                    <w:t>130.4</w:t>
                  </w:r>
                </w:p>
              </w:tc>
            </w:tr>
            <w:tr w:rsidR="00AC2131" w:rsidTr="00AC2131">
              <w:tc>
                <w:tcPr>
                  <w:tcW w:w="2204" w:type="pct"/>
                  <w:shd w:val="clear" w:color="auto" w:fill="auto"/>
                </w:tcPr>
                <w:p w:rsidR="00AC2131" w:rsidRPr="002B0D0D" w:rsidRDefault="00AC2131" w:rsidP="00AC2131">
                  <w:pPr>
                    <w:pStyle w:val="TableBodyText"/>
                    <w:spacing w:before="40" w:after="0"/>
                    <w:ind w:left="113"/>
                    <w:jc w:val="left"/>
                    <w:rPr>
                      <w:i/>
                    </w:rPr>
                  </w:pPr>
                  <w:r w:rsidRPr="002B0D0D">
                    <w:rPr>
                      <w:i/>
                    </w:rPr>
                    <w:t>General R&amp;D measures</w:t>
                  </w:r>
                </w:p>
              </w:tc>
              <w:tc>
                <w:tcPr>
                  <w:tcW w:w="469"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4" w:type="pct"/>
                  <w:shd w:val="clear" w:color="auto" w:fill="auto"/>
                </w:tcPr>
                <w:p w:rsidR="00AC2131" w:rsidRDefault="00AC2131" w:rsidP="00AC2131">
                  <w:pPr>
                    <w:pStyle w:val="TableBodyText"/>
                    <w:spacing w:after="0"/>
                    <w:ind w:left="227" w:right="0"/>
                    <w:jc w:val="left"/>
                  </w:pPr>
                  <w:r w:rsidRPr="002B0D0D">
                    <w:t>CSIRO</w:t>
                  </w:r>
                </w:p>
              </w:tc>
              <w:tc>
                <w:tcPr>
                  <w:tcW w:w="469" w:type="pct"/>
                  <w:vAlign w:val="bottom"/>
                </w:tcPr>
                <w:p w:rsidR="00AC2131" w:rsidRDefault="00AC2131" w:rsidP="00AC2131">
                  <w:pPr>
                    <w:pStyle w:val="TableBodyText"/>
                    <w:spacing w:after="0"/>
                    <w:ind w:left="0" w:right="57"/>
                  </w:pPr>
                  <w:r>
                    <w:t>2.3</w:t>
                  </w:r>
                </w:p>
              </w:tc>
              <w:tc>
                <w:tcPr>
                  <w:tcW w:w="466" w:type="pct"/>
                  <w:vAlign w:val="bottom"/>
                </w:tcPr>
                <w:p w:rsidR="00AC2131" w:rsidRDefault="00AC2131" w:rsidP="00AC2131">
                  <w:pPr>
                    <w:pStyle w:val="TableBodyText"/>
                    <w:spacing w:after="0"/>
                    <w:ind w:left="0" w:right="57"/>
                  </w:pPr>
                  <w:r>
                    <w:t>2.5</w:t>
                  </w:r>
                </w:p>
              </w:tc>
              <w:tc>
                <w:tcPr>
                  <w:tcW w:w="466" w:type="pct"/>
                  <w:vAlign w:val="bottom"/>
                </w:tcPr>
                <w:p w:rsidR="00AC2131" w:rsidRDefault="00AC2131" w:rsidP="00AC2131">
                  <w:pPr>
                    <w:pStyle w:val="TableBodyText"/>
                    <w:spacing w:after="0"/>
                    <w:ind w:left="0" w:right="57"/>
                  </w:pPr>
                  <w:r>
                    <w:t>2.6</w:t>
                  </w:r>
                </w:p>
              </w:tc>
              <w:tc>
                <w:tcPr>
                  <w:tcW w:w="466" w:type="pct"/>
                  <w:vAlign w:val="bottom"/>
                </w:tcPr>
                <w:p w:rsidR="00AC2131" w:rsidRDefault="00AC2131" w:rsidP="00AC2131">
                  <w:pPr>
                    <w:pStyle w:val="TableBodyText"/>
                    <w:spacing w:after="0"/>
                    <w:ind w:left="0" w:right="57"/>
                  </w:pPr>
                  <w:r>
                    <w:t>1.3</w:t>
                  </w:r>
                </w:p>
              </w:tc>
              <w:tc>
                <w:tcPr>
                  <w:tcW w:w="466" w:type="pct"/>
                  <w:shd w:val="clear" w:color="auto" w:fill="auto"/>
                  <w:vAlign w:val="bottom"/>
                </w:tcPr>
                <w:p w:rsidR="00AC2131" w:rsidRDefault="00AC2131" w:rsidP="00AC2131">
                  <w:pPr>
                    <w:pStyle w:val="TableBodyText"/>
                    <w:spacing w:after="0"/>
                    <w:ind w:left="0" w:right="57"/>
                  </w:pPr>
                  <w:r>
                    <w:t>1.2</w:t>
                  </w:r>
                </w:p>
              </w:tc>
              <w:tc>
                <w:tcPr>
                  <w:tcW w:w="463" w:type="pct"/>
                  <w:shd w:val="clear" w:color="auto" w:fill="auto"/>
                  <w:vAlign w:val="bottom"/>
                </w:tcPr>
                <w:p w:rsidR="00AC2131" w:rsidRDefault="00AC2131" w:rsidP="00AC2131">
                  <w:pPr>
                    <w:pStyle w:val="TableBodyText"/>
                    <w:spacing w:after="0"/>
                    <w:ind w:left="0" w:right="57"/>
                  </w:pPr>
                  <w:r>
                    <w:t>1.3</w:t>
                  </w:r>
                </w:p>
              </w:tc>
            </w:tr>
            <w:tr w:rsidR="00AC2131" w:rsidTr="00AC2131">
              <w:tc>
                <w:tcPr>
                  <w:tcW w:w="2204" w:type="pct"/>
                  <w:shd w:val="clear" w:color="auto" w:fill="auto"/>
                </w:tcPr>
                <w:p w:rsidR="00AC2131" w:rsidRPr="002B0D0D" w:rsidRDefault="00AC2131" w:rsidP="00AC2131">
                  <w:pPr>
                    <w:pStyle w:val="TableBodyText"/>
                    <w:spacing w:before="40" w:after="0"/>
                    <w:ind w:left="113"/>
                    <w:jc w:val="left"/>
                    <w:rPr>
                      <w:i/>
                    </w:rPr>
                  </w:pPr>
                  <w:r w:rsidRPr="002B0D0D">
                    <w:rPr>
                      <w:i/>
                    </w:rPr>
                    <w:t>Other measures</w:t>
                  </w:r>
                </w:p>
              </w:tc>
              <w:tc>
                <w:tcPr>
                  <w:tcW w:w="469"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pPr>
                </w:p>
              </w:tc>
              <w:tc>
                <w:tcPr>
                  <w:tcW w:w="466" w:type="pct"/>
                </w:tcPr>
                <w:p w:rsidR="00AC2131" w:rsidRDefault="00AC2131" w:rsidP="00AC2131">
                  <w:pPr>
                    <w:pStyle w:val="TableBodyText"/>
                    <w:spacing w:before="40" w:after="0"/>
                    <w:ind w:left="113"/>
                  </w:pPr>
                </w:p>
              </w:tc>
              <w:tc>
                <w:tcPr>
                  <w:tcW w:w="466" w:type="pct"/>
                  <w:shd w:val="clear" w:color="auto" w:fill="auto"/>
                </w:tcPr>
                <w:p w:rsidR="00AC2131" w:rsidRDefault="00AC2131" w:rsidP="00AC2131">
                  <w:pPr>
                    <w:pStyle w:val="TableBodyText"/>
                    <w:spacing w:before="40" w:after="0"/>
                    <w:ind w:left="113"/>
                  </w:pPr>
                </w:p>
              </w:tc>
              <w:tc>
                <w:tcPr>
                  <w:tcW w:w="463" w:type="pct"/>
                  <w:shd w:val="clear" w:color="auto" w:fill="auto"/>
                </w:tcPr>
                <w:p w:rsidR="00AC2131" w:rsidRDefault="00AC2131" w:rsidP="00AC2131">
                  <w:pPr>
                    <w:pStyle w:val="TableBodyText"/>
                    <w:spacing w:before="40" w:after="0"/>
                    <w:ind w:left="113" w:right="28"/>
                  </w:pPr>
                </w:p>
              </w:tc>
            </w:tr>
            <w:tr w:rsidR="00AC2131" w:rsidTr="00AC2131">
              <w:tc>
                <w:tcPr>
                  <w:tcW w:w="2204" w:type="pct"/>
                  <w:shd w:val="clear" w:color="auto" w:fill="auto"/>
                  <w:vAlign w:val="bottom"/>
                </w:tcPr>
                <w:p w:rsidR="00AC2131" w:rsidRPr="00527B68" w:rsidRDefault="00AC2131" w:rsidP="00AC2131">
                  <w:pPr>
                    <w:ind w:left="227"/>
                    <w:rPr>
                      <w:rFonts w:ascii="Arial" w:hAnsi="Arial" w:cs="Arial"/>
                      <w:color w:val="000000"/>
                      <w:sz w:val="18"/>
                      <w:szCs w:val="18"/>
                    </w:rPr>
                  </w:pPr>
                  <w:r w:rsidRPr="00527B68">
                    <w:rPr>
                      <w:rFonts w:ascii="Arial" w:hAnsi="Arial" w:cs="Arial"/>
                      <w:color w:val="000000"/>
                      <w:sz w:val="18"/>
                      <w:szCs w:val="18"/>
                    </w:rPr>
                    <w:t xml:space="preserve">Clean Business Australia </w:t>
                  </w:r>
                  <w:r>
                    <w:rPr>
                      <w:rFonts w:ascii="Arial" w:hAnsi="Arial" w:cs="Arial"/>
                      <w:color w:val="000000"/>
                      <w:sz w:val="18"/>
                      <w:szCs w:val="18"/>
                    </w:rPr>
                    <w:t>–</w:t>
                  </w:r>
                  <w:r w:rsidRPr="00527B68">
                    <w:rPr>
                      <w:rFonts w:ascii="Arial" w:hAnsi="Arial" w:cs="Arial"/>
                      <w:color w:val="000000"/>
                      <w:sz w:val="18"/>
                      <w:szCs w:val="18"/>
                    </w:rPr>
                    <w:t xml:space="preserve"> Green Building Fund</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16.7</w:t>
                  </w:r>
                </w:p>
              </w:tc>
              <w:tc>
                <w:tcPr>
                  <w:tcW w:w="466" w:type="pct"/>
                  <w:vAlign w:val="bottom"/>
                </w:tcPr>
                <w:p w:rsidR="00AC2131" w:rsidRDefault="00AC2131" w:rsidP="00AC2131">
                  <w:pPr>
                    <w:pStyle w:val="TableBodyText"/>
                    <w:spacing w:after="0"/>
                    <w:ind w:left="0" w:right="57"/>
                  </w:pPr>
                  <w:r>
                    <w:t>24.0</w:t>
                  </w:r>
                </w:p>
              </w:tc>
              <w:tc>
                <w:tcPr>
                  <w:tcW w:w="466" w:type="pct"/>
                  <w:vAlign w:val="bottom"/>
                </w:tcPr>
                <w:p w:rsidR="00AC2131" w:rsidRDefault="00AC2131" w:rsidP="00AC2131">
                  <w:pPr>
                    <w:pStyle w:val="TableBodyText"/>
                    <w:spacing w:after="0"/>
                    <w:ind w:left="0" w:right="57"/>
                  </w:pPr>
                  <w:r>
                    <w:t>31.9</w:t>
                  </w:r>
                </w:p>
              </w:tc>
              <w:tc>
                <w:tcPr>
                  <w:tcW w:w="466" w:type="pct"/>
                  <w:shd w:val="clear" w:color="auto" w:fill="auto"/>
                  <w:vAlign w:val="bottom"/>
                </w:tcPr>
                <w:p w:rsidR="00AC2131" w:rsidRDefault="00AC2131" w:rsidP="00AC2131">
                  <w:pPr>
                    <w:pStyle w:val="TableBodyText"/>
                    <w:spacing w:after="0"/>
                    <w:ind w:left="0" w:right="57"/>
                  </w:pPr>
                  <w:r>
                    <w:t>24.7</w:t>
                  </w:r>
                </w:p>
              </w:tc>
              <w:tc>
                <w:tcPr>
                  <w:tcW w:w="463" w:type="pct"/>
                  <w:shd w:val="clear" w:color="auto" w:fill="auto"/>
                  <w:vAlign w:val="bottom"/>
                </w:tcPr>
                <w:p w:rsidR="00AC2131" w:rsidRDefault="00AC2131" w:rsidP="00AC2131">
                  <w:pPr>
                    <w:pStyle w:val="TableBodyText"/>
                    <w:spacing w:after="0"/>
                    <w:ind w:left="0" w:right="57"/>
                  </w:pPr>
                  <w:r>
                    <w:t>6.0</w:t>
                  </w:r>
                </w:p>
              </w:tc>
            </w:tr>
            <w:tr w:rsidR="00AC2131" w:rsidTr="00AC2131">
              <w:tc>
                <w:tcPr>
                  <w:tcW w:w="2204" w:type="pct"/>
                  <w:shd w:val="clear" w:color="auto" w:fill="auto"/>
                  <w:vAlign w:val="bottom"/>
                </w:tcPr>
                <w:p w:rsidR="00AC2131" w:rsidRPr="00527B68" w:rsidRDefault="00AC2131" w:rsidP="00AC2131">
                  <w:pPr>
                    <w:ind w:left="227"/>
                    <w:rPr>
                      <w:rFonts w:ascii="Arial" w:hAnsi="Arial" w:cs="Arial"/>
                      <w:color w:val="000000"/>
                      <w:sz w:val="18"/>
                      <w:szCs w:val="18"/>
                    </w:rPr>
                  </w:pPr>
                  <w:r w:rsidRPr="00527B68">
                    <w:rPr>
                      <w:rFonts w:ascii="Arial" w:hAnsi="Arial" w:cs="Arial"/>
                      <w:color w:val="000000"/>
                      <w:sz w:val="18"/>
                      <w:szCs w:val="18"/>
                    </w:rPr>
                    <w:t>Enterprise Connect Innovation Centres</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&lt;0.1</w:t>
                  </w:r>
                </w:p>
              </w:tc>
              <w:tc>
                <w:tcPr>
                  <w:tcW w:w="466"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4" w:type="pct"/>
                  <w:shd w:val="clear" w:color="auto" w:fill="auto"/>
                  <w:vAlign w:val="bottom"/>
                </w:tcPr>
                <w:p w:rsidR="00AC2131" w:rsidRPr="00527B68" w:rsidRDefault="00AC2131" w:rsidP="00AC2131">
                  <w:pPr>
                    <w:ind w:left="227"/>
                    <w:rPr>
                      <w:rFonts w:ascii="Arial" w:hAnsi="Arial" w:cs="Arial"/>
                      <w:color w:val="000000"/>
                      <w:sz w:val="18"/>
                      <w:szCs w:val="18"/>
                    </w:rPr>
                  </w:pPr>
                  <w:r w:rsidRPr="00527B68">
                    <w:rPr>
                      <w:rFonts w:ascii="Arial" w:hAnsi="Arial" w:cs="Arial"/>
                      <w:color w:val="000000"/>
                      <w:sz w:val="18"/>
                      <w:szCs w:val="18"/>
                    </w:rPr>
                    <w:t>Indigenous Tourism Business Ready Program</w:t>
                  </w:r>
                </w:p>
              </w:tc>
              <w:tc>
                <w:tcPr>
                  <w:tcW w:w="469" w:type="pct"/>
                  <w:vAlign w:val="bottom"/>
                </w:tcPr>
                <w:p w:rsidR="00AC2131" w:rsidRDefault="00AC2131" w:rsidP="00AC2131">
                  <w:pPr>
                    <w:pStyle w:val="TableBodyText"/>
                    <w:spacing w:after="0"/>
                    <w:ind w:left="0" w:right="57"/>
                  </w:pPr>
                  <w:r>
                    <w:t>0.6</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4" w:type="pct"/>
                  <w:shd w:val="clear" w:color="auto" w:fill="auto"/>
                  <w:vAlign w:val="bottom"/>
                </w:tcPr>
                <w:p w:rsidR="00AC2131" w:rsidRPr="00527B68" w:rsidRDefault="00AC2131" w:rsidP="00AC2131">
                  <w:pPr>
                    <w:ind w:left="227"/>
                    <w:rPr>
                      <w:rFonts w:ascii="Arial" w:hAnsi="Arial" w:cs="Arial"/>
                      <w:color w:val="000000"/>
                      <w:sz w:val="18"/>
                      <w:szCs w:val="18"/>
                    </w:rPr>
                  </w:pPr>
                  <w:r w:rsidRPr="00527B68">
                    <w:rPr>
                      <w:rFonts w:ascii="Arial" w:hAnsi="Arial" w:cs="Arial"/>
                      <w:color w:val="000000"/>
                      <w:sz w:val="18"/>
                      <w:szCs w:val="18"/>
                    </w:rPr>
                    <w:t>Queensland Tourism Assistance Package</w:t>
                  </w:r>
                </w:p>
              </w:tc>
              <w:tc>
                <w:tcPr>
                  <w:tcW w:w="469" w:type="pct"/>
                  <w:vAlign w:val="bottom"/>
                </w:tcPr>
                <w:p w:rsidR="00AC2131" w:rsidRDefault="00AC2131" w:rsidP="00AC2131">
                  <w:pPr>
                    <w:pStyle w:val="TableBodyText"/>
                    <w:spacing w:after="0"/>
                    <w:ind w:left="0" w:right="57"/>
                  </w:pPr>
                  <w:r>
                    <w:t>0.3</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4" w:type="pct"/>
                  <w:shd w:val="clear" w:color="auto" w:fill="auto"/>
                  <w:vAlign w:val="bottom"/>
                </w:tcPr>
                <w:p w:rsidR="00AC2131" w:rsidRPr="00527B68" w:rsidRDefault="00AC2131" w:rsidP="00AC2131">
                  <w:pPr>
                    <w:ind w:left="227"/>
                    <w:rPr>
                      <w:rFonts w:ascii="Arial" w:hAnsi="Arial" w:cs="Arial"/>
                      <w:color w:val="000000"/>
                      <w:sz w:val="18"/>
                      <w:szCs w:val="18"/>
                    </w:rPr>
                  </w:pPr>
                  <w:r w:rsidRPr="00527B68">
                    <w:rPr>
                      <w:rFonts w:ascii="Arial" w:hAnsi="Arial" w:cs="Arial"/>
                      <w:color w:val="000000"/>
                      <w:sz w:val="18"/>
                      <w:szCs w:val="18"/>
                    </w:rPr>
                    <w:t>Small business Online Program</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7.2</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4" w:type="pct"/>
                  <w:shd w:val="clear" w:color="auto" w:fill="auto"/>
                  <w:vAlign w:val="bottom"/>
                </w:tcPr>
                <w:p w:rsidR="00AC2131" w:rsidRPr="00527B68" w:rsidRDefault="00AC2131" w:rsidP="00AC2131">
                  <w:pPr>
                    <w:ind w:left="227"/>
                    <w:rPr>
                      <w:rFonts w:ascii="Arial" w:hAnsi="Arial" w:cs="Arial"/>
                      <w:color w:val="000000"/>
                      <w:sz w:val="18"/>
                      <w:szCs w:val="18"/>
                    </w:rPr>
                  </w:pPr>
                  <w:r w:rsidRPr="00527B68">
                    <w:rPr>
                      <w:rFonts w:ascii="Arial" w:hAnsi="Arial" w:cs="Arial"/>
                      <w:color w:val="000000"/>
                      <w:sz w:val="18"/>
                      <w:szCs w:val="18"/>
                    </w:rPr>
                    <w:t>Tasmanian Forest Tourism Initiative</w:t>
                  </w:r>
                </w:p>
              </w:tc>
              <w:tc>
                <w:tcPr>
                  <w:tcW w:w="469" w:type="pct"/>
                  <w:vAlign w:val="bottom"/>
                </w:tcPr>
                <w:p w:rsidR="00AC2131" w:rsidRDefault="00AC2131" w:rsidP="00AC2131">
                  <w:pPr>
                    <w:pStyle w:val="TableBodyText"/>
                    <w:spacing w:after="0"/>
                    <w:ind w:left="0" w:right="57"/>
                  </w:pPr>
                  <w:r>
                    <w:t>15.2</w:t>
                  </w:r>
                </w:p>
              </w:tc>
              <w:tc>
                <w:tcPr>
                  <w:tcW w:w="466" w:type="pct"/>
                  <w:vAlign w:val="bottom"/>
                </w:tcPr>
                <w:p w:rsidR="00AC2131" w:rsidRDefault="00AC2131" w:rsidP="00AC2131">
                  <w:pPr>
                    <w:pStyle w:val="TableBodyText"/>
                    <w:spacing w:after="0"/>
                    <w:ind w:left="0" w:right="57"/>
                  </w:pPr>
                  <w:r>
                    <w:t>18.1</w:t>
                  </w:r>
                </w:p>
              </w:tc>
              <w:tc>
                <w:tcPr>
                  <w:tcW w:w="466" w:type="pct"/>
                  <w:vAlign w:val="bottom"/>
                </w:tcPr>
                <w:p w:rsidR="00AC2131" w:rsidRDefault="00AC2131" w:rsidP="00AC2131">
                  <w:pPr>
                    <w:pStyle w:val="TableBodyText"/>
                    <w:spacing w:after="0"/>
                    <w:ind w:left="0" w:right="57"/>
                  </w:pPr>
                  <w:r>
                    <w:t>3.3</w:t>
                  </w:r>
                </w:p>
              </w:tc>
              <w:tc>
                <w:tcPr>
                  <w:tcW w:w="466"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w:t>
                  </w:r>
                </w:p>
              </w:tc>
              <w:tc>
                <w:tcPr>
                  <w:tcW w:w="463" w:type="pct"/>
                  <w:shd w:val="clear" w:color="auto" w:fill="auto"/>
                  <w:vAlign w:val="bottom"/>
                </w:tcPr>
                <w:p w:rsidR="00AC2131" w:rsidRDefault="00AC2131" w:rsidP="00AC2131">
                  <w:pPr>
                    <w:pStyle w:val="TableBodyText"/>
                    <w:spacing w:after="0"/>
                    <w:ind w:left="0" w:right="57"/>
                  </w:pPr>
                  <w:r>
                    <w:t>–</w:t>
                  </w:r>
                </w:p>
              </w:tc>
            </w:tr>
            <w:tr w:rsidR="00AC2131" w:rsidTr="00AC2131">
              <w:tc>
                <w:tcPr>
                  <w:tcW w:w="2204" w:type="pct"/>
                  <w:shd w:val="clear" w:color="auto" w:fill="auto"/>
                  <w:vAlign w:val="bottom"/>
                </w:tcPr>
                <w:p w:rsidR="00AC2131" w:rsidRPr="00527B68" w:rsidRDefault="00AC2131" w:rsidP="00AC2131">
                  <w:pPr>
                    <w:ind w:left="227"/>
                    <w:rPr>
                      <w:rFonts w:ascii="Arial" w:hAnsi="Arial" w:cs="Arial"/>
                      <w:color w:val="000000"/>
                      <w:sz w:val="18"/>
                      <w:szCs w:val="18"/>
                    </w:rPr>
                  </w:pPr>
                  <w:r w:rsidRPr="00527B68">
                    <w:rPr>
                      <w:rFonts w:ascii="Arial" w:hAnsi="Arial" w:cs="Arial"/>
                      <w:color w:val="000000"/>
                      <w:sz w:val="18"/>
                      <w:szCs w:val="18"/>
                    </w:rPr>
                    <w:t>Tourism Industry Regional Development</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6" w:type="pct"/>
                  <w:shd w:val="clear" w:color="auto" w:fill="auto"/>
                  <w:vAlign w:val="bottom"/>
                </w:tcPr>
                <w:p w:rsidR="00AC2131" w:rsidRDefault="00AC2131" w:rsidP="00AC2131">
                  <w:pPr>
                    <w:pStyle w:val="TableBodyText"/>
                    <w:spacing w:after="0"/>
                    <w:ind w:left="0" w:right="57"/>
                  </w:pPr>
                  <w:r>
                    <w:t>7.0</w:t>
                  </w:r>
                </w:p>
              </w:tc>
              <w:tc>
                <w:tcPr>
                  <w:tcW w:w="463" w:type="pct"/>
                  <w:shd w:val="clear" w:color="auto" w:fill="auto"/>
                  <w:vAlign w:val="bottom"/>
                </w:tcPr>
                <w:p w:rsidR="00AC2131" w:rsidRDefault="00AC2131" w:rsidP="00AC2131">
                  <w:pPr>
                    <w:pStyle w:val="TableBodyText"/>
                    <w:spacing w:after="0"/>
                    <w:ind w:left="0" w:right="57"/>
                  </w:pPr>
                  <w:r>
                    <w:t>9.9</w:t>
                  </w:r>
                </w:p>
              </w:tc>
            </w:tr>
            <w:tr w:rsidR="00AC2131" w:rsidTr="00AC2131">
              <w:tc>
                <w:tcPr>
                  <w:tcW w:w="2204" w:type="pct"/>
                  <w:shd w:val="clear" w:color="auto" w:fill="auto"/>
                  <w:vAlign w:val="bottom"/>
                </w:tcPr>
                <w:p w:rsidR="00AC2131" w:rsidRPr="00527B68" w:rsidRDefault="00AC2131" w:rsidP="00AC2131">
                  <w:pPr>
                    <w:ind w:left="227"/>
                    <w:rPr>
                      <w:rFonts w:ascii="Arial" w:hAnsi="Arial" w:cs="Arial"/>
                      <w:color w:val="000000"/>
                      <w:sz w:val="18"/>
                      <w:szCs w:val="18"/>
                    </w:rPr>
                  </w:pPr>
                  <w:r w:rsidRPr="00527B68">
                    <w:rPr>
                      <w:rFonts w:ascii="Arial" w:hAnsi="Arial" w:cs="Arial"/>
                      <w:color w:val="000000"/>
                      <w:sz w:val="18"/>
                      <w:szCs w:val="18"/>
                    </w:rPr>
                    <w:t>TQUAL Grants</w:t>
                  </w:r>
                </w:p>
              </w:tc>
              <w:tc>
                <w:tcPr>
                  <w:tcW w:w="469" w:type="pct"/>
                  <w:vAlign w:val="bottom"/>
                </w:tcPr>
                <w:p w:rsidR="00AC2131" w:rsidRDefault="00AC2131" w:rsidP="00AC2131">
                  <w:pPr>
                    <w:pStyle w:val="TableBodyText"/>
                    <w:spacing w:after="0"/>
                    <w:ind w:left="0" w:right="57"/>
                  </w:pPr>
                  <w:r>
                    <w:t>4.2</w:t>
                  </w:r>
                </w:p>
              </w:tc>
              <w:tc>
                <w:tcPr>
                  <w:tcW w:w="466" w:type="pct"/>
                  <w:vAlign w:val="bottom"/>
                </w:tcPr>
                <w:p w:rsidR="00AC2131" w:rsidRDefault="00AC2131" w:rsidP="00AC2131">
                  <w:pPr>
                    <w:pStyle w:val="TableBodyText"/>
                    <w:spacing w:after="0"/>
                    <w:ind w:left="0" w:right="57"/>
                  </w:pPr>
                  <w:r>
                    <w:t>8.6</w:t>
                  </w:r>
                </w:p>
              </w:tc>
              <w:tc>
                <w:tcPr>
                  <w:tcW w:w="466" w:type="pct"/>
                  <w:vAlign w:val="bottom"/>
                </w:tcPr>
                <w:p w:rsidR="00AC2131" w:rsidRDefault="00AC2131" w:rsidP="00AC2131">
                  <w:pPr>
                    <w:pStyle w:val="TableBodyText"/>
                    <w:spacing w:after="0"/>
                    <w:ind w:left="0" w:right="57"/>
                  </w:pPr>
                  <w:r>
                    <w:t>3.3</w:t>
                  </w:r>
                </w:p>
              </w:tc>
              <w:tc>
                <w:tcPr>
                  <w:tcW w:w="466" w:type="pct"/>
                  <w:vAlign w:val="bottom"/>
                </w:tcPr>
                <w:p w:rsidR="00AC2131" w:rsidRDefault="00AC2131" w:rsidP="00AC2131">
                  <w:pPr>
                    <w:pStyle w:val="TableBodyText"/>
                    <w:spacing w:after="0"/>
                    <w:ind w:left="0" w:right="57"/>
                  </w:pPr>
                  <w:r>
                    <w:t>9.0</w:t>
                  </w:r>
                </w:p>
              </w:tc>
              <w:tc>
                <w:tcPr>
                  <w:tcW w:w="466" w:type="pct"/>
                  <w:shd w:val="clear" w:color="auto" w:fill="auto"/>
                  <w:vAlign w:val="bottom"/>
                </w:tcPr>
                <w:p w:rsidR="00AC2131" w:rsidRDefault="00AC2131" w:rsidP="00AC2131">
                  <w:pPr>
                    <w:pStyle w:val="TableBodyText"/>
                    <w:spacing w:after="0"/>
                    <w:ind w:left="0" w:right="57"/>
                  </w:pPr>
                  <w:r>
                    <w:t>8.3</w:t>
                  </w:r>
                </w:p>
              </w:tc>
              <w:tc>
                <w:tcPr>
                  <w:tcW w:w="463" w:type="pct"/>
                  <w:shd w:val="clear" w:color="auto" w:fill="auto"/>
                  <w:vAlign w:val="bottom"/>
                </w:tcPr>
                <w:p w:rsidR="00AC2131" w:rsidRDefault="00AC2131" w:rsidP="00AC2131">
                  <w:pPr>
                    <w:pStyle w:val="TableBodyText"/>
                    <w:spacing w:after="0"/>
                    <w:ind w:left="0" w:right="57"/>
                  </w:pPr>
                  <w:r>
                    <w:t>9.3</w:t>
                  </w:r>
                </w:p>
              </w:tc>
            </w:tr>
            <w:tr w:rsidR="00AC2131" w:rsidRPr="002B0D0D" w:rsidTr="00AC2131">
              <w:tc>
                <w:tcPr>
                  <w:tcW w:w="2204" w:type="pct"/>
                  <w:shd w:val="clear" w:color="auto" w:fill="auto"/>
                </w:tcPr>
                <w:p w:rsidR="00AC2131" w:rsidRPr="002B0D0D" w:rsidRDefault="00AC2131" w:rsidP="00AC2131">
                  <w:pPr>
                    <w:pStyle w:val="TableBodyText"/>
                    <w:spacing w:before="20" w:after="20"/>
                    <w:jc w:val="left"/>
                    <w:rPr>
                      <w:i/>
                    </w:rPr>
                  </w:pPr>
                  <w:r w:rsidRPr="002B0D0D">
                    <w:rPr>
                      <w:i/>
                    </w:rPr>
                    <w:t xml:space="preserve">Total </w:t>
                  </w:r>
                </w:p>
              </w:tc>
              <w:tc>
                <w:tcPr>
                  <w:tcW w:w="469" w:type="pct"/>
                  <w:vAlign w:val="bottom"/>
                </w:tcPr>
                <w:p w:rsidR="00AC2131" w:rsidRPr="006C5F01" w:rsidRDefault="00AC2131" w:rsidP="00AC2131">
                  <w:pPr>
                    <w:pStyle w:val="TableBodyText"/>
                    <w:spacing w:before="20" w:after="20"/>
                    <w:ind w:left="0" w:right="57"/>
                    <w:rPr>
                      <w:i/>
                    </w:rPr>
                  </w:pPr>
                  <w:r w:rsidRPr="006C5F01">
                    <w:rPr>
                      <w:i/>
                    </w:rPr>
                    <w:t>160.2</w:t>
                  </w:r>
                </w:p>
              </w:tc>
              <w:tc>
                <w:tcPr>
                  <w:tcW w:w="466" w:type="pct"/>
                  <w:vAlign w:val="bottom"/>
                </w:tcPr>
                <w:p w:rsidR="00AC2131" w:rsidRPr="006C5F01" w:rsidRDefault="00AC2131" w:rsidP="00AC2131">
                  <w:pPr>
                    <w:pStyle w:val="TableBodyText"/>
                    <w:spacing w:before="20" w:after="20"/>
                    <w:ind w:left="0" w:right="57"/>
                    <w:rPr>
                      <w:i/>
                    </w:rPr>
                  </w:pPr>
                  <w:r w:rsidRPr="006C5F01">
                    <w:rPr>
                      <w:i/>
                    </w:rPr>
                    <w:t>194.7</w:t>
                  </w:r>
                </w:p>
              </w:tc>
              <w:tc>
                <w:tcPr>
                  <w:tcW w:w="466" w:type="pct"/>
                  <w:vAlign w:val="bottom"/>
                </w:tcPr>
                <w:p w:rsidR="00AC2131" w:rsidRPr="006C5F01" w:rsidRDefault="00AC2131" w:rsidP="00AC2131">
                  <w:pPr>
                    <w:pStyle w:val="TableBodyText"/>
                    <w:spacing w:before="20" w:after="20"/>
                    <w:ind w:left="0" w:right="57"/>
                    <w:rPr>
                      <w:i/>
                    </w:rPr>
                  </w:pPr>
                  <w:r w:rsidRPr="006C5F01">
                    <w:rPr>
                      <w:i/>
                    </w:rPr>
                    <w:t>169.3</w:t>
                  </w:r>
                </w:p>
              </w:tc>
              <w:tc>
                <w:tcPr>
                  <w:tcW w:w="466" w:type="pct"/>
                  <w:vAlign w:val="bottom"/>
                </w:tcPr>
                <w:p w:rsidR="00AC2131" w:rsidRPr="006C5F01" w:rsidRDefault="00AC2131" w:rsidP="00AC2131">
                  <w:pPr>
                    <w:pStyle w:val="TableBodyText"/>
                    <w:spacing w:before="20" w:after="20"/>
                    <w:ind w:left="0" w:right="57"/>
                    <w:rPr>
                      <w:i/>
                    </w:rPr>
                  </w:pPr>
                  <w:r w:rsidRPr="006C5F01">
                    <w:rPr>
                      <w:i/>
                    </w:rPr>
                    <w:t>179.0</w:t>
                  </w:r>
                </w:p>
              </w:tc>
              <w:tc>
                <w:tcPr>
                  <w:tcW w:w="466" w:type="pct"/>
                  <w:shd w:val="clear" w:color="auto" w:fill="auto"/>
                  <w:vAlign w:val="bottom"/>
                </w:tcPr>
                <w:p w:rsidR="00AC2131" w:rsidRPr="006C5F01" w:rsidRDefault="00AC2131" w:rsidP="00AC2131">
                  <w:pPr>
                    <w:pStyle w:val="TableBodyText"/>
                    <w:spacing w:before="20" w:after="20"/>
                    <w:ind w:left="0" w:right="57"/>
                    <w:rPr>
                      <w:i/>
                    </w:rPr>
                  </w:pPr>
                  <w:r w:rsidRPr="006C5F01">
                    <w:rPr>
                      <w:i/>
                    </w:rPr>
                    <w:t>170.8</w:t>
                  </w:r>
                </w:p>
              </w:tc>
              <w:tc>
                <w:tcPr>
                  <w:tcW w:w="463" w:type="pct"/>
                  <w:shd w:val="clear" w:color="auto" w:fill="auto"/>
                  <w:vAlign w:val="bottom"/>
                </w:tcPr>
                <w:p w:rsidR="00AC2131" w:rsidRPr="006C5F01" w:rsidRDefault="00AC2131" w:rsidP="00AC2131">
                  <w:pPr>
                    <w:pStyle w:val="TableBodyText"/>
                    <w:spacing w:before="20" w:after="20"/>
                    <w:ind w:left="0" w:right="57"/>
                    <w:rPr>
                      <w:i/>
                    </w:rPr>
                  </w:pPr>
                  <w:r w:rsidRPr="006C5F01">
                    <w:rPr>
                      <w:i/>
                    </w:rPr>
                    <w:t>156.8</w:t>
                  </w:r>
                </w:p>
              </w:tc>
            </w:tr>
            <w:tr w:rsidR="00AC2131" w:rsidTr="00AC2131">
              <w:tc>
                <w:tcPr>
                  <w:tcW w:w="2204" w:type="pct"/>
                  <w:shd w:val="clear" w:color="auto" w:fill="auto"/>
                  <w:vAlign w:val="bottom"/>
                </w:tcPr>
                <w:p w:rsidR="00AC2131" w:rsidRPr="002207C9" w:rsidRDefault="00AC2131" w:rsidP="00AC2131">
                  <w:pPr>
                    <w:spacing w:before="80" w:after="40"/>
                    <w:rPr>
                      <w:rFonts w:ascii="Arial" w:hAnsi="Arial" w:cs="Arial"/>
                      <w:b/>
                      <w:color w:val="000000"/>
                      <w:sz w:val="18"/>
                      <w:szCs w:val="18"/>
                    </w:rPr>
                  </w:pPr>
                  <w:r w:rsidRPr="002207C9">
                    <w:rPr>
                      <w:rFonts w:ascii="Arial" w:hAnsi="Arial" w:cs="Arial"/>
                      <w:b/>
                      <w:color w:val="000000"/>
                      <w:sz w:val="18"/>
                      <w:szCs w:val="18"/>
                    </w:rPr>
                    <w:t>Total outlays</w:t>
                  </w:r>
                </w:p>
              </w:tc>
              <w:tc>
                <w:tcPr>
                  <w:tcW w:w="469" w:type="pct"/>
                  <w:vAlign w:val="bottom"/>
                </w:tcPr>
                <w:p w:rsidR="00AC2131" w:rsidRPr="005332C3" w:rsidRDefault="00AC2131" w:rsidP="00AC2131">
                  <w:pPr>
                    <w:pStyle w:val="TableBodyText"/>
                    <w:spacing w:before="80"/>
                    <w:ind w:left="0" w:right="57"/>
                    <w:rPr>
                      <w:b/>
                    </w:rPr>
                  </w:pPr>
                  <w:r w:rsidRPr="005332C3">
                    <w:rPr>
                      <w:b/>
                    </w:rPr>
                    <w:t>1199.6</w:t>
                  </w:r>
                </w:p>
              </w:tc>
              <w:tc>
                <w:tcPr>
                  <w:tcW w:w="466" w:type="pct"/>
                  <w:vAlign w:val="bottom"/>
                </w:tcPr>
                <w:p w:rsidR="00AC2131" w:rsidRPr="005332C3" w:rsidRDefault="00AC2131" w:rsidP="00AC2131">
                  <w:pPr>
                    <w:pStyle w:val="TableBodyText"/>
                    <w:spacing w:before="80"/>
                    <w:ind w:left="0" w:right="57"/>
                    <w:rPr>
                      <w:b/>
                    </w:rPr>
                  </w:pPr>
                  <w:r w:rsidRPr="005332C3">
                    <w:rPr>
                      <w:b/>
                    </w:rPr>
                    <w:t>1176.4</w:t>
                  </w:r>
                </w:p>
              </w:tc>
              <w:tc>
                <w:tcPr>
                  <w:tcW w:w="466" w:type="pct"/>
                  <w:vAlign w:val="bottom"/>
                </w:tcPr>
                <w:p w:rsidR="00AC2131" w:rsidRPr="005332C3" w:rsidRDefault="00AC2131" w:rsidP="00AC2131">
                  <w:pPr>
                    <w:pStyle w:val="TableBodyText"/>
                    <w:spacing w:before="80"/>
                    <w:ind w:left="0" w:right="57"/>
                    <w:rPr>
                      <w:b/>
                    </w:rPr>
                  </w:pPr>
                  <w:r w:rsidRPr="005332C3">
                    <w:rPr>
                      <w:b/>
                    </w:rPr>
                    <w:t>1174.8</w:t>
                  </w:r>
                </w:p>
              </w:tc>
              <w:tc>
                <w:tcPr>
                  <w:tcW w:w="466" w:type="pct"/>
                  <w:vAlign w:val="bottom"/>
                </w:tcPr>
                <w:p w:rsidR="00AC2131" w:rsidRPr="005332C3" w:rsidRDefault="00AC2131" w:rsidP="00AC2131">
                  <w:pPr>
                    <w:pStyle w:val="TableBodyText"/>
                    <w:spacing w:before="80"/>
                    <w:ind w:left="0" w:right="57"/>
                    <w:rPr>
                      <w:b/>
                    </w:rPr>
                  </w:pPr>
                  <w:r w:rsidRPr="005332C3">
                    <w:rPr>
                      <w:b/>
                    </w:rPr>
                    <w:t>2234.8</w:t>
                  </w:r>
                </w:p>
              </w:tc>
              <w:tc>
                <w:tcPr>
                  <w:tcW w:w="466" w:type="pct"/>
                  <w:shd w:val="clear" w:color="auto" w:fill="auto"/>
                  <w:vAlign w:val="bottom"/>
                </w:tcPr>
                <w:p w:rsidR="00AC2131" w:rsidRPr="005332C3" w:rsidRDefault="00AC2131" w:rsidP="00AC2131">
                  <w:pPr>
                    <w:pStyle w:val="TableBodyText"/>
                    <w:spacing w:before="80"/>
                    <w:ind w:left="0" w:right="57"/>
                    <w:rPr>
                      <w:b/>
                    </w:rPr>
                  </w:pPr>
                  <w:r w:rsidRPr="005332C3">
                    <w:rPr>
                      <w:b/>
                    </w:rPr>
                    <w:t>1155.4</w:t>
                  </w:r>
                </w:p>
              </w:tc>
              <w:tc>
                <w:tcPr>
                  <w:tcW w:w="463" w:type="pct"/>
                  <w:shd w:val="clear" w:color="auto" w:fill="auto"/>
                  <w:vAlign w:val="bottom"/>
                </w:tcPr>
                <w:p w:rsidR="00AC2131" w:rsidRPr="005332C3" w:rsidRDefault="00AC2131" w:rsidP="00AC2131">
                  <w:pPr>
                    <w:pStyle w:val="TableBodyText"/>
                    <w:spacing w:before="80"/>
                    <w:ind w:left="0" w:right="57"/>
                    <w:rPr>
                      <w:b/>
                    </w:rPr>
                  </w:pPr>
                  <w:r w:rsidRPr="005332C3">
                    <w:rPr>
                      <w:b/>
                    </w:rPr>
                    <w:t>1544.4</w:t>
                  </w:r>
                </w:p>
              </w:tc>
            </w:tr>
            <w:tr w:rsidR="00AC2131" w:rsidTr="00AC2131">
              <w:tc>
                <w:tcPr>
                  <w:tcW w:w="2204" w:type="pct"/>
                  <w:shd w:val="clear" w:color="auto" w:fill="auto"/>
                  <w:vAlign w:val="bottom"/>
                </w:tcPr>
                <w:p w:rsidR="00AC2131" w:rsidRPr="002207C9" w:rsidRDefault="00AC2131" w:rsidP="00AC2131">
                  <w:pPr>
                    <w:spacing w:before="80" w:after="40"/>
                    <w:rPr>
                      <w:rFonts w:ascii="Arial" w:hAnsi="Arial" w:cs="Arial"/>
                      <w:b/>
                      <w:color w:val="000000"/>
                      <w:sz w:val="18"/>
                      <w:szCs w:val="18"/>
                    </w:rPr>
                  </w:pPr>
                  <w:r w:rsidRPr="002207C9">
                    <w:rPr>
                      <w:rFonts w:ascii="Arial" w:hAnsi="Arial" w:cs="Arial"/>
                      <w:b/>
                      <w:color w:val="000000"/>
                      <w:sz w:val="18"/>
                      <w:szCs w:val="18"/>
                    </w:rPr>
                    <w:t>Total tax concessions</w:t>
                  </w:r>
                </w:p>
              </w:tc>
              <w:tc>
                <w:tcPr>
                  <w:tcW w:w="469" w:type="pct"/>
                  <w:vAlign w:val="bottom"/>
                </w:tcPr>
                <w:p w:rsidR="00AC2131" w:rsidRPr="005332C3" w:rsidRDefault="00AC2131" w:rsidP="00AC2131">
                  <w:pPr>
                    <w:pStyle w:val="TableBodyText"/>
                    <w:spacing w:before="80"/>
                    <w:ind w:left="0" w:right="57"/>
                    <w:rPr>
                      <w:b/>
                    </w:rPr>
                  </w:pPr>
                  <w:r w:rsidRPr="005332C3">
                    <w:rPr>
                      <w:b/>
                    </w:rPr>
                    <w:t>2288.1</w:t>
                  </w:r>
                </w:p>
              </w:tc>
              <w:tc>
                <w:tcPr>
                  <w:tcW w:w="466" w:type="pct"/>
                  <w:vAlign w:val="bottom"/>
                </w:tcPr>
                <w:p w:rsidR="00AC2131" w:rsidRPr="005332C3" w:rsidRDefault="00AC2131" w:rsidP="00AC2131">
                  <w:pPr>
                    <w:pStyle w:val="TableBodyText"/>
                    <w:spacing w:before="80"/>
                    <w:ind w:left="0" w:right="57"/>
                    <w:rPr>
                      <w:b/>
                    </w:rPr>
                  </w:pPr>
                  <w:r w:rsidRPr="005332C3">
                    <w:rPr>
                      <w:b/>
                    </w:rPr>
                    <w:t>3344.9</w:t>
                  </w:r>
                </w:p>
              </w:tc>
              <w:tc>
                <w:tcPr>
                  <w:tcW w:w="466" w:type="pct"/>
                  <w:vAlign w:val="bottom"/>
                </w:tcPr>
                <w:p w:rsidR="00AC2131" w:rsidRPr="005332C3" w:rsidRDefault="00AC2131" w:rsidP="00AC2131">
                  <w:pPr>
                    <w:pStyle w:val="TableBodyText"/>
                    <w:spacing w:before="80"/>
                    <w:ind w:left="0" w:right="57"/>
                    <w:rPr>
                      <w:b/>
                    </w:rPr>
                  </w:pPr>
                  <w:r w:rsidRPr="005332C3">
                    <w:rPr>
                      <w:b/>
                    </w:rPr>
                    <w:t>3335.6</w:t>
                  </w:r>
                </w:p>
              </w:tc>
              <w:tc>
                <w:tcPr>
                  <w:tcW w:w="466" w:type="pct"/>
                  <w:vAlign w:val="bottom"/>
                </w:tcPr>
                <w:p w:rsidR="00AC2131" w:rsidRPr="005332C3" w:rsidRDefault="00AC2131" w:rsidP="00AC2131">
                  <w:pPr>
                    <w:pStyle w:val="TableBodyText"/>
                    <w:spacing w:before="80"/>
                    <w:ind w:left="0" w:right="57"/>
                    <w:rPr>
                      <w:b/>
                    </w:rPr>
                  </w:pPr>
                  <w:r w:rsidRPr="005332C3">
                    <w:rPr>
                      <w:b/>
                    </w:rPr>
                    <w:t>2834.1</w:t>
                  </w:r>
                </w:p>
              </w:tc>
              <w:tc>
                <w:tcPr>
                  <w:tcW w:w="466" w:type="pct"/>
                  <w:shd w:val="clear" w:color="auto" w:fill="auto"/>
                  <w:vAlign w:val="bottom"/>
                </w:tcPr>
                <w:p w:rsidR="00AC2131" w:rsidRPr="005332C3" w:rsidRDefault="00AC2131" w:rsidP="00AC2131">
                  <w:pPr>
                    <w:pStyle w:val="TableBodyText"/>
                    <w:spacing w:before="80"/>
                    <w:ind w:left="0" w:right="57"/>
                    <w:rPr>
                      <w:b/>
                    </w:rPr>
                  </w:pPr>
                  <w:r w:rsidRPr="005332C3">
                    <w:rPr>
                      <w:b/>
                    </w:rPr>
                    <w:t>2525.5</w:t>
                  </w:r>
                </w:p>
              </w:tc>
              <w:tc>
                <w:tcPr>
                  <w:tcW w:w="463" w:type="pct"/>
                  <w:shd w:val="clear" w:color="auto" w:fill="auto"/>
                  <w:vAlign w:val="bottom"/>
                </w:tcPr>
                <w:p w:rsidR="00AC2131" w:rsidRPr="005332C3" w:rsidRDefault="00AC2131" w:rsidP="00AC2131">
                  <w:pPr>
                    <w:pStyle w:val="TableBodyText"/>
                    <w:spacing w:before="80"/>
                    <w:ind w:left="0" w:right="57"/>
                    <w:rPr>
                      <w:b/>
                    </w:rPr>
                  </w:pPr>
                  <w:r w:rsidRPr="005332C3">
                    <w:rPr>
                      <w:b/>
                    </w:rPr>
                    <w:t>2760.7</w:t>
                  </w:r>
                </w:p>
              </w:tc>
            </w:tr>
            <w:tr w:rsidR="00AC2131" w:rsidTr="00AC2131">
              <w:tc>
                <w:tcPr>
                  <w:tcW w:w="2204" w:type="pct"/>
                  <w:tcBorders>
                    <w:bottom w:val="single" w:sz="6" w:space="0" w:color="BFBFBF"/>
                  </w:tcBorders>
                  <w:shd w:val="clear" w:color="auto" w:fill="auto"/>
                </w:tcPr>
                <w:p w:rsidR="00AC2131" w:rsidRPr="002B0D0D" w:rsidRDefault="00AC2131" w:rsidP="00AC2131">
                  <w:pPr>
                    <w:spacing w:before="80" w:after="40"/>
                    <w:rPr>
                      <w:rFonts w:ascii="Arial" w:hAnsi="Arial" w:cs="Arial"/>
                      <w:b/>
                      <w:sz w:val="18"/>
                      <w:szCs w:val="18"/>
                    </w:rPr>
                  </w:pPr>
                  <w:r w:rsidRPr="002B0D0D">
                    <w:rPr>
                      <w:rFonts w:ascii="Arial" w:hAnsi="Arial" w:cs="Arial"/>
                      <w:b/>
                      <w:sz w:val="18"/>
                      <w:szCs w:val="18"/>
                    </w:rPr>
                    <w:t>Total budgetary assistance</w:t>
                  </w:r>
                </w:p>
              </w:tc>
              <w:tc>
                <w:tcPr>
                  <w:tcW w:w="469" w:type="pct"/>
                  <w:tcBorders>
                    <w:bottom w:val="single" w:sz="6" w:space="0" w:color="BFBFBF"/>
                  </w:tcBorders>
                  <w:vAlign w:val="bottom"/>
                </w:tcPr>
                <w:p w:rsidR="00AC2131" w:rsidRPr="006C5F01" w:rsidRDefault="00AC2131" w:rsidP="00AC2131">
                  <w:pPr>
                    <w:pStyle w:val="TableBodyText"/>
                    <w:spacing w:before="80"/>
                    <w:ind w:left="0" w:right="57"/>
                    <w:rPr>
                      <w:b/>
                    </w:rPr>
                  </w:pPr>
                  <w:r w:rsidRPr="006C5F01">
                    <w:rPr>
                      <w:b/>
                    </w:rPr>
                    <w:t>3487.7</w:t>
                  </w:r>
                </w:p>
              </w:tc>
              <w:tc>
                <w:tcPr>
                  <w:tcW w:w="466" w:type="pct"/>
                  <w:tcBorders>
                    <w:bottom w:val="single" w:sz="6" w:space="0" w:color="BFBFBF"/>
                  </w:tcBorders>
                  <w:vAlign w:val="bottom"/>
                </w:tcPr>
                <w:p w:rsidR="00AC2131" w:rsidRPr="006C5F01" w:rsidRDefault="00AC2131" w:rsidP="00AC2131">
                  <w:pPr>
                    <w:pStyle w:val="TableBodyText"/>
                    <w:spacing w:before="80"/>
                    <w:ind w:left="0" w:right="57"/>
                    <w:rPr>
                      <w:b/>
                    </w:rPr>
                  </w:pPr>
                  <w:r w:rsidRPr="006C5F01">
                    <w:rPr>
                      <w:b/>
                    </w:rPr>
                    <w:t>4521.3</w:t>
                  </w:r>
                </w:p>
              </w:tc>
              <w:tc>
                <w:tcPr>
                  <w:tcW w:w="466" w:type="pct"/>
                  <w:tcBorders>
                    <w:bottom w:val="single" w:sz="6" w:space="0" w:color="BFBFBF"/>
                  </w:tcBorders>
                  <w:vAlign w:val="bottom"/>
                </w:tcPr>
                <w:p w:rsidR="00AC2131" w:rsidRPr="006C5F01" w:rsidRDefault="00AC2131" w:rsidP="00AC2131">
                  <w:pPr>
                    <w:pStyle w:val="TableBodyText"/>
                    <w:spacing w:before="80"/>
                    <w:ind w:left="0" w:right="57"/>
                    <w:rPr>
                      <w:b/>
                    </w:rPr>
                  </w:pPr>
                  <w:r w:rsidRPr="006C5F01">
                    <w:rPr>
                      <w:b/>
                    </w:rPr>
                    <w:t>4510.4</w:t>
                  </w:r>
                </w:p>
              </w:tc>
              <w:tc>
                <w:tcPr>
                  <w:tcW w:w="466" w:type="pct"/>
                  <w:tcBorders>
                    <w:bottom w:val="single" w:sz="6" w:space="0" w:color="BFBFBF"/>
                  </w:tcBorders>
                  <w:vAlign w:val="bottom"/>
                </w:tcPr>
                <w:p w:rsidR="00AC2131" w:rsidRPr="006C5F01" w:rsidRDefault="00AC2131" w:rsidP="00AC2131">
                  <w:pPr>
                    <w:pStyle w:val="TableBodyText"/>
                    <w:spacing w:before="80"/>
                    <w:ind w:left="0" w:right="57"/>
                    <w:rPr>
                      <w:b/>
                    </w:rPr>
                  </w:pPr>
                  <w:r w:rsidRPr="006C5F01">
                    <w:rPr>
                      <w:b/>
                    </w:rPr>
                    <w:t>5068.9</w:t>
                  </w:r>
                </w:p>
              </w:tc>
              <w:tc>
                <w:tcPr>
                  <w:tcW w:w="466" w:type="pct"/>
                  <w:tcBorders>
                    <w:bottom w:val="single" w:sz="6" w:space="0" w:color="BFBFBF"/>
                  </w:tcBorders>
                  <w:shd w:val="clear" w:color="auto" w:fill="auto"/>
                  <w:vAlign w:val="bottom"/>
                </w:tcPr>
                <w:p w:rsidR="00AC2131" w:rsidRPr="006C5F01" w:rsidRDefault="00AC2131" w:rsidP="00AC2131">
                  <w:pPr>
                    <w:pStyle w:val="TableBodyText"/>
                    <w:spacing w:before="80"/>
                    <w:ind w:left="0" w:right="57"/>
                    <w:rPr>
                      <w:b/>
                    </w:rPr>
                  </w:pPr>
                  <w:r w:rsidRPr="006C5F01">
                    <w:rPr>
                      <w:b/>
                    </w:rPr>
                    <w:t>3680.9</w:t>
                  </w:r>
                </w:p>
              </w:tc>
              <w:tc>
                <w:tcPr>
                  <w:tcW w:w="463" w:type="pct"/>
                  <w:tcBorders>
                    <w:bottom w:val="single" w:sz="6" w:space="0" w:color="BFBFBF"/>
                  </w:tcBorders>
                  <w:shd w:val="clear" w:color="auto" w:fill="auto"/>
                  <w:vAlign w:val="bottom"/>
                </w:tcPr>
                <w:p w:rsidR="00AC2131" w:rsidRPr="006C5F01" w:rsidRDefault="00AC2131" w:rsidP="00AC2131">
                  <w:pPr>
                    <w:pStyle w:val="TableBodyText"/>
                    <w:spacing w:before="80"/>
                    <w:ind w:left="0" w:right="57"/>
                    <w:rPr>
                      <w:b/>
                    </w:rPr>
                  </w:pPr>
                  <w:r w:rsidRPr="006C5F01">
                    <w:rPr>
                      <w:b/>
                    </w:rPr>
                    <w:t>4305.2</w:t>
                  </w:r>
                </w:p>
              </w:tc>
            </w:tr>
          </w:tbl>
          <w:p w:rsidR="00AC2131" w:rsidRDefault="00AC2131" w:rsidP="00AC2131">
            <w:pPr>
              <w:pStyle w:val="Box"/>
            </w:pPr>
          </w:p>
        </w:tc>
      </w:tr>
      <w:tr w:rsidR="00AC2131" w:rsidTr="00AC2131">
        <w:trPr>
          <w:gridAfter w:val="1"/>
          <w:wAfter w:w="122" w:type="dxa"/>
          <w:cantSplit/>
        </w:trPr>
        <w:tc>
          <w:tcPr>
            <w:tcW w:w="8787" w:type="dxa"/>
            <w:tcBorders>
              <w:top w:val="nil"/>
              <w:left w:val="nil"/>
              <w:bottom w:val="nil"/>
              <w:right w:val="nil"/>
            </w:tcBorders>
            <w:shd w:val="clear" w:color="auto" w:fill="auto"/>
          </w:tcPr>
          <w:p w:rsidR="00AC2131" w:rsidRDefault="00AC2131" w:rsidP="00AC2131">
            <w:pPr>
              <w:pStyle w:val="Source"/>
            </w:pPr>
            <w:r w:rsidRPr="00E61610">
              <w:t>– Nil. Figures may not add to totals due to rounding</w:t>
            </w:r>
            <w:r>
              <w:t xml:space="preserve">. </w:t>
            </w:r>
            <w:r w:rsidRPr="008E77FE">
              <w:rPr>
                <w:rStyle w:val="NoteLabel"/>
              </w:rPr>
              <w:t>a</w:t>
            </w:r>
            <w:r>
              <w:t> </w:t>
            </w:r>
            <w:r w:rsidRPr="00E61610">
              <w:t>The estimates are derived primarily from Australian Government departmental annual reports and Treasury’s Tax Expenditure Statements and unpublished information provided by relevant agencies.</w:t>
            </w:r>
          </w:p>
        </w:tc>
      </w:tr>
      <w:tr w:rsidR="00AC2131" w:rsidTr="00AC2131">
        <w:trPr>
          <w:gridAfter w:val="1"/>
          <w:wAfter w:w="122" w:type="dxa"/>
          <w:cantSplit/>
        </w:trPr>
        <w:tc>
          <w:tcPr>
            <w:tcW w:w="8787"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gridAfter w:val="1"/>
          <w:wAfter w:w="122" w:type="dxa"/>
          <w:cantSplit/>
        </w:trPr>
        <w:tc>
          <w:tcPr>
            <w:tcW w:w="878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626D32" w:rsidTr="00AC2131">
        <w:trPr>
          <w:gridAfter w:val="1"/>
          <w:wAfter w:w="122" w:type="dxa"/>
        </w:trPr>
        <w:tc>
          <w:tcPr>
            <w:tcW w:w="878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6"/>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TableTitle"/>
            </w:pPr>
            <w:r>
              <w:rPr>
                <w:b w:val="0"/>
              </w:rPr>
              <w:t>Table A.14</w:t>
            </w:r>
            <w:r>
              <w:tab/>
            </w:r>
            <w:r w:rsidRPr="001D7E7E">
              <w:t>Australian Government budgetary assistance,</w:t>
            </w:r>
            <w:r>
              <w:br/>
              <w:t xml:space="preserve">unallocated other, </w:t>
            </w:r>
            <w:r w:rsidRPr="001D7E7E">
              <w:t>2008</w:t>
            </w:r>
            <w:r>
              <w:noBreakHyphen/>
            </w:r>
            <w:r w:rsidRPr="001D7E7E">
              <w:t>0</w:t>
            </w:r>
            <w:r>
              <w:t>9</w:t>
            </w:r>
            <w:r w:rsidRPr="001D7E7E">
              <w:t xml:space="preserve"> to 2013</w:t>
            </w:r>
            <w:r>
              <w:noBreakHyphen/>
            </w:r>
            <w:r w:rsidRPr="001D7E7E">
              <w:t>14</w:t>
            </w:r>
            <w:r w:rsidRPr="006B64DF">
              <w:rPr>
                <w:rStyle w:val="NoteLabel"/>
                <w:b/>
              </w:rPr>
              <w:t>a,b</w:t>
            </w:r>
          </w:p>
          <w:p w:rsidR="00AC2131" w:rsidRPr="00784A05" w:rsidRDefault="00AC2131" w:rsidP="00AC2131">
            <w:pPr>
              <w:pStyle w:val="Subtitle"/>
            </w:pPr>
            <w:r w:rsidRPr="001D7E7E">
              <w:t>$ million (nominal)</w:t>
            </w:r>
          </w:p>
        </w:tc>
      </w:tr>
      <w:tr w:rsidR="00AC2131" w:rsidTr="00AC2131">
        <w:trPr>
          <w:cantSplit/>
        </w:trPr>
        <w:tc>
          <w:tcPr>
            <w:tcW w:w="8771" w:type="dxa"/>
            <w:tcBorders>
              <w:top w:val="nil"/>
              <w:left w:val="nil"/>
              <w:bottom w:val="nil"/>
              <w:right w:val="nil"/>
            </w:tcBorders>
            <w:shd w:val="clear" w:color="auto" w:fill="auto"/>
          </w:tcPr>
          <w:tbl>
            <w:tblPr>
              <w:tblW w:w="8502" w:type="dxa"/>
              <w:tblCellMar>
                <w:top w:w="28" w:type="dxa"/>
                <w:left w:w="0" w:type="dxa"/>
                <w:right w:w="0" w:type="dxa"/>
              </w:tblCellMar>
              <w:tblLook w:val="0000" w:firstRow="0" w:lastRow="0" w:firstColumn="0" w:lastColumn="0" w:noHBand="0" w:noVBand="0"/>
            </w:tblPr>
            <w:tblGrid>
              <w:gridCol w:w="3744"/>
              <w:gridCol w:w="797"/>
              <w:gridCol w:w="792"/>
              <w:gridCol w:w="7"/>
              <w:gridCol w:w="789"/>
              <w:gridCol w:w="7"/>
              <w:gridCol w:w="791"/>
              <w:gridCol w:w="7"/>
              <w:gridCol w:w="786"/>
              <w:gridCol w:w="10"/>
              <w:gridCol w:w="772"/>
            </w:tblGrid>
            <w:tr w:rsidR="00AC2131" w:rsidTr="00AC2131">
              <w:tc>
                <w:tcPr>
                  <w:tcW w:w="2202"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9"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66"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8" w:type="pct"/>
                  <w:gridSpan w:val="2"/>
                  <w:tcBorders>
                    <w:top w:val="single" w:sz="6" w:space="0" w:color="BFBFBF"/>
                    <w:bottom w:val="single" w:sz="6" w:space="0" w:color="BFBFBF"/>
                  </w:tcBorders>
                </w:tcPr>
                <w:p w:rsidR="00AC2131" w:rsidRDefault="00AC2131" w:rsidP="00AC2131">
                  <w:pPr>
                    <w:pStyle w:val="TableColumnHeading"/>
                    <w:ind w:left="0" w:right="57"/>
                  </w:pPr>
                  <w:r>
                    <w:t>2010-11</w:t>
                  </w:r>
                </w:p>
              </w:tc>
              <w:tc>
                <w:tcPr>
                  <w:tcW w:w="469" w:type="pct"/>
                  <w:gridSpan w:val="2"/>
                  <w:tcBorders>
                    <w:top w:val="single" w:sz="6" w:space="0" w:color="BFBFBF"/>
                    <w:bottom w:val="single" w:sz="6" w:space="0" w:color="BFBFBF"/>
                  </w:tcBorders>
                </w:tcPr>
                <w:p w:rsidR="00AC2131" w:rsidRDefault="00AC2131" w:rsidP="00AC2131">
                  <w:pPr>
                    <w:pStyle w:val="TableColumnHeading"/>
                    <w:ind w:left="0" w:right="57"/>
                  </w:pPr>
                  <w:r>
                    <w:t>2011-12</w:t>
                  </w:r>
                </w:p>
              </w:tc>
              <w:tc>
                <w:tcPr>
                  <w:tcW w:w="466" w:type="pct"/>
                  <w:gridSpan w:val="2"/>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60" w:type="pct"/>
                  <w:gridSpan w:val="2"/>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Tr="00AC2131">
              <w:tc>
                <w:tcPr>
                  <w:tcW w:w="2202" w:type="pct"/>
                </w:tcPr>
                <w:p w:rsidR="00AC2131" w:rsidRPr="001D7E7E" w:rsidRDefault="00AC2131" w:rsidP="00AC2131">
                  <w:pPr>
                    <w:pStyle w:val="TableBodyText"/>
                    <w:spacing w:before="40" w:after="0"/>
                    <w:ind w:left="113"/>
                    <w:jc w:val="left"/>
                    <w:rPr>
                      <w:i/>
                    </w:rPr>
                  </w:pPr>
                  <w:r w:rsidRPr="001D7E7E">
                    <w:rPr>
                      <w:i/>
                    </w:rPr>
                    <w:t>Industry-specific measures</w:t>
                  </w:r>
                </w:p>
              </w:tc>
              <w:tc>
                <w:tcPr>
                  <w:tcW w:w="469" w:type="pct"/>
                </w:tcPr>
                <w:p w:rsidR="00AC2131" w:rsidRDefault="00AC2131" w:rsidP="00AC2131">
                  <w:pPr>
                    <w:pStyle w:val="TableBodyText"/>
                    <w:spacing w:before="40" w:after="0"/>
                    <w:ind w:left="85" w:right="57"/>
                  </w:pPr>
                </w:p>
              </w:tc>
              <w:tc>
                <w:tcPr>
                  <w:tcW w:w="466" w:type="pct"/>
                </w:tcPr>
                <w:p w:rsidR="00AC2131" w:rsidRDefault="00AC2131" w:rsidP="00AC2131">
                  <w:pPr>
                    <w:pStyle w:val="TableBodyText"/>
                    <w:spacing w:before="40" w:after="0"/>
                    <w:ind w:left="85" w:right="57"/>
                  </w:pPr>
                </w:p>
              </w:tc>
              <w:tc>
                <w:tcPr>
                  <w:tcW w:w="468" w:type="pct"/>
                  <w:gridSpan w:val="2"/>
                </w:tcPr>
                <w:p w:rsidR="00AC2131" w:rsidRDefault="00AC2131" w:rsidP="00AC2131">
                  <w:pPr>
                    <w:pStyle w:val="TableBodyText"/>
                    <w:spacing w:before="40" w:after="0"/>
                    <w:ind w:left="85" w:right="57"/>
                  </w:pPr>
                </w:p>
              </w:tc>
              <w:tc>
                <w:tcPr>
                  <w:tcW w:w="469" w:type="pct"/>
                  <w:gridSpan w:val="2"/>
                </w:tcPr>
                <w:p w:rsidR="00AC2131" w:rsidRDefault="00AC2131" w:rsidP="00AC2131">
                  <w:pPr>
                    <w:pStyle w:val="TableBodyText"/>
                    <w:spacing w:before="40" w:after="0"/>
                    <w:ind w:left="85" w:right="57"/>
                  </w:pPr>
                </w:p>
              </w:tc>
              <w:tc>
                <w:tcPr>
                  <w:tcW w:w="466" w:type="pct"/>
                  <w:gridSpan w:val="2"/>
                </w:tcPr>
                <w:p w:rsidR="00AC2131" w:rsidRDefault="00AC2131" w:rsidP="00AC2131">
                  <w:pPr>
                    <w:pStyle w:val="TableBodyText"/>
                    <w:spacing w:before="40" w:after="0"/>
                    <w:ind w:left="85" w:right="57"/>
                  </w:pPr>
                </w:p>
              </w:tc>
              <w:tc>
                <w:tcPr>
                  <w:tcW w:w="460" w:type="pct"/>
                  <w:gridSpan w:val="2"/>
                </w:tcPr>
                <w:p w:rsidR="00AC2131" w:rsidRDefault="00AC2131" w:rsidP="00AC2131">
                  <w:pPr>
                    <w:pStyle w:val="TableBodyText"/>
                    <w:spacing w:before="40" w:after="0"/>
                    <w:ind w:left="85" w:right="57"/>
                  </w:pPr>
                </w:p>
              </w:tc>
            </w:tr>
            <w:tr w:rsidR="00AC2131" w:rsidTr="00AC2131">
              <w:tc>
                <w:tcPr>
                  <w:tcW w:w="2202" w:type="pct"/>
                  <w:shd w:val="clear" w:color="auto" w:fill="auto"/>
                  <w:vAlign w:val="bottom"/>
                </w:tcPr>
                <w:p w:rsidR="00AC2131" w:rsidRPr="001D7E7E" w:rsidRDefault="00AC2131" w:rsidP="00AC2131">
                  <w:pPr>
                    <w:ind w:left="227"/>
                    <w:rPr>
                      <w:rFonts w:ascii="Arial" w:hAnsi="Arial" w:cs="Arial"/>
                      <w:color w:val="000000"/>
                      <w:sz w:val="18"/>
                      <w:szCs w:val="18"/>
                    </w:rPr>
                  </w:pPr>
                  <w:r w:rsidRPr="0087325D">
                    <w:rPr>
                      <w:rFonts w:ascii="Arial" w:hAnsi="Arial" w:cs="Arial"/>
                      <w:color w:val="000000"/>
                      <w:sz w:val="18"/>
                      <w:szCs w:val="18"/>
                    </w:rPr>
                    <w:t>Asian Business En</w:t>
                  </w:r>
                  <w:r>
                    <w:rPr>
                      <w:rFonts w:ascii="Arial" w:hAnsi="Arial" w:cs="Arial"/>
                      <w:color w:val="000000"/>
                      <w:sz w:val="18"/>
                      <w:szCs w:val="18"/>
                    </w:rPr>
                    <w:t>g</w:t>
                  </w:r>
                  <w:r w:rsidRPr="0087325D">
                    <w:rPr>
                      <w:rFonts w:ascii="Arial" w:hAnsi="Arial" w:cs="Arial"/>
                      <w:color w:val="000000"/>
                      <w:sz w:val="18"/>
                      <w:szCs w:val="18"/>
                    </w:rPr>
                    <w:t>agement Plan</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1.8</w:t>
                  </w:r>
                </w:p>
              </w:tc>
            </w:tr>
            <w:tr w:rsidR="00AC2131" w:rsidTr="00AC2131">
              <w:tc>
                <w:tcPr>
                  <w:tcW w:w="2202" w:type="pct"/>
                  <w:shd w:val="clear" w:color="auto" w:fill="auto"/>
                  <w:vAlign w:val="bottom"/>
                </w:tcPr>
                <w:p w:rsidR="00AC2131" w:rsidRPr="001D7E7E" w:rsidRDefault="00AC2131" w:rsidP="00AC2131">
                  <w:pPr>
                    <w:ind w:left="227"/>
                    <w:rPr>
                      <w:rFonts w:ascii="Arial" w:hAnsi="Arial" w:cs="Arial"/>
                      <w:color w:val="000000"/>
                      <w:sz w:val="18"/>
                      <w:szCs w:val="18"/>
                    </w:rPr>
                  </w:pPr>
                  <w:r w:rsidRPr="001D7E7E">
                    <w:rPr>
                      <w:rFonts w:ascii="Arial" w:hAnsi="Arial" w:cs="Arial"/>
                      <w:color w:val="000000"/>
                      <w:sz w:val="18"/>
                      <w:szCs w:val="18"/>
                    </w:rPr>
                    <w:t>Australian Space Science Program</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4.8</w:t>
                  </w:r>
                </w:p>
              </w:tc>
              <w:tc>
                <w:tcPr>
                  <w:tcW w:w="468" w:type="pct"/>
                  <w:gridSpan w:val="2"/>
                  <w:vAlign w:val="bottom"/>
                </w:tcPr>
                <w:p w:rsidR="00AC2131" w:rsidRDefault="00AC2131" w:rsidP="00AC2131">
                  <w:pPr>
                    <w:pStyle w:val="TableBodyText"/>
                    <w:spacing w:after="0"/>
                    <w:ind w:left="0" w:right="57"/>
                  </w:pPr>
                  <w:r>
                    <w:t>11.2</w:t>
                  </w:r>
                </w:p>
              </w:tc>
              <w:tc>
                <w:tcPr>
                  <w:tcW w:w="469" w:type="pct"/>
                  <w:gridSpan w:val="2"/>
                  <w:vAlign w:val="bottom"/>
                </w:tcPr>
                <w:p w:rsidR="00AC2131" w:rsidRDefault="00AC2131" w:rsidP="00AC2131">
                  <w:pPr>
                    <w:pStyle w:val="TableBodyText"/>
                    <w:spacing w:after="0"/>
                    <w:ind w:left="0" w:right="57"/>
                  </w:pPr>
                  <w:r>
                    <w:t>12.2</w:t>
                  </w:r>
                </w:p>
              </w:tc>
              <w:tc>
                <w:tcPr>
                  <w:tcW w:w="466" w:type="pct"/>
                  <w:gridSpan w:val="2"/>
                  <w:shd w:val="clear" w:color="auto" w:fill="auto"/>
                  <w:vAlign w:val="bottom"/>
                </w:tcPr>
                <w:p w:rsidR="00AC2131" w:rsidRDefault="00AC2131" w:rsidP="00AC2131">
                  <w:pPr>
                    <w:pStyle w:val="TableBodyText"/>
                    <w:spacing w:after="0"/>
                    <w:ind w:left="0" w:right="57"/>
                  </w:pPr>
                  <w:r>
                    <w:t>12.7</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1D7E7E" w:rsidRDefault="00AC2131" w:rsidP="00AC2131">
                  <w:pPr>
                    <w:ind w:left="227"/>
                    <w:rPr>
                      <w:rFonts w:ascii="Arial" w:hAnsi="Arial" w:cs="Arial"/>
                      <w:color w:val="000000"/>
                      <w:sz w:val="18"/>
                      <w:szCs w:val="18"/>
                    </w:rPr>
                  </w:pPr>
                  <w:r w:rsidRPr="001D7E7E">
                    <w:rPr>
                      <w:rFonts w:ascii="Arial" w:hAnsi="Arial" w:cs="Arial"/>
                      <w:color w:val="000000"/>
                      <w:sz w:val="18"/>
                      <w:szCs w:val="18"/>
                    </w:rPr>
                    <w:t xml:space="preserve">National Energy Efficiency Initiative </w:t>
                  </w:r>
                  <w:r>
                    <w:rPr>
                      <w:rFonts w:ascii="Arial" w:hAnsi="Arial" w:cs="Arial"/>
                      <w:color w:val="000000"/>
                      <w:sz w:val="18"/>
                      <w:szCs w:val="18"/>
                    </w:rPr>
                    <w:t>–</w:t>
                  </w:r>
                  <w:r w:rsidRPr="001D7E7E">
                    <w:rPr>
                      <w:rFonts w:ascii="Arial" w:hAnsi="Arial" w:cs="Arial"/>
                      <w:color w:val="000000"/>
                      <w:sz w:val="18"/>
                      <w:szCs w:val="18"/>
                    </w:rPr>
                    <w:t xml:space="preserve"> Smart Grid, Smart City</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33.7</w:t>
                  </w:r>
                </w:p>
              </w:tc>
              <w:tc>
                <w:tcPr>
                  <w:tcW w:w="469" w:type="pct"/>
                  <w:gridSpan w:val="2"/>
                  <w:vAlign w:val="bottom"/>
                </w:tcPr>
                <w:p w:rsidR="00AC2131" w:rsidRDefault="00AC2131" w:rsidP="00AC2131">
                  <w:pPr>
                    <w:pStyle w:val="TableBodyText"/>
                    <w:spacing w:after="0"/>
                    <w:ind w:left="0" w:right="57"/>
                  </w:pPr>
                  <w:r>
                    <w:t>51.0</w:t>
                  </w:r>
                </w:p>
              </w:tc>
              <w:tc>
                <w:tcPr>
                  <w:tcW w:w="466" w:type="pct"/>
                  <w:gridSpan w:val="2"/>
                  <w:shd w:val="clear" w:color="auto" w:fill="auto"/>
                  <w:vAlign w:val="bottom"/>
                </w:tcPr>
                <w:p w:rsidR="00AC2131" w:rsidRDefault="00AC2131" w:rsidP="00AC2131">
                  <w:pPr>
                    <w:pStyle w:val="TableBodyText"/>
                    <w:spacing w:after="0"/>
                    <w:ind w:left="0" w:right="57"/>
                  </w:pPr>
                  <w:r>
                    <w:t>9.1</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1D7E7E" w:rsidRDefault="00AC2131" w:rsidP="00AC2131">
                  <w:pPr>
                    <w:ind w:left="227"/>
                    <w:rPr>
                      <w:rFonts w:ascii="Arial" w:hAnsi="Arial" w:cs="Arial"/>
                      <w:color w:val="000000"/>
                      <w:sz w:val="18"/>
                      <w:szCs w:val="18"/>
                    </w:rPr>
                  </w:pPr>
                  <w:r w:rsidRPr="001D7E7E">
                    <w:rPr>
                      <w:rFonts w:ascii="Arial" w:hAnsi="Arial" w:cs="Arial"/>
                      <w:color w:val="000000"/>
                      <w:sz w:val="18"/>
                      <w:szCs w:val="18"/>
                    </w:rPr>
                    <w:t>National Urban Water and Desalination Plan</w:t>
                  </w:r>
                </w:p>
              </w:tc>
              <w:tc>
                <w:tcPr>
                  <w:tcW w:w="469" w:type="pct"/>
                  <w:vAlign w:val="bottom"/>
                </w:tcPr>
                <w:p w:rsidR="00AC2131" w:rsidRDefault="00AC2131" w:rsidP="00AC2131">
                  <w:pPr>
                    <w:pStyle w:val="TableBodyText"/>
                    <w:spacing w:after="0"/>
                    <w:ind w:left="0" w:right="57"/>
                  </w:pPr>
                  <w:r>
                    <w:t>10.0</w:t>
                  </w:r>
                </w:p>
              </w:tc>
              <w:tc>
                <w:tcPr>
                  <w:tcW w:w="466" w:type="pct"/>
                  <w:vAlign w:val="bottom"/>
                </w:tcPr>
                <w:p w:rsidR="00AC2131" w:rsidRDefault="00AC2131" w:rsidP="00AC2131">
                  <w:pPr>
                    <w:pStyle w:val="TableBodyText"/>
                    <w:spacing w:after="0"/>
                    <w:ind w:left="0" w:right="57"/>
                  </w:pPr>
                  <w:r>
                    <w:t>16.2</w:t>
                  </w:r>
                </w:p>
              </w:tc>
              <w:tc>
                <w:tcPr>
                  <w:tcW w:w="468" w:type="pct"/>
                  <w:gridSpan w:val="2"/>
                  <w:vAlign w:val="bottom"/>
                </w:tcPr>
                <w:p w:rsidR="00AC2131" w:rsidRDefault="00AC2131" w:rsidP="00AC2131">
                  <w:pPr>
                    <w:pStyle w:val="TableBodyText"/>
                    <w:spacing w:after="0"/>
                    <w:ind w:left="0" w:right="57"/>
                  </w:pPr>
                  <w:r>
                    <w:t>46.0</w:t>
                  </w:r>
                </w:p>
              </w:tc>
              <w:tc>
                <w:tcPr>
                  <w:tcW w:w="469" w:type="pct"/>
                  <w:gridSpan w:val="2"/>
                  <w:vAlign w:val="bottom"/>
                </w:tcPr>
                <w:p w:rsidR="00AC2131" w:rsidRDefault="00AC2131" w:rsidP="00AC2131">
                  <w:pPr>
                    <w:pStyle w:val="TableBodyText"/>
                    <w:spacing w:after="0"/>
                    <w:ind w:left="0" w:right="57"/>
                  </w:pPr>
                  <w:r>
                    <w:t>88.9</w:t>
                  </w:r>
                </w:p>
              </w:tc>
              <w:tc>
                <w:tcPr>
                  <w:tcW w:w="466" w:type="pct"/>
                  <w:gridSpan w:val="2"/>
                  <w:shd w:val="clear" w:color="auto" w:fill="auto"/>
                  <w:vAlign w:val="bottom"/>
                </w:tcPr>
                <w:p w:rsidR="00AC2131" w:rsidRDefault="00AC2131" w:rsidP="00AC2131">
                  <w:pPr>
                    <w:pStyle w:val="TableBodyText"/>
                    <w:spacing w:after="0"/>
                    <w:ind w:left="0" w:right="57"/>
                  </w:pPr>
                  <w:r>
                    <w:t>64.2</w:t>
                  </w:r>
                </w:p>
              </w:tc>
              <w:tc>
                <w:tcPr>
                  <w:tcW w:w="460" w:type="pct"/>
                  <w:gridSpan w:val="2"/>
                  <w:shd w:val="clear" w:color="auto" w:fill="auto"/>
                  <w:vAlign w:val="bottom"/>
                </w:tcPr>
                <w:p w:rsidR="00AC2131" w:rsidRDefault="00AC2131" w:rsidP="00AC2131">
                  <w:pPr>
                    <w:pStyle w:val="TableBodyText"/>
                    <w:spacing w:after="0"/>
                    <w:ind w:left="0" w:right="57"/>
                  </w:pPr>
                  <w:r>
                    <w:t>18.7</w:t>
                  </w:r>
                </w:p>
              </w:tc>
            </w:tr>
            <w:tr w:rsidR="00AC2131" w:rsidTr="00AC2131">
              <w:tc>
                <w:tcPr>
                  <w:tcW w:w="2202" w:type="pct"/>
                  <w:shd w:val="clear" w:color="auto" w:fill="auto"/>
                  <w:vAlign w:val="bottom"/>
                </w:tcPr>
                <w:p w:rsidR="00AC2131" w:rsidRPr="001D7E7E" w:rsidRDefault="00AC2131" w:rsidP="00AC2131">
                  <w:pPr>
                    <w:ind w:left="227"/>
                    <w:rPr>
                      <w:rFonts w:ascii="Arial" w:hAnsi="Arial" w:cs="Arial"/>
                      <w:color w:val="000000"/>
                      <w:sz w:val="18"/>
                      <w:szCs w:val="18"/>
                    </w:rPr>
                  </w:pPr>
                  <w:r w:rsidRPr="001D7E7E">
                    <w:rPr>
                      <w:rFonts w:ascii="Arial" w:hAnsi="Arial" w:cs="Arial"/>
                      <w:color w:val="000000"/>
                      <w:sz w:val="18"/>
                      <w:szCs w:val="18"/>
                    </w:rPr>
                    <w:t xml:space="preserve">Pharmaceuticals Partnerships Program </w:t>
                  </w:r>
                </w:p>
              </w:tc>
              <w:tc>
                <w:tcPr>
                  <w:tcW w:w="469" w:type="pct"/>
                  <w:vAlign w:val="bottom"/>
                </w:tcPr>
                <w:p w:rsidR="00AC2131" w:rsidRDefault="00AC2131" w:rsidP="00AC2131">
                  <w:pPr>
                    <w:pStyle w:val="TableBodyText"/>
                    <w:spacing w:after="0"/>
                    <w:ind w:left="0" w:right="57"/>
                  </w:pPr>
                  <w:r>
                    <w:t>7.3</w:t>
                  </w:r>
                </w:p>
              </w:tc>
              <w:tc>
                <w:tcPr>
                  <w:tcW w:w="466" w:type="pct"/>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1D7E7E" w:rsidRDefault="00AC2131" w:rsidP="00AC2131">
                  <w:pPr>
                    <w:ind w:left="227"/>
                    <w:rPr>
                      <w:rFonts w:ascii="Arial" w:hAnsi="Arial" w:cs="Arial"/>
                      <w:color w:val="000000"/>
                      <w:sz w:val="18"/>
                      <w:szCs w:val="18"/>
                    </w:rPr>
                  </w:pPr>
                  <w:r w:rsidRPr="001D7E7E">
                    <w:rPr>
                      <w:rFonts w:ascii="Arial" w:hAnsi="Arial" w:cs="Arial"/>
                      <w:color w:val="000000"/>
                      <w:sz w:val="18"/>
                      <w:szCs w:val="18"/>
                    </w:rPr>
                    <w:t>Tasmanian wheat freight subsidy</w:t>
                  </w:r>
                </w:p>
              </w:tc>
              <w:tc>
                <w:tcPr>
                  <w:tcW w:w="469" w:type="pct"/>
                  <w:vAlign w:val="bottom"/>
                </w:tcPr>
                <w:p w:rsidR="00AC2131" w:rsidRDefault="00AC2131" w:rsidP="00AC2131">
                  <w:pPr>
                    <w:pStyle w:val="TableBodyText"/>
                    <w:spacing w:after="0"/>
                    <w:ind w:left="0" w:right="57"/>
                  </w:pPr>
                  <w:r>
                    <w:t>0.3</w:t>
                  </w:r>
                </w:p>
              </w:tc>
              <w:tc>
                <w:tcPr>
                  <w:tcW w:w="466" w:type="pct"/>
                  <w:vAlign w:val="bottom"/>
                </w:tcPr>
                <w:p w:rsidR="00AC2131" w:rsidRDefault="00AC2131" w:rsidP="00AC2131">
                  <w:pPr>
                    <w:pStyle w:val="TableBodyText"/>
                    <w:spacing w:after="0"/>
                    <w:ind w:left="0" w:right="57"/>
                  </w:pPr>
                  <w:r>
                    <w:t>0.1</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1D7E7E" w:rsidRDefault="00AC2131" w:rsidP="00AC2131">
                  <w:pPr>
                    <w:ind w:left="227"/>
                    <w:rPr>
                      <w:rFonts w:ascii="Arial" w:hAnsi="Arial" w:cs="Arial"/>
                      <w:color w:val="000000"/>
                      <w:sz w:val="18"/>
                      <w:szCs w:val="18"/>
                    </w:rPr>
                  </w:pPr>
                  <w:r w:rsidRPr="001D7E7E">
                    <w:rPr>
                      <w:rFonts w:ascii="Arial" w:hAnsi="Arial" w:cs="Arial"/>
                      <w:color w:val="000000"/>
                      <w:sz w:val="18"/>
                      <w:szCs w:val="18"/>
                    </w:rPr>
                    <w:t>TCF Small Business Program</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0.2</w:t>
                  </w:r>
                </w:p>
              </w:tc>
              <w:tc>
                <w:tcPr>
                  <w:tcW w:w="466" w:type="pct"/>
                  <w:gridSpan w:val="2"/>
                  <w:shd w:val="clear" w:color="auto" w:fill="auto"/>
                  <w:vAlign w:val="bottom"/>
                </w:tcPr>
                <w:p w:rsidR="00AC2131" w:rsidRDefault="00AC2131" w:rsidP="00AC2131">
                  <w:pPr>
                    <w:pStyle w:val="TableBodyText"/>
                    <w:spacing w:after="0"/>
                    <w:ind w:left="0" w:right="57"/>
                  </w:pPr>
                  <w:r>
                    <w:t>&lt;0.1</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tcPr>
                <w:p w:rsidR="00AC2131" w:rsidRPr="001D7E7E" w:rsidRDefault="00AC2131" w:rsidP="00AC2131">
                  <w:pPr>
                    <w:pStyle w:val="TableBodyText"/>
                    <w:spacing w:before="40" w:after="0"/>
                    <w:ind w:left="113"/>
                    <w:jc w:val="left"/>
                    <w:rPr>
                      <w:i/>
                    </w:rPr>
                  </w:pPr>
                  <w:r w:rsidRPr="001D7E7E">
                    <w:rPr>
                      <w:i/>
                    </w:rPr>
                    <w:t>Sector-specific measures</w:t>
                  </w:r>
                </w:p>
              </w:tc>
              <w:tc>
                <w:tcPr>
                  <w:tcW w:w="469" w:type="pct"/>
                </w:tcPr>
                <w:p w:rsidR="00AC2131" w:rsidRDefault="00AC2131" w:rsidP="00AC2131">
                  <w:pPr>
                    <w:pStyle w:val="TableBodyText"/>
                    <w:spacing w:before="40" w:after="0"/>
                    <w:ind w:left="113" w:right="57"/>
                  </w:pPr>
                </w:p>
              </w:tc>
              <w:tc>
                <w:tcPr>
                  <w:tcW w:w="466" w:type="pct"/>
                </w:tcPr>
                <w:p w:rsidR="00AC2131" w:rsidRDefault="00AC2131" w:rsidP="00AC2131">
                  <w:pPr>
                    <w:pStyle w:val="TableBodyText"/>
                    <w:spacing w:before="40" w:after="0"/>
                    <w:ind w:left="113" w:right="57"/>
                  </w:pPr>
                </w:p>
              </w:tc>
              <w:tc>
                <w:tcPr>
                  <w:tcW w:w="468" w:type="pct"/>
                  <w:gridSpan w:val="2"/>
                </w:tcPr>
                <w:p w:rsidR="00AC2131" w:rsidRDefault="00AC2131" w:rsidP="00AC2131">
                  <w:pPr>
                    <w:pStyle w:val="TableBodyText"/>
                    <w:spacing w:before="40" w:after="0"/>
                    <w:ind w:left="113" w:right="57"/>
                  </w:pPr>
                </w:p>
              </w:tc>
              <w:tc>
                <w:tcPr>
                  <w:tcW w:w="469" w:type="pct"/>
                  <w:gridSpan w:val="2"/>
                </w:tcPr>
                <w:p w:rsidR="00AC2131" w:rsidRDefault="00AC2131" w:rsidP="00AC2131">
                  <w:pPr>
                    <w:pStyle w:val="TableBodyText"/>
                    <w:spacing w:before="40" w:after="0"/>
                    <w:ind w:left="113" w:right="57"/>
                  </w:pPr>
                </w:p>
              </w:tc>
              <w:tc>
                <w:tcPr>
                  <w:tcW w:w="466" w:type="pct"/>
                  <w:gridSpan w:val="2"/>
                  <w:shd w:val="clear" w:color="auto" w:fill="auto"/>
                </w:tcPr>
                <w:p w:rsidR="00AC2131" w:rsidRDefault="00AC2131" w:rsidP="00AC2131">
                  <w:pPr>
                    <w:pStyle w:val="TableBodyText"/>
                    <w:spacing w:before="40" w:after="0"/>
                    <w:ind w:left="113" w:right="57"/>
                  </w:pPr>
                </w:p>
              </w:tc>
              <w:tc>
                <w:tcPr>
                  <w:tcW w:w="460" w:type="pct"/>
                  <w:gridSpan w:val="2"/>
                  <w:shd w:val="clear" w:color="auto" w:fill="auto"/>
                </w:tcPr>
                <w:p w:rsidR="00AC2131" w:rsidRDefault="00AC2131" w:rsidP="00AC2131">
                  <w:pPr>
                    <w:pStyle w:val="TableBodyText"/>
                    <w:spacing w:before="40" w:after="0"/>
                    <w:ind w:left="113" w:right="57"/>
                  </w:pPr>
                </w:p>
              </w:tc>
            </w:tr>
            <w:tr w:rsidR="00AC2131" w:rsidTr="00AC2131">
              <w:tc>
                <w:tcPr>
                  <w:tcW w:w="2202" w:type="pct"/>
                  <w:shd w:val="clear" w:color="auto" w:fill="auto"/>
                  <w:vAlign w:val="bottom"/>
                </w:tcPr>
                <w:p w:rsidR="00AC2131" w:rsidRPr="001D7E7E" w:rsidRDefault="00AC2131" w:rsidP="00AC2131">
                  <w:pPr>
                    <w:ind w:left="227"/>
                    <w:rPr>
                      <w:rFonts w:ascii="Arial" w:hAnsi="Arial" w:cs="Arial"/>
                      <w:color w:val="000000"/>
                      <w:sz w:val="18"/>
                      <w:szCs w:val="18"/>
                    </w:rPr>
                  </w:pPr>
                  <w:r w:rsidRPr="001D7E7E">
                    <w:rPr>
                      <w:rFonts w:ascii="Arial" w:hAnsi="Arial" w:cs="Arial"/>
                      <w:color w:val="000000"/>
                      <w:sz w:val="18"/>
                      <w:szCs w:val="18"/>
                    </w:rPr>
                    <w:t>Farm Help</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&lt;0.1</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tcPr>
                <w:p w:rsidR="00AC2131" w:rsidRPr="001D7E7E" w:rsidRDefault="00AC2131" w:rsidP="00AC2131">
                  <w:pPr>
                    <w:pStyle w:val="TableBodyText"/>
                    <w:spacing w:before="40" w:after="0"/>
                    <w:ind w:left="113"/>
                    <w:jc w:val="left"/>
                    <w:rPr>
                      <w:i/>
                    </w:rPr>
                  </w:pPr>
                  <w:r w:rsidRPr="001D7E7E">
                    <w:rPr>
                      <w:i/>
                    </w:rPr>
                    <w:t>General export measures</w:t>
                  </w:r>
                </w:p>
              </w:tc>
              <w:tc>
                <w:tcPr>
                  <w:tcW w:w="469" w:type="pct"/>
                </w:tcPr>
                <w:p w:rsidR="00AC2131" w:rsidRDefault="00AC2131" w:rsidP="00AC2131">
                  <w:pPr>
                    <w:pStyle w:val="TableBodyText"/>
                    <w:spacing w:before="40" w:after="0"/>
                    <w:ind w:left="113" w:right="57"/>
                  </w:pPr>
                </w:p>
              </w:tc>
              <w:tc>
                <w:tcPr>
                  <w:tcW w:w="466" w:type="pct"/>
                </w:tcPr>
                <w:p w:rsidR="00AC2131" w:rsidRDefault="00AC2131" w:rsidP="00AC2131">
                  <w:pPr>
                    <w:pStyle w:val="TableBodyText"/>
                    <w:spacing w:before="40" w:after="0"/>
                    <w:ind w:left="113" w:right="57"/>
                  </w:pPr>
                </w:p>
              </w:tc>
              <w:tc>
                <w:tcPr>
                  <w:tcW w:w="468" w:type="pct"/>
                  <w:gridSpan w:val="2"/>
                </w:tcPr>
                <w:p w:rsidR="00AC2131" w:rsidRDefault="00AC2131" w:rsidP="00AC2131">
                  <w:pPr>
                    <w:pStyle w:val="TableBodyText"/>
                    <w:spacing w:before="40" w:after="0"/>
                    <w:ind w:left="113" w:right="57"/>
                  </w:pPr>
                </w:p>
              </w:tc>
              <w:tc>
                <w:tcPr>
                  <w:tcW w:w="469" w:type="pct"/>
                  <w:gridSpan w:val="2"/>
                </w:tcPr>
                <w:p w:rsidR="00AC2131" w:rsidRDefault="00AC2131" w:rsidP="00AC2131">
                  <w:pPr>
                    <w:pStyle w:val="TableBodyText"/>
                    <w:spacing w:before="40" w:after="0"/>
                    <w:ind w:left="113" w:right="57"/>
                  </w:pPr>
                </w:p>
              </w:tc>
              <w:tc>
                <w:tcPr>
                  <w:tcW w:w="466" w:type="pct"/>
                  <w:gridSpan w:val="2"/>
                  <w:shd w:val="clear" w:color="auto" w:fill="auto"/>
                </w:tcPr>
                <w:p w:rsidR="00AC2131" w:rsidRDefault="00AC2131" w:rsidP="00AC2131">
                  <w:pPr>
                    <w:pStyle w:val="TableBodyText"/>
                    <w:spacing w:before="40" w:after="0"/>
                    <w:ind w:left="113" w:right="57"/>
                  </w:pPr>
                </w:p>
              </w:tc>
              <w:tc>
                <w:tcPr>
                  <w:tcW w:w="460" w:type="pct"/>
                  <w:gridSpan w:val="2"/>
                  <w:shd w:val="clear" w:color="auto" w:fill="auto"/>
                </w:tcPr>
                <w:p w:rsidR="00AC2131" w:rsidRDefault="00AC2131" w:rsidP="00AC2131">
                  <w:pPr>
                    <w:pStyle w:val="TableBodyText"/>
                    <w:spacing w:before="40" w:after="0"/>
                    <w:ind w:left="113" w:right="57"/>
                  </w:pP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Austrade</w:t>
                  </w:r>
                </w:p>
              </w:tc>
              <w:tc>
                <w:tcPr>
                  <w:tcW w:w="469" w:type="pct"/>
                  <w:vAlign w:val="bottom"/>
                </w:tcPr>
                <w:p w:rsidR="00AC2131" w:rsidRDefault="00AC2131" w:rsidP="00AC2131">
                  <w:pPr>
                    <w:pStyle w:val="TableBodyText"/>
                    <w:spacing w:after="0"/>
                    <w:ind w:left="0" w:right="57"/>
                  </w:pPr>
                  <w:r>
                    <w:t>109.2</w:t>
                  </w:r>
                </w:p>
              </w:tc>
              <w:tc>
                <w:tcPr>
                  <w:tcW w:w="466" w:type="pct"/>
                  <w:vAlign w:val="bottom"/>
                </w:tcPr>
                <w:p w:rsidR="00AC2131" w:rsidRDefault="00AC2131" w:rsidP="00AC2131">
                  <w:pPr>
                    <w:pStyle w:val="TableBodyText"/>
                    <w:spacing w:after="0"/>
                    <w:ind w:left="0" w:right="57"/>
                  </w:pPr>
                  <w:r>
                    <w:t>111.4</w:t>
                  </w:r>
                </w:p>
              </w:tc>
              <w:tc>
                <w:tcPr>
                  <w:tcW w:w="468" w:type="pct"/>
                  <w:gridSpan w:val="2"/>
                  <w:vAlign w:val="bottom"/>
                </w:tcPr>
                <w:p w:rsidR="00AC2131" w:rsidRDefault="00AC2131" w:rsidP="00AC2131">
                  <w:pPr>
                    <w:pStyle w:val="TableBodyText"/>
                    <w:spacing w:after="0"/>
                    <w:ind w:left="0" w:right="57"/>
                  </w:pPr>
                  <w:r>
                    <w:t>118.8</w:t>
                  </w:r>
                </w:p>
              </w:tc>
              <w:tc>
                <w:tcPr>
                  <w:tcW w:w="469" w:type="pct"/>
                  <w:gridSpan w:val="2"/>
                  <w:vAlign w:val="bottom"/>
                </w:tcPr>
                <w:p w:rsidR="00AC2131" w:rsidRDefault="00AC2131" w:rsidP="00AC2131">
                  <w:pPr>
                    <w:pStyle w:val="TableBodyText"/>
                    <w:spacing w:after="0"/>
                    <w:ind w:left="0" w:right="57"/>
                  </w:pPr>
                  <w:r>
                    <w:t>115.1</w:t>
                  </w:r>
                </w:p>
              </w:tc>
              <w:tc>
                <w:tcPr>
                  <w:tcW w:w="466" w:type="pct"/>
                  <w:gridSpan w:val="2"/>
                  <w:shd w:val="clear" w:color="auto" w:fill="auto"/>
                  <w:vAlign w:val="bottom"/>
                </w:tcPr>
                <w:p w:rsidR="00AC2131" w:rsidRDefault="00AC2131" w:rsidP="00AC2131">
                  <w:pPr>
                    <w:pStyle w:val="TableBodyText"/>
                    <w:spacing w:after="0"/>
                    <w:ind w:left="0" w:right="57"/>
                  </w:pPr>
                  <w:r>
                    <w:t>101.5</w:t>
                  </w:r>
                </w:p>
              </w:tc>
              <w:tc>
                <w:tcPr>
                  <w:tcW w:w="460" w:type="pct"/>
                  <w:gridSpan w:val="2"/>
                  <w:shd w:val="clear" w:color="auto" w:fill="auto"/>
                  <w:vAlign w:val="bottom"/>
                </w:tcPr>
                <w:p w:rsidR="00AC2131" w:rsidRDefault="00AC2131" w:rsidP="00AC2131">
                  <w:pPr>
                    <w:pStyle w:val="TableBodyText"/>
                    <w:spacing w:after="0"/>
                    <w:ind w:left="0" w:right="57"/>
                  </w:pPr>
                  <w:r>
                    <w:t>112.1</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 xml:space="preserve">Australian Made Campaign </w:t>
                  </w:r>
                  <w:r>
                    <w:rPr>
                      <w:rFonts w:ascii="Arial" w:hAnsi="Arial" w:cs="Arial"/>
                      <w:color w:val="000000"/>
                      <w:sz w:val="18"/>
                      <w:szCs w:val="18"/>
                    </w:rPr>
                    <w:t>–</w:t>
                  </w:r>
                  <w:r w:rsidRPr="00B21065">
                    <w:rPr>
                      <w:rFonts w:ascii="Arial" w:hAnsi="Arial" w:cs="Arial"/>
                      <w:color w:val="000000"/>
                      <w:sz w:val="18"/>
                      <w:szCs w:val="18"/>
                    </w:rPr>
                    <w:t xml:space="preserve"> export strategy</w:t>
                  </w:r>
                </w:p>
              </w:tc>
              <w:tc>
                <w:tcPr>
                  <w:tcW w:w="469" w:type="pct"/>
                  <w:vAlign w:val="bottom"/>
                </w:tcPr>
                <w:p w:rsidR="00AC2131" w:rsidRDefault="00AC2131" w:rsidP="00AC2131">
                  <w:pPr>
                    <w:pStyle w:val="TableBodyText"/>
                    <w:spacing w:after="0"/>
                    <w:ind w:left="0" w:right="57"/>
                  </w:pPr>
                  <w:r>
                    <w:t>0.4</w:t>
                  </w:r>
                </w:p>
              </w:tc>
              <w:tc>
                <w:tcPr>
                  <w:tcW w:w="466" w:type="pct"/>
                  <w:vAlign w:val="bottom"/>
                </w:tcPr>
                <w:p w:rsidR="00AC2131" w:rsidRDefault="00AC2131" w:rsidP="00AC2131">
                  <w:pPr>
                    <w:pStyle w:val="TableBodyText"/>
                    <w:spacing w:after="0"/>
                    <w:ind w:left="0" w:right="57"/>
                  </w:pPr>
                  <w:r>
                    <w:t>1.1</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Clean Energy Trade and Investment Strategy</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5.0</w:t>
                  </w:r>
                </w:p>
              </w:tc>
              <w:tc>
                <w:tcPr>
                  <w:tcW w:w="468" w:type="pct"/>
                  <w:gridSpan w:val="2"/>
                  <w:vAlign w:val="bottom"/>
                </w:tcPr>
                <w:p w:rsidR="00AC2131" w:rsidRDefault="00AC2131" w:rsidP="00AC2131">
                  <w:pPr>
                    <w:pStyle w:val="TableBodyText"/>
                    <w:spacing w:after="0"/>
                    <w:ind w:left="0" w:right="57"/>
                  </w:pPr>
                  <w:r>
                    <w:t>5.0</w:t>
                  </w:r>
                </w:p>
              </w:tc>
              <w:tc>
                <w:tcPr>
                  <w:tcW w:w="469" w:type="pct"/>
                  <w:gridSpan w:val="2"/>
                  <w:vAlign w:val="bottom"/>
                </w:tcPr>
                <w:p w:rsidR="00AC2131" w:rsidRDefault="00AC2131" w:rsidP="00AC2131">
                  <w:pPr>
                    <w:pStyle w:val="TableBodyText"/>
                    <w:spacing w:after="0"/>
                    <w:ind w:left="0" w:right="57"/>
                  </w:pPr>
                  <w:r>
                    <w:t>4.9</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B21065" w:rsidRDefault="00AC2131" w:rsidP="00AC2131">
                  <w:pPr>
                    <w:spacing w:before="40"/>
                    <w:ind w:left="113"/>
                    <w:rPr>
                      <w:rFonts w:ascii="Arial" w:hAnsi="Arial" w:cs="Arial"/>
                      <w:i/>
                      <w:color w:val="000000"/>
                      <w:sz w:val="18"/>
                      <w:szCs w:val="18"/>
                    </w:rPr>
                  </w:pPr>
                  <w:r w:rsidRPr="00B21065">
                    <w:rPr>
                      <w:rFonts w:ascii="Arial" w:hAnsi="Arial" w:cs="Arial"/>
                      <w:i/>
                      <w:color w:val="000000"/>
                      <w:sz w:val="18"/>
                      <w:szCs w:val="18"/>
                    </w:rPr>
                    <w:t>General investment measures</w:t>
                  </w:r>
                </w:p>
              </w:tc>
              <w:tc>
                <w:tcPr>
                  <w:tcW w:w="469" w:type="pct"/>
                  <w:vAlign w:val="bottom"/>
                </w:tcPr>
                <w:p w:rsidR="00AC2131" w:rsidRDefault="00AC2131" w:rsidP="00AC2131">
                  <w:pPr>
                    <w:spacing w:before="40"/>
                    <w:ind w:left="113" w:right="57"/>
                    <w:jc w:val="right"/>
                    <w:rPr>
                      <w:rFonts w:ascii="Arial" w:hAnsi="Arial" w:cs="Arial"/>
                      <w:sz w:val="18"/>
                      <w:szCs w:val="18"/>
                    </w:rPr>
                  </w:pPr>
                </w:p>
              </w:tc>
              <w:tc>
                <w:tcPr>
                  <w:tcW w:w="466" w:type="pct"/>
                  <w:vAlign w:val="bottom"/>
                </w:tcPr>
                <w:p w:rsidR="00AC2131" w:rsidRDefault="00AC2131" w:rsidP="00AC2131">
                  <w:pPr>
                    <w:spacing w:before="40"/>
                    <w:ind w:left="113" w:right="57"/>
                    <w:jc w:val="right"/>
                    <w:rPr>
                      <w:rFonts w:ascii="Arial" w:hAnsi="Arial" w:cs="Arial"/>
                      <w:sz w:val="18"/>
                      <w:szCs w:val="18"/>
                    </w:rPr>
                  </w:pPr>
                </w:p>
              </w:tc>
              <w:tc>
                <w:tcPr>
                  <w:tcW w:w="468" w:type="pct"/>
                  <w:gridSpan w:val="2"/>
                  <w:vAlign w:val="bottom"/>
                </w:tcPr>
                <w:p w:rsidR="00AC2131" w:rsidRDefault="00AC2131" w:rsidP="00AC2131">
                  <w:pPr>
                    <w:spacing w:before="40"/>
                    <w:ind w:left="113" w:right="57"/>
                    <w:jc w:val="right"/>
                    <w:rPr>
                      <w:rFonts w:ascii="Arial" w:hAnsi="Arial" w:cs="Arial"/>
                      <w:sz w:val="18"/>
                      <w:szCs w:val="18"/>
                    </w:rPr>
                  </w:pPr>
                </w:p>
              </w:tc>
              <w:tc>
                <w:tcPr>
                  <w:tcW w:w="469" w:type="pct"/>
                  <w:gridSpan w:val="2"/>
                  <w:vAlign w:val="bottom"/>
                </w:tcPr>
                <w:p w:rsidR="00AC2131" w:rsidRDefault="00AC2131" w:rsidP="00AC2131">
                  <w:pPr>
                    <w:spacing w:before="40"/>
                    <w:ind w:left="113" w:right="57"/>
                    <w:jc w:val="right"/>
                    <w:rPr>
                      <w:rFonts w:ascii="Arial" w:hAnsi="Arial" w:cs="Arial"/>
                      <w:sz w:val="18"/>
                      <w:szCs w:val="18"/>
                    </w:rPr>
                  </w:pPr>
                </w:p>
              </w:tc>
              <w:tc>
                <w:tcPr>
                  <w:tcW w:w="466" w:type="pct"/>
                  <w:gridSpan w:val="2"/>
                  <w:shd w:val="clear" w:color="auto" w:fill="auto"/>
                  <w:vAlign w:val="bottom"/>
                </w:tcPr>
                <w:p w:rsidR="00AC2131" w:rsidRDefault="00AC2131" w:rsidP="00AC2131">
                  <w:pPr>
                    <w:spacing w:before="40"/>
                    <w:ind w:left="113" w:right="57"/>
                    <w:jc w:val="right"/>
                    <w:rPr>
                      <w:rFonts w:ascii="Arial" w:hAnsi="Arial" w:cs="Arial"/>
                      <w:sz w:val="18"/>
                      <w:szCs w:val="18"/>
                    </w:rPr>
                  </w:pPr>
                </w:p>
              </w:tc>
              <w:tc>
                <w:tcPr>
                  <w:tcW w:w="460" w:type="pct"/>
                  <w:gridSpan w:val="2"/>
                  <w:shd w:val="clear" w:color="auto" w:fill="auto"/>
                  <w:vAlign w:val="bottom"/>
                </w:tcPr>
                <w:p w:rsidR="00AC2131" w:rsidRDefault="00AC2131" w:rsidP="00AC2131">
                  <w:pPr>
                    <w:spacing w:before="40"/>
                    <w:ind w:left="113" w:right="57"/>
                    <w:jc w:val="right"/>
                    <w:rPr>
                      <w:rFonts w:ascii="Arial" w:hAnsi="Arial" w:cs="Arial"/>
                      <w:sz w:val="18"/>
                      <w:szCs w:val="18"/>
                    </w:rPr>
                  </w:pP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Regional headquarters program</w:t>
                  </w:r>
                </w:p>
              </w:tc>
              <w:tc>
                <w:tcPr>
                  <w:tcW w:w="469" w:type="pct"/>
                  <w:vAlign w:val="bottom"/>
                </w:tcPr>
                <w:p w:rsidR="00AC2131" w:rsidRDefault="00AC2131" w:rsidP="00AC2131">
                  <w:pPr>
                    <w:pStyle w:val="TableBodyText"/>
                    <w:spacing w:after="0"/>
                    <w:ind w:left="0" w:right="57"/>
                  </w:pPr>
                  <w:r>
                    <w:t>0.5</w:t>
                  </w:r>
                </w:p>
              </w:tc>
              <w:tc>
                <w:tcPr>
                  <w:tcW w:w="466" w:type="pct"/>
                  <w:vAlign w:val="bottom"/>
                </w:tcPr>
                <w:p w:rsidR="00AC2131" w:rsidRDefault="00AC2131" w:rsidP="00AC2131">
                  <w:pPr>
                    <w:pStyle w:val="TableBodyText"/>
                    <w:spacing w:after="0"/>
                    <w:ind w:left="0" w:right="57"/>
                  </w:pPr>
                  <w:r>
                    <w:t>0.5</w:t>
                  </w:r>
                </w:p>
              </w:tc>
              <w:tc>
                <w:tcPr>
                  <w:tcW w:w="468" w:type="pct"/>
                  <w:gridSpan w:val="2"/>
                  <w:vAlign w:val="bottom"/>
                </w:tcPr>
                <w:p w:rsidR="00AC2131" w:rsidRDefault="00AC2131" w:rsidP="00AC2131">
                  <w:pPr>
                    <w:pStyle w:val="TableBodyText"/>
                    <w:spacing w:after="0"/>
                    <w:ind w:left="0" w:right="57"/>
                  </w:pPr>
                  <w:r>
                    <w:t>0.5</w:t>
                  </w:r>
                </w:p>
              </w:tc>
              <w:tc>
                <w:tcPr>
                  <w:tcW w:w="469" w:type="pct"/>
                  <w:gridSpan w:val="2"/>
                  <w:vAlign w:val="bottom"/>
                </w:tcPr>
                <w:p w:rsidR="00AC2131" w:rsidRDefault="00AC2131" w:rsidP="00AC2131">
                  <w:pPr>
                    <w:pStyle w:val="TableBodyText"/>
                    <w:spacing w:after="0"/>
                    <w:ind w:left="0" w:right="57"/>
                  </w:pPr>
                  <w:r>
                    <w:t>0.5</w:t>
                  </w:r>
                </w:p>
              </w:tc>
              <w:tc>
                <w:tcPr>
                  <w:tcW w:w="466" w:type="pct"/>
                  <w:gridSpan w:val="2"/>
                  <w:shd w:val="clear" w:color="auto" w:fill="auto"/>
                  <w:vAlign w:val="bottom"/>
                </w:tcPr>
                <w:p w:rsidR="00AC2131" w:rsidRDefault="00AC2131" w:rsidP="00AC2131">
                  <w:pPr>
                    <w:pStyle w:val="TableBodyText"/>
                    <w:spacing w:after="0"/>
                    <w:ind w:left="0" w:right="57"/>
                  </w:pPr>
                  <w:r>
                    <w:t>0.5</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tcPr>
                <w:p w:rsidR="00AC2131" w:rsidRPr="00B21065" w:rsidRDefault="00AC2131" w:rsidP="00AC2131">
                  <w:pPr>
                    <w:pStyle w:val="TableBodyText"/>
                    <w:spacing w:before="40" w:after="0"/>
                    <w:ind w:left="113"/>
                    <w:jc w:val="left"/>
                    <w:rPr>
                      <w:i/>
                    </w:rPr>
                  </w:pPr>
                  <w:r w:rsidRPr="00B21065">
                    <w:rPr>
                      <w:i/>
                    </w:rPr>
                    <w:t>General R&amp;D measures</w:t>
                  </w:r>
                </w:p>
              </w:tc>
              <w:tc>
                <w:tcPr>
                  <w:tcW w:w="469" w:type="pct"/>
                </w:tcPr>
                <w:p w:rsidR="00AC2131" w:rsidRDefault="00AC2131" w:rsidP="00AC2131">
                  <w:pPr>
                    <w:pStyle w:val="TableBodyText"/>
                    <w:spacing w:before="40" w:after="0"/>
                    <w:ind w:left="113" w:right="57"/>
                  </w:pPr>
                </w:p>
              </w:tc>
              <w:tc>
                <w:tcPr>
                  <w:tcW w:w="466" w:type="pct"/>
                </w:tcPr>
                <w:p w:rsidR="00AC2131" w:rsidRDefault="00AC2131" w:rsidP="00AC2131">
                  <w:pPr>
                    <w:pStyle w:val="TableBodyText"/>
                    <w:spacing w:before="40" w:after="0"/>
                    <w:ind w:left="113" w:right="57"/>
                  </w:pPr>
                </w:p>
              </w:tc>
              <w:tc>
                <w:tcPr>
                  <w:tcW w:w="468" w:type="pct"/>
                  <w:gridSpan w:val="2"/>
                </w:tcPr>
                <w:p w:rsidR="00AC2131" w:rsidRDefault="00AC2131" w:rsidP="00AC2131">
                  <w:pPr>
                    <w:pStyle w:val="TableBodyText"/>
                    <w:spacing w:before="40" w:after="0"/>
                    <w:ind w:left="113" w:right="57"/>
                  </w:pPr>
                </w:p>
              </w:tc>
              <w:tc>
                <w:tcPr>
                  <w:tcW w:w="469" w:type="pct"/>
                  <w:gridSpan w:val="2"/>
                </w:tcPr>
                <w:p w:rsidR="00AC2131" w:rsidRDefault="00AC2131" w:rsidP="00AC2131">
                  <w:pPr>
                    <w:pStyle w:val="TableBodyText"/>
                    <w:spacing w:before="40" w:after="0"/>
                    <w:ind w:left="113" w:right="57"/>
                  </w:pPr>
                </w:p>
              </w:tc>
              <w:tc>
                <w:tcPr>
                  <w:tcW w:w="466" w:type="pct"/>
                  <w:gridSpan w:val="2"/>
                  <w:shd w:val="clear" w:color="auto" w:fill="auto"/>
                </w:tcPr>
                <w:p w:rsidR="00AC2131" w:rsidRDefault="00AC2131" w:rsidP="00AC2131">
                  <w:pPr>
                    <w:pStyle w:val="TableBodyText"/>
                    <w:spacing w:before="40" w:after="0"/>
                    <w:ind w:left="113" w:right="57"/>
                  </w:pPr>
                </w:p>
              </w:tc>
              <w:tc>
                <w:tcPr>
                  <w:tcW w:w="460" w:type="pct"/>
                  <w:gridSpan w:val="2"/>
                  <w:shd w:val="clear" w:color="auto" w:fill="auto"/>
                </w:tcPr>
                <w:p w:rsidR="00AC2131" w:rsidRDefault="00AC2131" w:rsidP="00AC2131">
                  <w:pPr>
                    <w:pStyle w:val="TableBodyText"/>
                    <w:spacing w:before="40" w:after="0"/>
                    <w:ind w:left="113" w:right="57"/>
                  </w:pP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Australian Centre for Renewable Energy</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15.5</w:t>
                  </w:r>
                </w:p>
              </w:tc>
              <w:tc>
                <w:tcPr>
                  <w:tcW w:w="468" w:type="pct"/>
                  <w:gridSpan w:val="2"/>
                  <w:vAlign w:val="bottom"/>
                </w:tcPr>
                <w:p w:rsidR="00AC2131" w:rsidRDefault="00AC2131" w:rsidP="00AC2131">
                  <w:pPr>
                    <w:pStyle w:val="TableBodyText"/>
                    <w:spacing w:after="0"/>
                    <w:ind w:left="0" w:right="57"/>
                  </w:pPr>
                  <w:r>
                    <w:t>14.4</w:t>
                  </w:r>
                </w:p>
              </w:tc>
              <w:tc>
                <w:tcPr>
                  <w:tcW w:w="469" w:type="pct"/>
                  <w:gridSpan w:val="2"/>
                  <w:vAlign w:val="bottom"/>
                </w:tcPr>
                <w:p w:rsidR="00AC2131" w:rsidRDefault="00AC2131" w:rsidP="00AC2131">
                  <w:pPr>
                    <w:pStyle w:val="TableBodyText"/>
                    <w:spacing w:after="0"/>
                    <w:ind w:left="0" w:right="57"/>
                  </w:pPr>
                  <w:r>
                    <w:t>23.8</w:t>
                  </w:r>
                </w:p>
              </w:tc>
              <w:tc>
                <w:tcPr>
                  <w:tcW w:w="466" w:type="pct"/>
                  <w:gridSpan w:val="2"/>
                  <w:shd w:val="clear" w:color="auto" w:fill="auto"/>
                  <w:vAlign w:val="bottom"/>
                </w:tcPr>
                <w:p w:rsidR="00AC2131" w:rsidRDefault="00AC2131" w:rsidP="00AC2131">
                  <w:pPr>
                    <w:pStyle w:val="TableBodyText"/>
                    <w:spacing w:after="0"/>
                    <w:ind w:left="0" w:right="57"/>
                  </w:pPr>
                  <w:r>
                    <w:t>59.6</w:t>
                  </w:r>
                </w:p>
              </w:tc>
              <w:tc>
                <w:tcPr>
                  <w:tcW w:w="460" w:type="pct"/>
                  <w:gridSpan w:val="2"/>
                  <w:shd w:val="clear" w:color="auto" w:fill="auto"/>
                  <w:vAlign w:val="bottom"/>
                </w:tcPr>
                <w:p w:rsidR="00AC2131" w:rsidRDefault="00AC2131" w:rsidP="00AC2131">
                  <w:pPr>
                    <w:pStyle w:val="TableBodyText"/>
                    <w:spacing w:after="0"/>
                    <w:ind w:left="0" w:right="57"/>
                  </w:pPr>
                  <w:r>
                    <w:t>261.9</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 xml:space="preserve">Clean Business Australia </w:t>
                  </w:r>
                  <w:r>
                    <w:rPr>
                      <w:rFonts w:ascii="Arial" w:hAnsi="Arial" w:cs="Arial"/>
                      <w:color w:val="000000"/>
                      <w:sz w:val="18"/>
                      <w:szCs w:val="18"/>
                    </w:rPr>
                    <w:t>–</w:t>
                  </w:r>
                  <w:r w:rsidRPr="00B21065">
                    <w:rPr>
                      <w:rFonts w:ascii="Arial" w:hAnsi="Arial" w:cs="Arial"/>
                      <w:color w:val="000000"/>
                      <w:sz w:val="18"/>
                      <w:szCs w:val="18"/>
                    </w:rPr>
                    <w:t xml:space="preserve"> Climate Ready Program</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2.0</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COMET Program</w:t>
                  </w:r>
                </w:p>
              </w:tc>
              <w:tc>
                <w:tcPr>
                  <w:tcW w:w="469" w:type="pct"/>
                  <w:vAlign w:val="bottom"/>
                </w:tcPr>
                <w:p w:rsidR="00AC2131" w:rsidRDefault="00AC2131" w:rsidP="00AC2131">
                  <w:pPr>
                    <w:pStyle w:val="TableBodyText"/>
                    <w:spacing w:after="0"/>
                    <w:ind w:left="0" w:right="57"/>
                  </w:pPr>
                  <w:r>
                    <w:t>0.1</w:t>
                  </w:r>
                </w:p>
              </w:tc>
              <w:tc>
                <w:tcPr>
                  <w:tcW w:w="466" w:type="pct"/>
                  <w:vAlign w:val="bottom"/>
                </w:tcPr>
                <w:p w:rsidR="00AC2131" w:rsidRDefault="00AC2131" w:rsidP="00AC2131">
                  <w:pPr>
                    <w:pStyle w:val="TableBodyText"/>
                    <w:spacing w:after="0"/>
                    <w:ind w:left="0" w:right="57"/>
                  </w:pPr>
                  <w:r>
                    <w:t>&lt;0.1</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Commercial Ready Program</w:t>
                  </w:r>
                </w:p>
              </w:tc>
              <w:tc>
                <w:tcPr>
                  <w:tcW w:w="469" w:type="pct"/>
                  <w:vAlign w:val="bottom"/>
                </w:tcPr>
                <w:p w:rsidR="00AC2131" w:rsidRDefault="00AC2131" w:rsidP="00AC2131">
                  <w:pPr>
                    <w:pStyle w:val="TableBodyText"/>
                    <w:spacing w:after="0"/>
                    <w:ind w:left="0" w:right="57"/>
                  </w:pPr>
                  <w:r>
                    <w:t>0.1</w:t>
                  </w:r>
                </w:p>
              </w:tc>
              <w:tc>
                <w:tcPr>
                  <w:tcW w:w="466" w:type="pct"/>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Commercialisation Australia</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0.2</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Innovation Investment Follow-on Fund</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40.9</w:t>
                  </w:r>
                </w:p>
              </w:tc>
              <w:tc>
                <w:tcPr>
                  <w:tcW w:w="468" w:type="pct"/>
                  <w:gridSpan w:val="2"/>
                  <w:vAlign w:val="bottom"/>
                </w:tcPr>
                <w:p w:rsidR="00AC2131" w:rsidRDefault="00AC2131" w:rsidP="00AC2131">
                  <w:pPr>
                    <w:pStyle w:val="TableBodyText"/>
                    <w:spacing w:after="0"/>
                    <w:ind w:left="0" w:right="57"/>
                  </w:pPr>
                  <w:r>
                    <w:t>17.2</w:t>
                  </w:r>
                </w:p>
              </w:tc>
              <w:tc>
                <w:tcPr>
                  <w:tcW w:w="469" w:type="pct"/>
                  <w:gridSpan w:val="2"/>
                  <w:vAlign w:val="bottom"/>
                </w:tcPr>
                <w:p w:rsidR="00AC2131" w:rsidRDefault="00AC2131" w:rsidP="00AC2131">
                  <w:pPr>
                    <w:pStyle w:val="TableBodyText"/>
                    <w:spacing w:after="0"/>
                    <w:ind w:left="0" w:right="57"/>
                  </w:pPr>
                  <w:r>
                    <w:t>1.0</w:t>
                  </w:r>
                </w:p>
              </w:tc>
              <w:tc>
                <w:tcPr>
                  <w:tcW w:w="466" w:type="pct"/>
                  <w:gridSpan w:val="2"/>
                  <w:shd w:val="clear" w:color="auto" w:fill="auto"/>
                  <w:vAlign w:val="bottom"/>
                </w:tcPr>
                <w:p w:rsidR="00AC2131" w:rsidRDefault="00AC2131" w:rsidP="00AC2131">
                  <w:pPr>
                    <w:pStyle w:val="TableBodyText"/>
                    <w:spacing w:after="0"/>
                    <w:ind w:left="0" w:right="57"/>
                  </w:pPr>
                  <w:r>
                    <w:t>2.2</w:t>
                  </w:r>
                </w:p>
              </w:tc>
              <w:tc>
                <w:tcPr>
                  <w:tcW w:w="460" w:type="pct"/>
                  <w:gridSpan w:val="2"/>
                  <w:shd w:val="clear" w:color="auto" w:fill="auto"/>
                  <w:vAlign w:val="bottom"/>
                </w:tcPr>
                <w:p w:rsidR="00AC2131" w:rsidRDefault="00AC2131" w:rsidP="00AC2131">
                  <w:pPr>
                    <w:pStyle w:val="TableBodyText"/>
                    <w:spacing w:after="0"/>
                    <w:ind w:left="0" w:right="57"/>
                  </w:pPr>
                  <w:r>
                    <w:t>0.1</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Innovation Investment Fund</w:t>
                  </w:r>
                </w:p>
              </w:tc>
              <w:tc>
                <w:tcPr>
                  <w:tcW w:w="469" w:type="pct"/>
                  <w:vAlign w:val="bottom"/>
                </w:tcPr>
                <w:p w:rsidR="00AC2131" w:rsidRDefault="00AC2131" w:rsidP="00AC2131">
                  <w:pPr>
                    <w:pStyle w:val="TableBodyText"/>
                    <w:spacing w:after="0"/>
                    <w:ind w:left="0" w:right="57"/>
                  </w:pPr>
                  <w:r>
                    <w:t>2.6</w:t>
                  </w:r>
                </w:p>
              </w:tc>
              <w:tc>
                <w:tcPr>
                  <w:tcW w:w="466" w:type="pct"/>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Manufacturing Technology Innovation Centre</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0.8</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National Enabling Technologies Strategy</w:t>
                  </w:r>
                </w:p>
              </w:tc>
              <w:tc>
                <w:tcPr>
                  <w:tcW w:w="469" w:type="pct"/>
                  <w:vAlign w:val="bottom"/>
                </w:tcPr>
                <w:p w:rsidR="00AC2131" w:rsidRDefault="00AC2131" w:rsidP="00AC2131">
                  <w:pPr>
                    <w:pStyle w:val="TableBodyText"/>
                    <w:spacing w:after="0"/>
                    <w:ind w:left="0" w:right="57"/>
                  </w:pPr>
                  <w:r>
                    <w:t>–</w:t>
                  </w:r>
                </w:p>
              </w:tc>
              <w:tc>
                <w:tcPr>
                  <w:tcW w:w="466" w:type="pct"/>
                  <w:vAlign w:val="bottom"/>
                </w:tcPr>
                <w:p w:rsidR="00AC2131" w:rsidRDefault="00AC2131" w:rsidP="00AC2131">
                  <w:pPr>
                    <w:pStyle w:val="TableBodyText"/>
                    <w:spacing w:after="0"/>
                    <w:ind w:left="0" w:right="57"/>
                  </w:pPr>
                  <w:r>
                    <w:t>0.1</w:t>
                  </w:r>
                </w:p>
              </w:tc>
              <w:tc>
                <w:tcPr>
                  <w:tcW w:w="468" w:type="pct"/>
                  <w:gridSpan w:val="2"/>
                  <w:vAlign w:val="bottom"/>
                </w:tcPr>
                <w:p w:rsidR="00AC2131" w:rsidRDefault="00AC2131" w:rsidP="00AC2131">
                  <w:pPr>
                    <w:pStyle w:val="TableBodyText"/>
                    <w:spacing w:after="0"/>
                    <w:ind w:left="0" w:right="57"/>
                  </w:pPr>
                  <w:r>
                    <w:t>0.4</w:t>
                  </w:r>
                </w:p>
              </w:tc>
              <w:tc>
                <w:tcPr>
                  <w:tcW w:w="469" w:type="pct"/>
                  <w:gridSpan w:val="2"/>
                  <w:vAlign w:val="bottom"/>
                </w:tcPr>
                <w:p w:rsidR="00AC2131" w:rsidRDefault="00AC2131" w:rsidP="00AC2131">
                  <w:pPr>
                    <w:pStyle w:val="TableBodyText"/>
                    <w:spacing w:after="0"/>
                    <w:ind w:left="0" w:right="57"/>
                  </w:pPr>
                  <w:r>
                    <w:t>0.6</w:t>
                  </w:r>
                </w:p>
              </w:tc>
              <w:tc>
                <w:tcPr>
                  <w:tcW w:w="466" w:type="pct"/>
                  <w:gridSpan w:val="2"/>
                  <w:shd w:val="clear" w:color="auto" w:fill="auto"/>
                  <w:vAlign w:val="bottom"/>
                </w:tcPr>
                <w:p w:rsidR="00AC2131" w:rsidRDefault="00AC2131" w:rsidP="00AC2131">
                  <w:pPr>
                    <w:pStyle w:val="TableBodyText"/>
                    <w:spacing w:after="0"/>
                    <w:ind w:left="0" w:right="57"/>
                  </w:pPr>
                  <w:r>
                    <w:t>0.3</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Premium R&amp;D tax concession</w:t>
                  </w:r>
                </w:p>
              </w:tc>
              <w:tc>
                <w:tcPr>
                  <w:tcW w:w="469" w:type="pct"/>
                  <w:vAlign w:val="bottom"/>
                </w:tcPr>
                <w:p w:rsidR="00AC2131" w:rsidRDefault="00AC2131" w:rsidP="00AC2131">
                  <w:pPr>
                    <w:pStyle w:val="TableBodyText"/>
                    <w:spacing w:after="0"/>
                    <w:ind w:left="0" w:right="57"/>
                  </w:pPr>
                  <w:r>
                    <w:t>2.6</w:t>
                  </w:r>
                </w:p>
              </w:tc>
              <w:tc>
                <w:tcPr>
                  <w:tcW w:w="466" w:type="pct"/>
                  <w:vAlign w:val="bottom"/>
                </w:tcPr>
                <w:p w:rsidR="00AC2131" w:rsidRDefault="00AC2131" w:rsidP="00AC2131">
                  <w:pPr>
                    <w:pStyle w:val="TableBodyText"/>
                    <w:spacing w:after="0"/>
                    <w:ind w:left="0" w:right="57"/>
                  </w:pPr>
                  <w:r>
                    <w:t>3.9</w:t>
                  </w:r>
                </w:p>
              </w:tc>
              <w:tc>
                <w:tcPr>
                  <w:tcW w:w="468" w:type="pct"/>
                  <w:gridSpan w:val="2"/>
                  <w:vAlign w:val="bottom"/>
                </w:tcPr>
                <w:p w:rsidR="00AC2131" w:rsidRDefault="00AC2131" w:rsidP="00AC2131">
                  <w:pPr>
                    <w:pStyle w:val="TableBodyText"/>
                    <w:spacing w:after="0"/>
                    <w:ind w:left="0" w:right="57"/>
                  </w:pPr>
                  <w:r>
                    <w:t>3.3</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Pr>
                      <w:rFonts w:ascii="Arial" w:hAnsi="Arial" w:cs="Arial"/>
                      <w:color w:val="000000"/>
                      <w:sz w:val="18"/>
                      <w:szCs w:val="18"/>
                    </w:rPr>
                    <w:t>Pre-seed fund</w:t>
                  </w:r>
                </w:p>
              </w:tc>
              <w:tc>
                <w:tcPr>
                  <w:tcW w:w="469" w:type="pct"/>
                  <w:vAlign w:val="bottom"/>
                </w:tcPr>
                <w:p w:rsidR="00AC2131" w:rsidRDefault="00AC2131" w:rsidP="00AC2131">
                  <w:pPr>
                    <w:pStyle w:val="TableBodyText"/>
                    <w:spacing w:after="0"/>
                    <w:ind w:left="0" w:right="57"/>
                  </w:pPr>
                  <w:r>
                    <w:t>2.7</w:t>
                  </w:r>
                </w:p>
              </w:tc>
              <w:tc>
                <w:tcPr>
                  <w:tcW w:w="466" w:type="pct"/>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B21065" w:rsidRDefault="00AC2131" w:rsidP="00AC2131">
                  <w:pPr>
                    <w:ind w:left="227"/>
                    <w:rPr>
                      <w:rFonts w:ascii="Arial" w:hAnsi="Arial" w:cs="Arial"/>
                      <w:color w:val="000000"/>
                      <w:sz w:val="18"/>
                      <w:szCs w:val="18"/>
                    </w:rPr>
                  </w:pPr>
                  <w:r w:rsidRPr="00B21065">
                    <w:rPr>
                      <w:rFonts w:ascii="Arial" w:hAnsi="Arial" w:cs="Arial"/>
                      <w:color w:val="000000"/>
                      <w:sz w:val="18"/>
                      <w:szCs w:val="18"/>
                    </w:rPr>
                    <w:t>R&amp;D tax concession</w:t>
                  </w:r>
                </w:p>
              </w:tc>
              <w:tc>
                <w:tcPr>
                  <w:tcW w:w="469" w:type="pct"/>
                  <w:vAlign w:val="bottom"/>
                </w:tcPr>
                <w:p w:rsidR="00AC2131" w:rsidRDefault="00AC2131" w:rsidP="00AC2131">
                  <w:pPr>
                    <w:pStyle w:val="TableBodyText"/>
                    <w:spacing w:after="0"/>
                    <w:ind w:left="0" w:right="57"/>
                  </w:pPr>
                  <w:r>
                    <w:t>7.0</w:t>
                  </w:r>
                </w:p>
              </w:tc>
              <w:tc>
                <w:tcPr>
                  <w:tcW w:w="466" w:type="pct"/>
                  <w:vAlign w:val="bottom"/>
                </w:tcPr>
                <w:p w:rsidR="00AC2131" w:rsidRDefault="00AC2131" w:rsidP="00AC2131">
                  <w:pPr>
                    <w:pStyle w:val="TableBodyText"/>
                    <w:spacing w:after="0"/>
                    <w:ind w:left="0" w:right="57"/>
                  </w:pPr>
                  <w:r>
                    <w:t>13.6</w:t>
                  </w:r>
                </w:p>
              </w:tc>
              <w:tc>
                <w:tcPr>
                  <w:tcW w:w="468" w:type="pct"/>
                  <w:gridSpan w:val="2"/>
                  <w:vAlign w:val="bottom"/>
                </w:tcPr>
                <w:p w:rsidR="00AC2131" w:rsidRDefault="00AC2131" w:rsidP="00AC2131">
                  <w:pPr>
                    <w:pStyle w:val="TableBodyText"/>
                    <w:spacing w:after="0"/>
                    <w:ind w:left="0" w:right="57"/>
                  </w:pPr>
                  <w:r>
                    <w:t>13.6</w:t>
                  </w:r>
                </w:p>
              </w:tc>
              <w:tc>
                <w:tcPr>
                  <w:tcW w:w="469" w:type="pct"/>
                  <w:gridSpan w:val="2"/>
                  <w:vAlign w:val="bottom"/>
                </w:tcPr>
                <w:p w:rsidR="00AC2131" w:rsidRDefault="00AC2131" w:rsidP="00AC2131">
                  <w:pPr>
                    <w:pStyle w:val="TableBodyText"/>
                    <w:spacing w:after="0"/>
                    <w:ind w:left="0" w:right="57"/>
                  </w:pPr>
                  <w:r>
                    <w:t>–</w:t>
                  </w:r>
                </w:p>
              </w:tc>
              <w:tc>
                <w:tcPr>
                  <w:tcW w:w="466" w:type="pct"/>
                  <w:gridSpan w:val="2"/>
                  <w:shd w:val="clear" w:color="auto" w:fill="auto"/>
                  <w:vAlign w:val="bottom"/>
                </w:tcPr>
                <w:p w:rsidR="00AC2131" w:rsidRDefault="00AC2131" w:rsidP="00AC2131">
                  <w:pPr>
                    <w:pStyle w:val="TableBodyText"/>
                    <w:spacing w:after="0"/>
                    <w:ind w:left="0" w:right="57"/>
                  </w:pPr>
                  <w:r>
                    <w:t>–</w:t>
                  </w:r>
                </w:p>
              </w:tc>
              <w:tc>
                <w:tcPr>
                  <w:tcW w:w="460" w:type="pct"/>
                  <w:gridSpan w:val="2"/>
                  <w:shd w:val="clear" w:color="auto" w:fill="auto"/>
                  <w:vAlign w:val="bottom"/>
                </w:tcPr>
                <w:p w:rsidR="00AC2131" w:rsidRDefault="00AC2131" w:rsidP="00AC2131">
                  <w:pPr>
                    <w:pStyle w:val="TableBodyText"/>
                    <w:spacing w:after="0"/>
                    <w:ind w:left="0" w:right="57"/>
                  </w:pPr>
                  <w:r>
                    <w:t>–</w:t>
                  </w:r>
                </w:p>
              </w:tc>
            </w:tr>
            <w:tr w:rsidR="00AC2131" w:rsidRPr="00B21065" w:rsidTr="00AC2131">
              <w:tc>
                <w:tcPr>
                  <w:tcW w:w="2202" w:type="pct"/>
                  <w:shd w:val="clear" w:color="auto" w:fill="auto"/>
                </w:tcPr>
                <w:p w:rsidR="00AC2131" w:rsidRPr="00B21065" w:rsidRDefault="00AC2131" w:rsidP="00AC2131">
                  <w:pPr>
                    <w:ind w:left="227"/>
                    <w:rPr>
                      <w:rFonts w:ascii="Arial" w:hAnsi="Arial" w:cs="Arial"/>
                      <w:sz w:val="18"/>
                      <w:szCs w:val="18"/>
                    </w:rPr>
                  </w:pPr>
                  <w:r>
                    <w:rPr>
                      <w:rFonts w:ascii="Arial" w:hAnsi="Arial" w:cs="Arial"/>
                      <w:sz w:val="18"/>
                      <w:szCs w:val="18"/>
                    </w:rPr>
                    <w:t>R&amp;D Tax Incentive – exemption of refundable tax offset</w:t>
                  </w:r>
                </w:p>
              </w:tc>
              <w:tc>
                <w:tcPr>
                  <w:tcW w:w="469" w:type="pct"/>
                  <w:vAlign w:val="bottom"/>
                </w:tcPr>
                <w:p w:rsidR="00AC2131" w:rsidRDefault="00AC2131" w:rsidP="00AC2131">
                  <w:pPr>
                    <w:pStyle w:val="TableBodyText"/>
                    <w:spacing w:after="0"/>
                    <w:ind w:left="0" w:right="57"/>
                  </w:pPr>
                  <w:r>
                    <w:t>–</w:t>
                  </w:r>
                </w:p>
              </w:tc>
              <w:tc>
                <w:tcPr>
                  <w:tcW w:w="470" w:type="pct"/>
                  <w:gridSpan w:val="2"/>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8" w:type="pct"/>
                  <w:gridSpan w:val="2"/>
                  <w:shd w:val="clear" w:color="auto" w:fill="auto"/>
                  <w:vAlign w:val="bottom"/>
                </w:tcPr>
                <w:p w:rsidR="00AC2131" w:rsidRDefault="00AC2131" w:rsidP="00AC2131">
                  <w:pPr>
                    <w:pStyle w:val="TableBodyText"/>
                    <w:spacing w:after="0"/>
                    <w:ind w:left="0" w:right="57"/>
                  </w:pPr>
                  <w:r>
                    <w:t>-185.0</w:t>
                  </w:r>
                </w:p>
              </w:tc>
              <w:tc>
                <w:tcPr>
                  <w:tcW w:w="454" w:type="pct"/>
                  <w:shd w:val="clear" w:color="auto" w:fill="auto"/>
                  <w:vAlign w:val="bottom"/>
                </w:tcPr>
                <w:p w:rsidR="00AC2131" w:rsidRDefault="00AC2131" w:rsidP="00AC2131">
                  <w:pPr>
                    <w:pStyle w:val="TableBodyText"/>
                    <w:spacing w:after="0"/>
                    <w:ind w:left="0" w:right="57"/>
                  </w:pPr>
                  <w:r>
                    <w:t>&lt;0.1</w:t>
                  </w:r>
                </w:p>
              </w:tc>
            </w:tr>
            <w:tr w:rsidR="00AC2131" w:rsidRPr="00B21065" w:rsidTr="00AC2131">
              <w:tc>
                <w:tcPr>
                  <w:tcW w:w="2202" w:type="pct"/>
                  <w:shd w:val="clear" w:color="auto" w:fill="auto"/>
                </w:tcPr>
                <w:p w:rsidR="00AC2131" w:rsidRPr="00B21065" w:rsidRDefault="00AC2131" w:rsidP="00AC2131">
                  <w:pPr>
                    <w:ind w:left="227"/>
                    <w:rPr>
                      <w:rFonts w:ascii="Arial" w:hAnsi="Arial" w:cs="Arial"/>
                      <w:sz w:val="18"/>
                      <w:szCs w:val="18"/>
                    </w:rPr>
                  </w:pPr>
                  <w:r>
                    <w:rPr>
                      <w:rFonts w:ascii="Arial" w:hAnsi="Arial" w:cs="Arial"/>
                      <w:sz w:val="18"/>
                      <w:szCs w:val="18"/>
                    </w:rPr>
                    <w:t>R&amp;D Tax Incentive – non-refundable tax offset</w:t>
                  </w:r>
                </w:p>
              </w:tc>
              <w:tc>
                <w:tcPr>
                  <w:tcW w:w="469" w:type="pct"/>
                  <w:vAlign w:val="bottom"/>
                </w:tcPr>
                <w:p w:rsidR="00AC2131" w:rsidRDefault="00AC2131" w:rsidP="00AC2131">
                  <w:pPr>
                    <w:pStyle w:val="TableBodyText"/>
                    <w:spacing w:after="0"/>
                    <w:ind w:left="0" w:right="57"/>
                  </w:pPr>
                  <w:r>
                    <w:t>–</w:t>
                  </w:r>
                </w:p>
              </w:tc>
              <w:tc>
                <w:tcPr>
                  <w:tcW w:w="470" w:type="pct"/>
                  <w:gridSpan w:val="2"/>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8" w:type="pct"/>
                  <w:gridSpan w:val="2"/>
                  <w:shd w:val="clear" w:color="auto" w:fill="auto"/>
                  <w:vAlign w:val="bottom"/>
                </w:tcPr>
                <w:p w:rsidR="00AC2131" w:rsidRDefault="00AC2131" w:rsidP="00AC2131">
                  <w:pPr>
                    <w:pStyle w:val="TableBodyText"/>
                    <w:spacing w:after="0"/>
                    <w:ind w:left="0" w:right="57"/>
                  </w:pPr>
                  <w:r>
                    <w:t>23.7</w:t>
                  </w:r>
                </w:p>
              </w:tc>
              <w:tc>
                <w:tcPr>
                  <w:tcW w:w="454" w:type="pct"/>
                  <w:shd w:val="clear" w:color="auto" w:fill="auto"/>
                  <w:vAlign w:val="bottom"/>
                </w:tcPr>
                <w:p w:rsidR="00AC2131" w:rsidRDefault="00AC2131" w:rsidP="00AC2131">
                  <w:pPr>
                    <w:pStyle w:val="TableBodyText"/>
                    <w:spacing w:after="0"/>
                    <w:ind w:left="0" w:right="57"/>
                  </w:pPr>
                  <w:r>
                    <w:t>19.0</w:t>
                  </w:r>
                </w:p>
              </w:tc>
            </w:tr>
            <w:tr w:rsidR="00AC2131" w:rsidRPr="00B21065" w:rsidTr="00AC2131">
              <w:tc>
                <w:tcPr>
                  <w:tcW w:w="2202" w:type="pct"/>
                  <w:shd w:val="clear" w:color="auto" w:fill="auto"/>
                </w:tcPr>
                <w:p w:rsidR="00AC2131" w:rsidRPr="00B21065" w:rsidRDefault="00AC2131" w:rsidP="00AC2131">
                  <w:pPr>
                    <w:ind w:left="227"/>
                    <w:rPr>
                      <w:rFonts w:ascii="Arial" w:hAnsi="Arial" w:cs="Arial"/>
                      <w:sz w:val="18"/>
                      <w:szCs w:val="18"/>
                    </w:rPr>
                  </w:pPr>
                  <w:r>
                    <w:rPr>
                      <w:rFonts w:ascii="Arial" w:hAnsi="Arial" w:cs="Arial"/>
                      <w:sz w:val="18"/>
                      <w:szCs w:val="18"/>
                    </w:rPr>
                    <w:t>R&amp;D Tax Incentive – refundable tax offset</w:t>
                  </w:r>
                </w:p>
              </w:tc>
              <w:tc>
                <w:tcPr>
                  <w:tcW w:w="469" w:type="pct"/>
                  <w:vAlign w:val="bottom"/>
                </w:tcPr>
                <w:p w:rsidR="00AC2131" w:rsidRDefault="00AC2131" w:rsidP="00AC2131">
                  <w:pPr>
                    <w:pStyle w:val="TableBodyText"/>
                    <w:spacing w:after="0"/>
                    <w:ind w:left="0" w:right="57"/>
                  </w:pPr>
                  <w:r>
                    <w:t>–</w:t>
                  </w:r>
                </w:p>
              </w:tc>
              <w:tc>
                <w:tcPr>
                  <w:tcW w:w="470" w:type="pct"/>
                  <w:gridSpan w:val="2"/>
                  <w:vAlign w:val="bottom"/>
                </w:tcPr>
                <w:p w:rsidR="00AC2131" w:rsidRDefault="00AC2131" w:rsidP="00AC2131">
                  <w:pPr>
                    <w:pStyle w:val="TableBodyText"/>
                    <w:spacing w:after="0"/>
                    <w:ind w:left="0" w:right="57"/>
                  </w:pPr>
                  <w:r>
                    <w:t>–</w:t>
                  </w:r>
                </w:p>
              </w:tc>
              <w:tc>
                <w:tcPr>
                  <w:tcW w:w="468" w:type="pct"/>
                  <w:gridSpan w:val="2"/>
                  <w:vAlign w:val="bottom"/>
                </w:tcPr>
                <w:p w:rsidR="00AC2131" w:rsidRDefault="00AC2131" w:rsidP="00AC2131">
                  <w:pPr>
                    <w:pStyle w:val="TableBodyText"/>
                    <w:spacing w:after="0"/>
                    <w:ind w:left="0" w:right="57"/>
                  </w:pPr>
                  <w:r>
                    <w:t>–</w:t>
                  </w:r>
                </w:p>
              </w:tc>
              <w:tc>
                <w:tcPr>
                  <w:tcW w:w="469" w:type="pct"/>
                  <w:gridSpan w:val="2"/>
                  <w:vAlign w:val="bottom"/>
                </w:tcPr>
                <w:p w:rsidR="00AC2131" w:rsidRDefault="00AC2131" w:rsidP="00AC2131">
                  <w:pPr>
                    <w:pStyle w:val="TableBodyText"/>
                    <w:spacing w:after="0"/>
                    <w:ind w:left="0" w:right="57"/>
                  </w:pPr>
                  <w:r>
                    <w:t>–</w:t>
                  </w:r>
                </w:p>
              </w:tc>
              <w:tc>
                <w:tcPr>
                  <w:tcW w:w="468" w:type="pct"/>
                  <w:gridSpan w:val="2"/>
                  <w:shd w:val="clear" w:color="auto" w:fill="auto"/>
                  <w:vAlign w:val="bottom"/>
                </w:tcPr>
                <w:p w:rsidR="00AC2131" w:rsidRDefault="00AC2131" w:rsidP="00AC2131">
                  <w:pPr>
                    <w:pStyle w:val="TableBodyText"/>
                    <w:spacing w:after="0"/>
                    <w:ind w:left="0" w:right="57"/>
                  </w:pPr>
                  <w:r>
                    <w:t>&lt;0.1</w:t>
                  </w:r>
                </w:p>
              </w:tc>
              <w:tc>
                <w:tcPr>
                  <w:tcW w:w="454" w:type="pct"/>
                  <w:shd w:val="clear" w:color="auto" w:fill="auto"/>
                  <w:vAlign w:val="bottom"/>
                </w:tcPr>
                <w:p w:rsidR="00AC2131" w:rsidRDefault="00AC2131" w:rsidP="00AC2131">
                  <w:pPr>
                    <w:pStyle w:val="TableBodyText"/>
                    <w:spacing w:after="0"/>
                    <w:ind w:left="0" w:right="57"/>
                  </w:pPr>
                  <w:r>
                    <w:t>&lt;0.1</w:t>
                  </w:r>
                </w:p>
              </w:tc>
            </w:tr>
            <w:tr w:rsidR="00AC2131" w:rsidRPr="00B21065" w:rsidTr="00AC2131">
              <w:tc>
                <w:tcPr>
                  <w:tcW w:w="2202" w:type="pct"/>
                  <w:shd w:val="clear" w:color="auto" w:fill="auto"/>
                </w:tcPr>
                <w:p w:rsidR="00AC2131" w:rsidRPr="00B21065" w:rsidRDefault="00AC2131" w:rsidP="00AC2131">
                  <w:pPr>
                    <w:ind w:left="227"/>
                    <w:rPr>
                      <w:rFonts w:ascii="Arial" w:hAnsi="Arial" w:cs="Arial"/>
                      <w:sz w:val="18"/>
                      <w:szCs w:val="18"/>
                    </w:rPr>
                  </w:pPr>
                  <w:r w:rsidRPr="00B21065">
                    <w:rPr>
                      <w:rFonts w:ascii="Arial" w:hAnsi="Arial" w:cs="Arial"/>
                      <w:sz w:val="18"/>
                      <w:szCs w:val="18"/>
                    </w:rPr>
                    <w:t>R&amp;D tax offset payments - exemption</w:t>
                  </w:r>
                </w:p>
              </w:tc>
              <w:tc>
                <w:tcPr>
                  <w:tcW w:w="469" w:type="pct"/>
                  <w:vAlign w:val="bottom"/>
                </w:tcPr>
                <w:p w:rsidR="00AC2131" w:rsidRDefault="00AC2131" w:rsidP="00AC2131">
                  <w:pPr>
                    <w:pStyle w:val="TableBodyText"/>
                    <w:spacing w:after="0"/>
                    <w:ind w:left="0" w:right="57"/>
                  </w:pPr>
                  <w:r>
                    <w:t>-140.0</w:t>
                  </w:r>
                </w:p>
              </w:tc>
              <w:tc>
                <w:tcPr>
                  <w:tcW w:w="470" w:type="pct"/>
                  <w:gridSpan w:val="2"/>
                  <w:vAlign w:val="bottom"/>
                </w:tcPr>
                <w:p w:rsidR="00AC2131" w:rsidRDefault="00AC2131" w:rsidP="00AC2131">
                  <w:pPr>
                    <w:pStyle w:val="TableBodyText"/>
                    <w:spacing w:after="0"/>
                    <w:ind w:left="0" w:right="57"/>
                  </w:pPr>
                  <w:r>
                    <w:t>-170.0</w:t>
                  </w:r>
                </w:p>
              </w:tc>
              <w:tc>
                <w:tcPr>
                  <w:tcW w:w="468" w:type="pct"/>
                  <w:gridSpan w:val="2"/>
                  <w:vAlign w:val="bottom"/>
                </w:tcPr>
                <w:p w:rsidR="00AC2131" w:rsidRDefault="00AC2131" w:rsidP="00AC2131">
                  <w:pPr>
                    <w:pStyle w:val="TableBodyText"/>
                    <w:spacing w:after="0"/>
                    <w:ind w:left="0" w:right="57"/>
                  </w:pPr>
                  <w:r>
                    <w:t>-200.0</w:t>
                  </w:r>
                </w:p>
              </w:tc>
              <w:tc>
                <w:tcPr>
                  <w:tcW w:w="469" w:type="pct"/>
                  <w:gridSpan w:val="2"/>
                  <w:vAlign w:val="bottom"/>
                </w:tcPr>
                <w:p w:rsidR="00AC2131" w:rsidRDefault="00AC2131" w:rsidP="00AC2131">
                  <w:pPr>
                    <w:pStyle w:val="TableBodyText"/>
                    <w:spacing w:after="0"/>
                    <w:ind w:left="0" w:right="57"/>
                  </w:pPr>
                  <w:r>
                    <w:t>-235.0</w:t>
                  </w:r>
                </w:p>
              </w:tc>
              <w:tc>
                <w:tcPr>
                  <w:tcW w:w="468" w:type="pct"/>
                  <w:gridSpan w:val="2"/>
                  <w:shd w:val="clear" w:color="auto" w:fill="auto"/>
                  <w:vAlign w:val="bottom"/>
                </w:tcPr>
                <w:p w:rsidR="00AC2131" w:rsidRDefault="00AC2131" w:rsidP="00AC2131">
                  <w:pPr>
                    <w:pStyle w:val="TableBodyText"/>
                    <w:spacing w:after="0"/>
                    <w:ind w:left="0" w:right="57"/>
                  </w:pPr>
                  <w:r>
                    <w:t>-200.0</w:t>
                  </w:r>
                </w:p>
              </w:tc>
              <w:tc>
                <w:tcPr>
                  <w:tcW w:w="454" w:type="pct"/>
                  <w:shd w:val="clear" w:color="auto" w:fill="auto"/>
                  <w:vAlign w:val="bottom"/>
                </w:tcPr>
                <w:p w:rsidR="00AC2131" w:rsidRDefault="00AC2131" w:rsidP="00AC2131">
                  <w:pPr>
                    <w:pStyle w:val="TableBodyText"/>
                    <w:spacing w:after="0"/>
                    <w:ind w:left="0" w:right="57"/>
                  </w:pPr>
                  <w:r>
                    <w:t>-135.0</w:t>
                  </w:r>
                </w:p>
              </w:tc>
            </w:tr>
            <w:tr w:rsidR="00AC2131" w:rsidRPr="00B21065" w:rsidTr="00AC2131">
              <w:tc>
                <w:tcPr>
                  <w:tcW w:w="2202" w:type="pct"/>
                  <w:shd w:val="clear" w:color="auto" w:fill="auto"/>
                </w:tcPr>
                <w:p w:rsidR="00AC2131" w:rsidRPr="00B21065" w:rsidRDefault="00AC2131" w:rsidP="00AC2131">
                  <w:pPr>
                    <w:ind w:left="227"/>
                    <w:rPr>
                      <w:rFonts w:ascii="Arial" w:hAnsi="Arial" w:cs="Arial"/>
                      <w:sz w:val="18"/>
                      <w:szCs w:val="18"/>
                    </w:rPr>
                  </w:pPr>
                  <w:r>
                    <w:rPr>
                      <w:rFonts w:ascii="Arial" w:hAnsi="Arial" w:cs="Arial"/>
                      <w:sz w:val="18"/>
                      <w:szCs w:val="18"/>
                    </w:rPr>
                    <w:t>R&amp;D tax offsets – Refundable</w:t>
                  </w:r>
                </w:p>
              </w:tc>
              <w:tc>
                <w:tcPr>
                  <w:tcW w:w="469" w:type="pct"/>
                  <w:vAlign w:val="bottom"/>
                </w:tcPr>
                <w:p w:rsidR="00AC2131" w:rsidRDefault="00AC2131" w:rsidP="00AC2131">
                  <w:pPr>
                    <w:pStyle w:val="TableBodyText"/>
                    <w:spacing w:after="0"/>
                    <w:ind w:left="0" w:right="57"/>
                  </w:pPr>
                  <w:r>
                    <w:t>30.3</w:t>
                  </w:r>
                </w:p>
              </w:tc>
              <w:tc>
                <w:tcPr>
                  <w:tcW w:w="470" w:type="pct"/>
                  <w:gridSpan w:val="2"/>
                  <w:vAlign w:val="bottom"/>
                </w:tcPr>
                <w:p w:rsidR="00AC2131" w:rsidRDefault="00AC2131" w:rsidP="00AC2131">
                  <w:pPr>
                    <w:pStyle w:val="TableBodyText"/>
                    <w:spacing w:after="0"/>
                    <w:ind w:left="0" w:right="57"/>
                  </w:pPr>
                  <w:r>
                    <w:t>35.7</w:t>
                  </w:r>
                </w:p>
              </w:tc>
              <w:tc>
                <w:tcPr>
                  <w:tcW w:w="468" w:type="pct"/>
                  <w:gridSpan w:val="2"/>
                  <w:vAlign w:val="bottom"/>
                </w:tcPr>
                <w:p w:rsidR="00AC2131" w:rsidRDefault="00AC2131" w:rsidP="00AC2131">
                  <w:pPr>
                    <w:pStyle w:val="TableBodyText"/>
                    <w:spacing w:after="0"/>
                    <w:ind w:left="0" w:right="57"/>
                  </w:pPr>
                  <w:r>
                    <w:t>&lt;0.1</w:t>
                  </w:r>
                </w:p>
              </w:tc>
              <w:tc>
                <w:tcPr>
                  <w:tcW w:w="469" w:type="pct"/>
                  <w:gridSpan w:val="2"/>
                  <w:vAlign w:val="bottom"/>
                </w:tcPr>
                <w:p w:rsidR="00AC2131" w:rsidRDefault="00AC2131" w:rsidP="00AC2131">
                  <w:pPr>
                    <w:pStyle w:val="TableBodyText"/>
                    <w:spacing w:after="0"/>
                    <w:ind w:left="0" w:right="57"/>
                  </w:pPr>
                  <w:r>
                    <w:t>&lt;0.1</w:t>
                  </w:r>
                </w:p>
              </w:tc>
              <w:tc>
                <w:tcPr>
                  <w:tcW w:w="468" w:type="pct"/>
                  <w:gridSpan w:val="2"/>
                  <w:shd w:val="clear" w:color="auto" w:fill="auto"/>
                  <w:vAlign w:val="bottom"/>
                </w:tcPr>
                <w:p w:rsidR="00AC2131" w:rsidRDefault="00AC2131" w:rsidP="00AC2131">
                  <w:pPr>
                    <w:pStyle w:val="TableBodyText"/>
                    <w:spacing w:after="0"/>
                    <w:ind w:left="0" w:right="57"/>
                  </w:pPr>
                  <w:r>
                    <w:t>–</w:t>
                  </w:r>
                </w:p>
              </w:tc>
              <w:tc>
                <w:tcPr>
                  <w:tcW w:w="454" w:type="pct"/>
                  <w:shd w:val="clear" w:color="auto" w:fill="auto"/>
                  <w:vAlign w:val="bottom"/>
                </w:tcPr>
                <w:p w:rsidR="00AC2131" w:rsidRDefault="00AC2131" w:rsidP="00AC2131">
                  <w:pPr>
                    <w:pStyle w:val="TableBodyText"/>
                    <w:spacing w:after="0"/>
                    <w:ind w:left="0" w:right="57"/>
                  </w:pPr>
                  <w:r>
                    <w:t>–</w:t>
                  </w:r>
                </w:p>
              </w:tc>
            </w:tr>
            <w:tr w:rsidR="00AC2131" w:rsidRPr="00527B68" w:rsidTr="00AC2131">
              <w:tc>
                <w:tcPr>
                  <w:tcW w:w="2202" w:type="pct"/>
                </w:tcPr>
                <w:p w:rsidR="00AC2131" w:rsidRPr="00527B68" w:rsidRDefault="00AC2131" w:rsidP="00AC2131">
                  <w:pPr>
                    <w:pStyle w:val="TableUnitsRow"/>
                    <w:spacing w:after="0"/>
                    <w:ind w:left="113"/>
                    <w:jc w:val="left"/>
                    <w:rPr>
                      <w:i/>
                    </w:rPr>
                  </w:pPr>
                  <w:r w:rsidRPr="00527B68">
                    <w:rPr>
                      <w:i/>
                    </w:rPr>
                    <w:t>Other measures</w:t>
                  </w:r>
                </w:p>
              </w:tc>
              <w:tc>
                <w:tcPr>
                  <w:tcW w:w="469" w:type="pct"/>
                </w:tcPr>
                <w:p w:rsidR="00AC2131" w:rsidRPr="00527B68" w:rsidRDefault="00AC2131" w:rsidP="00AC2131">
                  <w:pPr>
                    <w:pStyle w:val="TableUnitsRow"/>
                    <w:spacing w:after="0"/>
                    <w:ind w:left="113" w:right="57"/>
                    <w:rPr>
                      <w:i/>
                    </w:rPr>
                  </w:pPr>
                </w:p>
              </w:tc>
              <w:tc>
                <w:tcPr>
                  <w:tcW w:w="470" w:type="pct"/>
                  <w:gridSpan w:val="2"/>
                </w:tcPr>
                <w:p w:rsidR="00AC2131" w:rsidRPr="00527B68" w:rsidRDefault="00AC2131" w:rsidP="00AC2131">
                  <w:pPr>
                    <w:pStyle w:val="TableUnitsRow"/>
                    <w:spacing w:after="0"/>
                    <w:ind w:left="113" w:right="57"/>
                    <w:rPr>
                      <w:i/>
                    </w:rPr>
                  </w:pPr>
                </w:p>
              </w:tc>
              <w:tc>
                <w:tcPr>
                  <w:tcW w:w="468" w:type="pct"/>
                  <w:gridSpan w:val="2"/>
                </w:tcPr>
                <w:p w:rsidR="00AC2131" w:rsidRPr="00527B68" w:rsidRDefault="00AC2131" w:rsidP="00AC2131">
                  <w:pPr>
                    <w:pStyle w:val="TableUnitsRow"/>
                    <w:spacing w:after="0"/>
                    <w:ind w:left="113" w:right="57"/>
                    <w:rPr>
                      <w:i/>
                    </w:rPr>
                  </w:pPr>
                </w:p>
              </w:tc>
              <w:tc>
                <w:tcPr>
                  <w:tcW w:w="469" w:type="pct"/>
                  <w:gridSpan w:val="2"/>
                </w:tcPr>
                <w:p w:rsidR="00AC2131" w:rsidRPr="00527B68" w:rsidRDefault="00AC2131" w:rsidP="00AC2131">
                  <w:pPr>
                    <w:pStyle w:val="TableUnitsRow"/>
                    <w:spacing w:after="0"/>
                    <w:ind w:left="113" w:right="57"/>
                    <w:rPr>
                      <w:i/>
                    </w:rPr>
                  </w:pPr>
                </w:p>
              </w:tc>
              <w:tc>
                <w:tcPr>
                  <w:tcW w:w="468" w:type="pct"/>
                  <w:gridSpan w:val="2"/>
                </w:tcPr>
                <w:p w:rsidR="00AC2131" w:rsidRPr="00527B68" w:rsidRDefault="00AC2131" w:rsidP="00AC2131">
                  <w:pPr>
                    <w:pStyle w:val="TableUnitsRow"/>
                    <w:spacing w:after="0"/>
                    <w:ind w:left="113" w:right="57"/>
                    <w:rPr>
                      <w:i/>
                    </w:rPr>
                  </w:pPr>
                </w:p>
              </w:tc>
              <w:tc>
                <w:tcPr>
                  <w:tcW w:w="454" w:type="pct"/>
                </w:tcPr>
                <w:p w:rsidR="00AC2131" w:rsidRPr="00527B68" w:rsidRDefault="00AC2131" w:rsidP="00AC2131">
                  <w:pPr>
                    <w:pStyle w:val="TableUnitsRow"/>
                    <w:spacing w:after="0"/>
                    <w:ind w:left="113" w:right="57"/>
                    <w:rPr>
                      <w:i/>
                    </w:rPr>
                  </w:pPr>
                </w:p>
              </w:tc>
            </w:tr>
            <w:tr w:rsidR="00AC2131" w:rsidTr="00AC2131">
              <w:tc>
                <w:tcPr>
                  <w:tcW w:w="2202" w:type="pct"/>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25 per cent entrepreneurs' tax offset</w:t>
                  </w:r>
                </w:p>
              </w:tc>
              <w:tc>
                <w:tcPr>
                  <w:tcW w:w="469" w:type="pct"/>
                  <w:vAlign w:val="bottom"/>
                </w:tcPr>
                <w:p w:rsidR="00AC2131" w:rsidRDefault="00AC2131" w:rsidP="00AC2131">
                  <w:pPr>
                    <w:pStyle w:val="TableBodyText"/>
                    <w:spacing w:after="0"/>
                    <w:ind w:left="0" w:right="57"/>
                  </w:pPr>
                  <w:r>
                    <w:t>34.8</w:t>
                  </w:r>
                </w:p>
              </w:tc>
              <w:tc>
                <w:tcPr>
                  <w:tcW w:w="470" w:type="pct"/>
                  <w:gridSpan w:val="2"/>
                  <w:vAlign w:val="bottom"/>
                </w:tcPr>
                <w:p w:rsidR="00AC2131" w:rsidRDefault="00AC2131" w:rsidP="00AC2131">
                  <w:pPr>
                    <w:pStyle w:val="TableBodyText"/>
                    <w:spacing w:after="0"/>
                    <w:ind w:left="0" w:right="57"/>
                  </w:pPr>
                  <w:r>
                    <w:t>36.5</w:t>
                  </w:r>
                </w:p>
              </w:tc>
              <w:tc>
                <w:tcPr>
                  <w:tcW w:w="468" w:type="pct"/>
                  <w:gridSpan w:val="2"/>
                  <w:vAlign w:val="bottom"/>
                </w:tcPr>
                <w:p w:rsidR="00AC2131" w:rsidRDefault="00AC2131" w:rsidP="00AC2131">
                  <w:pPr>
                    <w:pStyle w:val="TableBodyText"/>
                    <w:spacing w:after="0"/>
                    <w:ind w:left="0" w:right="57"/>
                  </w:pPr>
                  <w:r>
                    <w:t>35.6</w:t>
                  </w:r>
                </w:p>
              </w:tc>
              <w:tc>
                <w:tcPr>
                  <w:tcW w:w="469" w:type="pct"/>
                  <w:gridSpan w:val="2"/>
                  <w:vAlign w:val="bottom"/>
                </w:tcPr>
                <w:p w:rsidR="00AC2131" w:rsidRDefault="00AC2131" w:rsidP="00AC2131">
                  <w:pPr>
                    <w:pStyle w:val="TableBodyText"/>
                    <w:spacing w:after="0"/>
                    <w:ind w:left="0" w:right="57"/>
                  </w:pPr>
                  <w:r>
                    <w:t>35.6</w:t>
                  </w:r>
                </w:p>
              </w:tc>
              <w:tc>
                <w:tcPr>
                  <w:tcW w:w="468" w:type="pct"/>
                  <w:gridSpan w:val="2"/>
                  <w:vAlign w:val="bottom"/>
                </w:tcPr>
                <w:p w:rsidR="00AC2131" w:rsidRDefault="00AC2131" w:rsidP="00AC2131">
                  <w:pPr>
                    <w:pStyle w:val="TableBodyText"/>
                    <w:spacing w:after="0"/>
                    <w:ind w:left="0" w:right="57"/>
                  </w:pPr>
                  <w:r>
                    <w:t>28.6</w:t>
                  </w:r>
                </w:p>
              </w:tc>
              <w:tc>
                <w:tcPr>
                  <w:tcW w:w="454" w:type="pct"/>
                  <w:vAlign w:val="bottom"/>
                </w:tcPr>
                <w:p w:rsidR="00AC2131" w:rsidRDefault="00AC2131" w:rsidP="00AC2131">
                  <w:pPr>
                    <w:pStyle w:val="TableBodyText"/>
                    <w:spacing w:after="0"/>
                    <w:ind w:left="0" w:right="57"/>
                  </w:pPr>
                  <w:r>
                    <w:t>–</w:t>
                  </w:r>
                </w:p>
              </w:tc>
            </w:tr>
            <w:tr w:rsidR="00AC2131" w:rsidTr="00AC2131">
              <w:tc>
                <w:tcPr>
                  <w:tcW w:w="2202" w:type="pct"/>
                  <w:tcBorders>
                    <w:bottom w:val="single" w:sz="6" w:space="0" w:color="BFBFBF"/>
                  </w:tcBorders>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Asia Marketing Fund</w:t>
                  </w:r>
                </w:p>
              </w:tc>
              <w:tc>
                <w:tcPr>
                  <w:tcW w:w="469" w:type="pct"/>
                  <w:tcBorders>
                    <w:bottom w:val="single" w:sz="6" w:space="0" w:color="BFBFBF"/>
                  </w:tcBorders>
                  <w:vAlign w:val="bottom"/>
                </w:tcPr>
                <w:p w:rsidR="00AC2131" w:rsidRDefault="00AC2131" w:rsidP="00AC2131">
                  <w:pPr>
                    <w:pStyle w:val="TableBodyText"/>
                    <w:spacing w:after="0"/>
                    <w:ind w:left="0" w:right="57"/>
                  </w:pPr>
                  <w:r>
                    <w:t>–</w:t>
                  </w:r>
                </w:p>
              </w:tc>
              <w:tc>
                <w:tcPr>
                  <w:tcW w:w="470" w:type="pct"/>
                  <w:gridSpan w:val="2"/>
                  <w:tcBorders>
                    <w:bottom w:val="single" w:sz="6" w:space="0" w:color="BFBFBF"/>
                  </w:tcBorders>
                  <w:vAlign w:val="bottom"/>
                </w:tcPr>
                <w:p w:rsidR="00AC2131" w:rsidRDefault="00AC2131" w:rsidP="00AC2131">
                  <w:pPr>
                    <w:pStyle w:val="TableBodyText"/>
                    <w:spacing w:after="0"/>
                    <w:ind w:left="0" w:right="57"/>
                  </w:pPr>
                  <w:r>
                    <w:t>–</w:t>
                  </w:r>
                </w:p>
              </w:tc>
              <w:tc>
                <w:tcPr>
                  <w:tcW w:w="468" w:type="pct"/>
                  <w:gridSpan w:val="2"/>
                  <w:tcBorders>
                    <w:bottom w:val="single" w:sz="6" w:space="0" w:color="BFBFBF"/>
                  </w:tcBorders>
                  <w:vAlign w:val="bottom"/>
                </w:tcPr>
                <w:p w:rsidR="00AC2131" w:rsidRDefault="00AC2131" w:rsidP="00AC2131">
                  <w:pPr>
                    <w:pStyle w:val="TableBodyText"/>
                    <w:spacing w:after="0"/>
                    <w:ind w:left="0" w:right="57"/>
                  </w:pPr>
                  <w:r>
                    <w:t>–</w:t>
                  </w:r>
                </w:p>
              </w:tc>
              <w:tc>
                <w:tcPr>
                  <w:tcW w:w="469" w:type="pct"/>
                  <w:gridSpan w:val="2"/>
                  <w:tcBorders>
                    <w:bottom w:val="single" w:sz="6" w:space="0" w:color="BFBFBF"/>
                  </w:tcBorders>
                  <w:vAlign w:val="bottom"/>
                </w:tcPr>
                <w:p w:rsidR="00AC2131" w:rsidRDefault="00AC2131" w:rsidP="00AC2131">
                  <w:pPr>
                    <w:pStyle w:val="TableBodyText"/>
                    <w:spacing w:after="0"/>
                    <w:ind w:left="0" w:right="57"/>
                  </w:pPr>
                  <w:r>
                    <w:t>–</w:t>
                  </w:r>
                </w:p>
              </w:tc>
              <w:tc>
                <w:tcPr>
                  <w:tcW w:w="468" w:type="pct"/>
                  <w:gridSpan w:val="2"/>
                  <w:tcBorders>
                    <w:bottom w:val="single" w:sz="6" w:space="0" w:color="BFBFBF"/>
                  </w:tcBorders>
                  <w:shd w:val="clear" w:color="auto" w:fill="auto"/>
                  <w:vAlign w:val="bottom"/>
                </w:tcPr>
                <w:p w:rsidR="00AC2131" w:rsidRDefault="00AC2131" w:rsidP="00AC2131">
                  <w:pPr>
                    <w:pStyle w:val="TableBodyText"/>
                    <w:spacing w:after="0"/>
                    <w:ind w:left="0" w:right="57"/>
                  </w:pPr>
                  <w:r>
                    <w:t>8.5</w:t>
                  </w:r>
                </w:p>
              </w:tc>
              <w:tc>
                <w:tcPr>
                  <w:tcW w:w="454" w:type="pct"/>
                  <w:tcBorders>
                    <w:bottom w:val="single" w:sz="6" w:space="0" w:color="BFBFBF"/>
                  </w:tcBorders>
                  <w:shd w:val="clear" w:color="auto" w:fill="auto"/>
                  <w:vAlign w:val="bottom"/>
                </w:tcPr>
                <w:p w:rsidR="00AC2131" w:rsidRDefault="00AC2131" w:rsidP="00AC2131">
                  <w:pPr>
                    <w:pStyle w:val="TableBodyText"/>
                    <w:spacing w:after="0"/>
                    <w:ind w:left="0" w:right="57"/>
                  </w:pPr>
                  <w:r>
                    <w:t>12.5</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ind w:firstLine="6499"/>
            </w:pPr>
            <w:r>
              <w:t xml:space="preserve"> (continued next page)</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r>
        <w:br w:type="page"/>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7"/>
      </w:tblGrid>
      <w:tr w:rsidR="00AC2131" w:rsidTr="00AC2131">
        <w:tc>
          <w:tcPr>
            <w:tcW w:w="8787"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A.14</w:t>
            </w:r>
            <w:r>
              <w:tab/>
            </w:r>
            <w:r w:rsidRPr="006B64DF">
              <w:rPr>
                <w:b w:val="0"/>
                <w:sz w:val="18"/>
              </w:rPr>
              <w:t>(continued)</w:t>
            </w:r>
          </w:p>
        </w:tc>
      </w:tr>
      <w:tr w:rsidR="00AC2131" w:rsidTr="00AC2131">
        <w:trPr>
          <w:cantSplit/>
        </w:trPr>
        <w:tc>
          <w:tcPr>
            <w:tcW w:w="8787" w:type="dxa"/>
            <w:tcBorders>
              <w:top w:val="nil"/>
              <w:left w:val="nil"/>
              <w:bottom w:val="nil"/>
              <w:right w:val="nil"/>
            </w:tcBorders>
            <w:shd w:val="clear" w:color="auto" w:fill="auto"/>
          </w:tcPr>
          <w:tbl>
            <w:tblPr>
              <w:tblW w:w="8502" w:type="dxa"/>
              <w:tblCellMar>
                <w:top w:w="28" w:type="dxa"/>
                <w:left w:w="0" w:type="dxa"/>
                <w:right w:w="0" w:type="dxa"/>
              </w:tblCellMar>
              <w:tblLook w:val="0000" w:firstRow="0" w:lastRow="0" w:firstColumn="0" w:lastColumn="0" w:noHBand="0" w:noVBand="0"/>
            </w:tblPr>
            <w:tblGrid>
              <w:gridCol w:w="3745"/>
              <w:gridCol w:w="797"/>
              <w:gridCol w:w="799"/>
              <w:gridCol w:w="794"/>
              <w:gridCol w:w="794"/>
              <w:gridCol w:w="794"/>
              <w:gridCol w:w="779"/>
            </w:tblGrid>
            <w:tr w:rsidR="00AC2131" w:rsidTr="00AC2131">
              <w:tc>
                <w:tcPr>
                  <w:tcW w:w="2202"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p>
              </w:tc>
              <w:tc>
                <w:tcPr>
                  <w:tcW w:w="469" w:type="pct"/>
                  <w:tcBorders>
                    <w:top w:val="single" w:sz="6" w:space="0" w:color="BFBFBF"/>
                    <w:bottom w:val="single" w:sz="6" w:space="0" w:color="BFBFBF"/>
                  </w:tcBorders>
                </w:tcPr>
                <w:p w:rsidR="00AC2131" w:rsidRDefault="00AC2131" w:rsidP="00AC2131">
                  <w:pPr>
                    <w:pStyle w:val="TableColumnHeading"/>
                    <w:ind w:left="0" w:right="57"/>
                  </w:pPr>
                  <w:r>
                    <w:t>2008-09</w:t>
                  </w:r>
                </w:p>
              </w:tc>
              <w:tc>
                <w:tcPr>
                  <w:tcW w:w="470" w:type="pct"/>
                  <w:tcBorders>
                    <w:top w:val="single" w:sz="6" w:space="0" w:color="BFBFBF"/>
                    <w:bottom w:val="single" w:sz="6" w:space="0" w:color="BFBFBF"/>
                  </w:tcBorders>
                </w:tcPr>
                <w:p w:rsidR="00AC2131" w:rsidRDefault="00AC2131" w:rsidP="00AC2131">
                  <w:pPr>
                    <w:pStyle w:val="TableColumnHeading"/>
                    <w:ind w:left="0" w:right="57"/>
                  </w:pPr>
                  <w:r>
                    <w:t>2009-10</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2010-11</w:t>
                  </w:r>
                </w:p>
              </w:tc>
              <w:tc>
                <w:tcPr>
                  <w:tcW w:w="467" w:type="pct"/>
                  <w:tcBorders>
                    <w:top w:val="single" w:sz="6" w:space="0" w:color="BFBFBF"/>
                    <w:bottom w:val="single" w:sz="6" w:space="0" w:color="BFBFBF"/>
                  </w:tcBorders>
                </w:tcPr>
                <w:p w:rsidR="00AC2131" w:rsidRDefault="00AC2131" w:rsidP="00AC2131">
                  <w:pPr>
                    <w:pStyle w:val="TableColumnHeading"/>
                    <w:ind w:left="0" w:right="57"/>
                  </w:pPr>
                  <w:r>
                    <w:t>2011-12</w:t>
                  </w:r>
                </w:p>
              </w:tc>
              <w:tc>
                <w:tcPr>
                  <w:tcW w:w="4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2012-13</w:t>
                  </w:r>
                </w:p>
              </w:tc>
              <w:tc>
                <w:tcPr>
                  <w:tcW w:w="458"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ind w:left="0" w:right="57"/>
                  </w:pPr>
                  <w:r>
                    <w:t>2013-14</w:t>
                  </w:r>
                </w:p>
              </w:tc>
            </w:tr>
            <w:tr w:rsidR="00AC2131" w:rsidRPr="00527B68" w:rsidTr="00AC2131">
              <w:tc>
                <w:tcPr>
                  <w:tcW w:w="2202" w:type="pct"/>
                </w:tcPr>
                <w:p w:rsidR="00AC2131" w:rsidRPr="00527B68" w:rsidRDefault="00AC2131" w:rsidP="00AC2131">
                  <w:pPr>
                    <w:pStyle w:val="TableUnitsRow"/>
                    <w:spacing w:after="0"/>
                    <w:ind w:left="113"/>
                    <w:jc w:val="left"/>
                    <w:rPr>
                      <w:i/>
                    </w:rPr>
                  </w:pPr>
                  <w:r w:rsidRPr="00527B68">
                    <w:rPr>
                      <w:i/>
                    </w:rPr>
                    <w:t>Other measures</w:t>
                  </w:r>
                  <w:r>
                    <w:rPr>
                      <w:i/>
                    </w:rPr>
                    <w:t xml:space="preserve"> (continued)</w:t>
                  </w:r>
                </w:p>
              </w:tc>
              <w:tc>
                <w:tcPr>
                  <w:tcW w:w="469" w:type="pct"/>
                </w:tcPr>
                <w:p w:rsidR="00AC2131" w:rsidRPr="00527B68" w:rsidRDefault="00AC2131" w:rsidP="00AC2131">
                  <w:pPr>
                    <w:pStyle w:val="TableUnitsRow"/>
                    <w:spacing w:after="0"/>
                    <w:ind w:left="113" w:right="57"/>
                    <w:rPr>
                      <w:i/>
                    </w:rPr>
                  </w:pPr>
                </w:p>
              </w:tc>
              <w:tc>
                <w:tcPr>
                  <w:tcW w:w="470" w:type="pct"/>
                </w:tcPr>
                <w:p w:rsidR="00AC2131" w:rsidRPr="00527B68" w:rsidRDefault="00AC2131" w:rsidP="00AC2131">
                  <w:pPr>
                    <w:pStyle w:val="TableUnitsRow"/>
                    <w:spacing w:after="0"/>
                    <w:ind w:left="113" w:right="57"/>
                    <w:rPr>
                      <w:i/>
                    </w:rPr>
                  </w:pPr>
                </w:p>
              </w:tc>
              <w:tc>
                <w:tcPr>
                  <w:tcW w:w="467" w:type="pct"/>
                </w:tcPr>
                <w:p w:rsidR="00AC2131" w:rsidRPr="00527B68" w:rsidRDefault="00AC2131" w:rsidP="00AC2131">
                  <w:pPr>
                    <w:pStyle w:val="TableUnitsRow"/>
                    <w:spacing w:after="0"/>
                    <w:ind w:left="113" w:right="57"/>
                    <w:rPr>
                      <w:i/>
                    </w:rPr>
                  </w:pPr>
                </w:p>
              </w:tc>
              <w:tc>
                <w:tcPr>
                  <w:tcW w:w="467" w:type="pct"/>
                </w:tcPr>
                <w:p w:rsidR="00AC2131" w:rsidRPr="00527B68" w:rsidRDefault="00AC2131" w:rsidP="00AC2131">
                  <w:pPr>
                    <w:pStyle w:val="TableUnitsRow"/>
                    <w:spacing w:after="0"/>
                    <w:ind w:left="113" w:right="57"/>
                    <w:rPr>
                      <w:i/>
                    </w:rPr>
                  </w:pPr>
                </w:p>
              </w:tc>
              <w:tc>
                <w:tcPr>
                  <w:tcW w:w="467" w:type="pct"/>
                </w:tcPr>
                <w:p w:rsidR="00AC2131" w:rsidRPr="00527B68" w:rsidRDefault="00AC2131" w:rsidP="00AC2131">
                  <w:pPr>
                    <w:pStyle w:val="TableUnitsRow"/>
                    <w:spacing w:after="0"/>
                    <w:ind w:left="113" w:right="57"/>
                    <w:rPr>
                      <w:i/>
                    </w:rPr>
                  </w:pPr>
                </w:p>
              </w:tc>
              <w:tc>
                <w:tcPr>
                  <w:tcW w:w="458" w:type="pct"/>
                </w:tcPr>
                <w:p w:rsidR="00AC2131" w:rsidRPr="00527B68" w:rsidRDefault="00AC2131" w:rsidP="00AC2131">
                  <w:pPr>
                    <w:pStyle w:val="TableUnitsRow"/>
                    <w:spacing w:after="0"/>
                    <w:ind w:left="113" w:right="57"/>
                    <w:rPr>
                      <w:i/>
                    </w:rPr>
                  </w:pP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Asia Pacific Partnership on Clean Development and Climate</w:t>
                  </w:r>
                </w:p>
              </w:tc>
              <w:tc>
                <w:tcPr>
                  <w:tcW w:w="469" w:type="pct"/>
                  <w:vAlign w:val="bottom"/>
                </w:tcPr>
                <w:p w:rsidR="00AC2131" w:rsidRDefault="00AC2131" w:rsidP="00AC2131">
                  <w:pPr>
                    <w:pStyle w:val="TableBodyText"/>
                    <w:spacing w:after="0"/>
                    <w:ind w:left="0" w:right="57"/>
                  </w:pPr>
                  <w:r>
                    <w:t>–</w:t>
                  </w:r>
                </w:p>
              </w:tc>
              <w:tc>
                <w:tcPr>
                  <w:tcW w:w="470" w:type="pct"/>
                  <w:vAlign w:val="bottom"/>
                </w:tcPr>
                <w:p w:rsidR="00AC2131" w:rsidRDefault="00AC2131" w:rsidP="00AC2131">
                  <w:pPr>
                    <w:pStyle w:val="TableBodyText"/>
                    <w:spacing w:after="0"/>
                    <w:ind w:left="0" w:right="57"/>
                  </w:pPr>
                  <w:r>
                    <w:t>19.8</w:t>
                  </w:r>
                </w:p>
              </w:tc>
              <w:tc>
                <w:tcPr>
                  <w:tcW w:w="467" w:type="pct"/>
                  <w:vAlign w:val="bottom"/>
                </w:tcPr>
                <w:p w:rsidR="00AC2131" w:rsidRDefault="00AC2131" w:rsidP="00AC2131">
                  <w:pPr>
                    <w:pStyle w:val="TableBodyText"/>
                    <w:spacing w:after="0"/>
                    <w:ind w:left="0" w:right="57"/>
                  </w:pPr>
                  <w:r>
                    <w:t>11.0</w:t>
                  </w:r>
                </w:p>
              </w:tc>
              <w:tc>
                <w:tcPr>
                  <w:tcW w:w="467" w:type="pct"/>
                  <w:vAlign w:val="bottom"/>
                </w:tcPr>
                <w:p w:rsidR="00AC2131" w:rsidRDefault="00AC2131" w:rsidP="00AC2131">
                  <w:pPr>
                    <w:pStyle w:val="TableBodyText"/>
                    <w:spacing w:after="0"/>
                    <w:ind w:left="0" w:right="57"/>
                  </w:pPr>
                  <w:r>
                    <w:t>2.3</w:t>
                  </w:r>
                </w:p>
              </w:tc>
              <w:tc>
                <w:tcPr>
                  <w:tcW w:w="467" w:type="pct"/>
                  <w:shd w:val="clear" w:color="auto" w:fill="auto"/>
                  <w:vAlign w:val="bottom"/>
                </w:tcPr>
                <w:p w:rsidR="00AC2131" w:rsidRDefault="00AC2131" w:rsidP="00AC2131">
                  <w:pPr>
                    <w:pStyle w:val="TableBodyText"/>
                    <w:spacing w:after="0"/>
                    <w:ind w:left="0" w:right="57"/>
                  </w:pPr>
                  <w:r>
                    <w:t>0.2</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Digital Enterprise Program</w:t>
                  </w:r>
                </w:p>
              </w:tc>
              <w:tc>
                <w:tcPr>
                  <w:tcW w:w="469" w:type="pct"/>
                  <w:vAlign w:val="bottom"/>
                </w:tcPr>
                <w:p w:rsidR="00AC2131" w:rsidRDefault="00AC2131" w:rsidP="00AC2131">
                  <w:pPr>
                    <w:pStyle w:val="TableBodyText"/>
                    <w:spacing w:after="0"/>
                    <w:ind w:left="0" w:right="57"/>
                  </w:pPr>
                  <w:r>
                    <w:t>–</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4.0</w:t>
                  </w:r>
                </w:p>
              </w:tc>
              <w:tc>
                <w:tcPr>
                  <w:tcW w:w="467" w:type="pct"/>
                  <w:shd w:val="clear" w:color="auto" w:fill="auto"/>
                  <w:vAlign w:val="bottom"/>
                </w:tcPr>
                <w:p w:rsidR="00AC2131" w:rsidRDefault="00AC2131" w:rsidP="00AC2131">
                  <w:pPr>
                    <w:pStyle w:val="TableBodyText"/>
                    <w:spacing w:after="0"/>
                    <w:ind w:left="0" w:right="57"/>
                  </w:pPr>
                  <w:r>
                    <w:t>1.9</w:t>
                  </w:r>
                </w:p>
              </w:tc>
              <w:tc>
                <w:tcPr>
                  <w:tcW w:w="458" w:type="pct"/>
                  <w:shd w:val="clear" w:color="auto" w:fill="auto"/>
                  <w:vAlign w:val="bottom"/>
                </w:tcPr>
                <w:p w:rsidR="00AC2131" w:rsidRDefault="00AC2131" w:rsidP="00AC2131">
                  <w:pPr>
                    <w:pStyle w:val="TableBodyText"/>
                    <w:spacing w:after="0"/>
                    <w:ind w:left="0" w:right="57"/>
                  </w:pPr>
                  <w:r>
                    <w:t>5.2</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Energy Efficiency Information Grants</w:t>
                  </w:r>
                </w:p>
              </w:tc>
              <w:tc>
                <w:tcPr>
                  <w:tcW w:w="469" w:type="pct"/>
                  <w:vAlign w:val="bottom"/>
                </w:tcPr>
                <w:p w:rsidR="00AC2131" w:rsidRDefault="00AC2131" w:rsidP="00AC2131">
                  <w:pPr>
                    <w:pStyle w:val="TableBodyText"/>
                    <w:spacing w:after="0"/>
                    <w:ind w:left="0" w:right="57"/>
                  </w:pPr>
                  <w:r>
                    <w:t>–</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4.6</w:t>
                  </w:r>
                </w:p>
              </w:tc>
              <w:tc>
                <w:tcPr>
                  <w:tcW w:w="458" w:type="pct"/>
                  <w:shd w:val="clear" w:color="auto" w:fill="auto"/>
                  <w:vAlign w:val="bottom"/>
                </w:tcPr>
                <w:p w:rsidR="00AC2131" w:rsidRDefault="00AC2131" w:rsidP="00AC2131">
                  <w:pPr>
                    <w:pStyle w:val="TableBodyText"/>
                    <w:spacing w:after="0"/>
                    <w:ind w:left="0" w:right="57"/>
                  </w:pPr>
                  <w:r>
                    <w:t>11.0</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Enterprise Connect Innovation Centres</w:t>
                  </w:r>
                </w:p>
              </w:tc>
              <w:tc>
                <w:tcPr>
                  <w:tcW w:w="469" w:type="pct"/>
                  <w:vAlign w:val="bottom"/>
                </w:tcPr>
                <w:p w:rsidR="00AC2131" w:rsidRDefault="00AC2131" w:rsidP="00AC2131">
                  <w:pPr>
                    <w:pStyle w:val="TableBodyText"/>
                    <w:spacing w:after="0"/>
                    <w:ind w:left="0" w:right="57"/>
                  </w:pPr>
                  <w:r>
                    <w:t>0.3</w:t>
                  </w:r>
                </w:p>
              </w:tc>
              <w:tc>
                <w:tcPr>
                  <w:tcW w:w="470" w:type="pct"/>
                  <w:vAlign w:val="bottom"/>
                </w:tcPr>
                <w:p w:rsidR="00AC2131" w:rsidRDefault="00AC2131" w:rsidP="00AC2131">
                  <w:pPr>
                    <w:pStyle w:val="TableBodyText"/>
                    <w:spacing w:after="0"/>
                    <w:ind w:left="0" w:right="57"/>
                  </w:pPr>
                  <w:r>
                    <w:t>1.4</w:t>
                  </w:r>
                </w:p>
              </w:tc>
              <w:tc>
                <w:tcPr>
                  <w:tcW w:w="467" w:type="pct"/>
                  <w:vAlign w:val="bottom"/>
                </w:tcPr>
                <w:p w:rsidR="00AC2131" w:rsidRDefault="00AC2131" w:rsidP="00AC2131">
                  <w:pPr>
                    <w:pStyle w:val="TableBodyText"/>
                    <w:spacing w:after="0"/>
                    <w:ind w:left="0" w:right="57"/>
                  </w:pPr>
                  <w:r>
                    <w:t>3.9</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Geelong Innovation and Investment Fund</w:t>
                  </w:r>
                </w:p>
              </w:tc>
              <w:tc>
                <w:tcPr>
                  <w:tcW w:w="469" w:type="pct"/>
                  <w:vAlign w:val="bottom"/>
                </w:tcPr>
                <w:p w:rsidR="00AC2131" w:rsidRDefault="00AC2131" w:rsidP="00AC2131">
                  <w:pPr>
                    <w:pStyle w:val="TableBodyText"/>
                    <w:spacing w:after="0"/>
                    <w:ind w:left="0" w:right="57"/>
                  </w:pPr>
                  <w:r>
                    <w:t>–</w:t>
                  </w:r>
                </w:p>
              </w:tc>
              <w:tc>
                <w:tcPr>
                  <w:tcW w:w="470" w:type="pct"/>
                  <w:vAlign w:val="bottom"/>
                </w:tcPr>
                <w:p w:rsidR="00AC2131" w:rsidRDefault="00AC2131" w:rsidP="00AC2131">
                  <w:pPr>
                    <w:pStyle w:val="TableBodyText"/>
                    <w:spacing w:after="0"/>
                    <w:ind w:left="0" w:right="57"/>
                  </w:pPr>
                  <w:r>
                    <w:t>7.0</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Illawarra Region Innovation and Investment Fund</w:t>
                  </w:r>
                </w:p>
              </w:tc>
              <w:tc>
                <w:tcPr>
                  <w:tcW w:w="469" w:type="pct"/>
                  <w:vAlign w:val="bottom"/>
                </w:tcPr>
                <w:p w:rsidR="00AC2131" w:rsidRDefault="00AC2131" w:rsidP="00AC2131">
                  <w:pPr>
                    <w:pStyle w:val="TableBodyText"/>
                    <w:spacing w:after="0"/>
                    <w:ind w:left="0" w:right="57"/>
                  </w:pPr>
                  <w:r>
                    <w:t>–</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0.1</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Innovation Investment Fund for South Australia</w:t>
                  </w:r>
                </w:p>
              </w:tc>
              <w:tc>
                <w:tcPr>
                  <w:tcW w:w="469" w:type="pct"/>
                  <w:vAlign w:val="bottom"/>
                </w:tcPr>
                <w:p w:rsidR="00AC2131" w:rsidRDefault="00AC2131" w:rsidP="00AC2131">
                  <w:pPr>
                    <w:pStyle w:val="TableBodyText"/>
                    <w:spacing w:after="0"/>
                    <w:ind w:left="0" w:right="57"/>
                  </w:pPr>
                  <w:r>
                    <w:t>&lt;0.1</w:t>
                  </w:r>
                </w:p>
              </w:tc>
              <w:tc>
                <w:tcPr>
                  <w:tcW w:w="470"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Insulation Industry Assistance Package</w:t>
                  </w:r>
                </w:p>
              </w:tc>
              <w:tc>
                <w:tcPr>
                  <w:tcW w:w="469" w:type="pct"/>
                  <w:vAlign w:val="bottom"/>
                </w:tcPr>
                <w:p w:rsidR="00AC2131" w:rsidRDefault="00AC2131" w:rsidP="00AC2131">
                  <w:pPr>
                    <w:pStyle w:val="TableBodyText"/>
                    <w:spacing w:after="0"/>
                    <w:ind w:left="0" w:right="57"/>
                  </w:pPr>
                  <w:r>
                    <w:t>–</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22.9</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Low Emissions Technology and Abatement Program</w:t>
                  </w:r>
                </w:p>
              </w:tc>
              <w:tc>
                <w:tcPr>
                  <w:tcW w:w="469" w:type="pct"/>
                  <w:vAlign w:val="bottom"/>
                </w:tcPr>
                <w:p w:rsidR="00AC2131" w:rsidRDefault="00AC2131" w:rsidP="00AC2131">
                  <w:pPr>
                    <w:pStyle w:val="TableBodyText"/>
                    <w:spacing w:after="0"/>
                    <w:ind w:left="0" w:right="57"/>
                  </w:pPr>
                  <w:r>
                    <w:t>1.7</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North West and Northern Tasmania Innovation and Investment Fund</w:t>
                  </w:r>
                </w:p>
              </w:tc>
              <w:tc>
                <w:tcPr>
                  <w:tcW w:w="469" w:type="pct"/>
                  <w:vAlign w:val="bottom"/>
                </w:tcPr>
                <w:p w:rsidR="00AC2131" w:rsidRDefault="00AC2131" w:rsidP="00AC2131">
                  <w:pPr>
                    <w:pStyle w:val="TableBodyText"/>
                    <w:spacing w:after="0"/>
                    <w:ind w:left="0" w:right="57"/>
                  </w:pPr>
                  <w:r>
                    <w:t>–</w:t>
                  </w:r>
                </w:p>
              </w:tc>
              <w:tc>
                <w:tcPr>
                  <w:tcW w:w="470" w:type="pct"/>
                  <w:vAlign w:val="bottom"/>
                </w:tcPr>
                <w:p w:rsidR="00AC2131" w:rsidRDefault="00AC2131" w:rsidP="00AC2131">
                  <w:pPr>
                    <w:pStyle w:val="TableBodyText"/>
                    <w:spacing w:after="0"/>
                    <w:ind w:left="0" w:right="57"/>
                  </w:pPr>
                  <w:r>
                    <w:t>&lt;0.1</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Procurement strategy</w:t>
                  </w:r>
                </w:p>
              </w:tc>
              <w:tc>
                <w:tcPr>
                  <w:tcW w:w="469" w:type="pct"/>
                  <w:vAlign w:val="bottom"/>
                </w:tcPr>
                <w:p w:rsidR="00AC2131" w:rsidRDefault="00AC2131" w:rsidP="00AC2131">
                  <w:pPr>
                    <w:pStyle w:val="TableBodyText"/>
                    <w:spacing w:after="0"/>
                    <w:ind w:left="0" w:right="57"/>
                  </w:pPr>
                  <w:r>
                    <w:t>–</w:t>
                  </w:r>
                </w:p>
              </w:tc>
              <w:tc>
                <w:tcPr>
                  <w:tcW w:w="470" w:type="pct"/>
                  <w:vAlign w:val="bottom"/>
                </w:tcPr>
                <w:p w:rsidR="00AC2131" w:rsidRDefault="00AC2131" w:rsidP="00AC2131">
                  <w:pPr>
                    <w:pStyle w:val="TableBodyText"/>
                    <w:spacing w:after="0"/>
                    <w:ind w:left="0" w:right="57"/>
                  </w:pPr>
                  <w:r>
                    <w:t>1.8</w:t>
                  </w:r>
                </w:p>
              </w:tc>
              <w:tc>
                <w:tcPr>
                  <w:tcW w:w="467" w:type="pct"/>
                  <w:vAlign w:val="bottom"/>
                </w:tcPr>
                <w:p w:rsidR="00AC2131" w:rsidRDefault="00AC2131" w:rsidP="00AC2131">
                  <w:pPr>
                    <w:pStyle w:val="TableBodyText"/>
                    <w:spacing w:after="0"/>
                    <w:ind w:left="0" w:right="57"/>
                  </w:pPr>
                  <w:r>
                    <w:t>3.5</w:t>
                  </w:r>
                </w:p>
              </w:tc>
              <w:tc>
                <w:tcPr>
                  <w:tcW w:w="467" w:type="pct"/>
                  <w:vAlign w:val="bottom"/>
                </w:tcPr>
                <w:p w:rsidR="00AC2131" w:rsidRDefault="00AC2131" w:rsidP="00AC2131">
                  <w:pPr>
                    <w:pStyle w:val="TableBodyText"/>
                    <w:spacing w:after="0"/>
                    <w:ind w:left="0" w:right="57"/>
                  </w:pPr>
                  <w:r>
                    <w:t>6.4</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Regional Partnerships Program</w:t>
                  </w:r>
                </w:p>
              </w:tc>
              <w:tc>
                <w:tcPr>
                  <w:tcW w:w="469" w:type="pct"/>
                  <w:vAlign w:val="bottom"/>
                </w:tcPr>
                <w:p w:rsidR="00AC2131" w:rsidRDefault="00AC2131" w:rsidP="00AC2131">
                  <w:pPr>
                    <w:pStyle w:val="TableBodyText"/>
                    <w:spacing w:after="0"/>
                    <w:ind w:left="0" w:right="57"/>
                  </w:pPr>
                  <w:r>
                    <w:t>14.5</w:t>
                  </w:r>
                </w:p>
              </w:tc>
              <w:tc>
                <w:tcPr>
                  <w:tcW w:w="470" w:type="pct"/>
                  <w:vAlign w:val="bottom"/>
                </w:tcPr>
                <w:p w:rsidR="00AC2131" w:rsidRDefault="00AC2131" w:rsidP="00AC2131">
                  <w:pPr>
                    <w:pStyle w:val="TableBodyText"/>
                    <w:spacing w:after="0"/>
                    <w:ind w:left="0" w:right="57"/>
                  </w:pPr>
                  <w:r>
                    <w:t>6.2</w:t>
                  </w:r>
                </w:p>
              </w:tc>
              <w:tc>
                <w:tcPr>
                  <w:tcW w:w="467"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Pr>
                      <w:rFonts w:ascii="Arial" w:hAnsi="Arial" w:cs="Arial"/>
                      <w:color w:val="000000"/>
                      <w:sz w:val="18"/>
                      <w:szCs w:val="18"/>
                    </w:rPr>
                    <w:t>Small Business – Simplified depreciation rules</w:t>
                  </w:r>
                </w:p>
              </w:tc>
              <w:tc>
                <w:tcPr>
                  <w:tcW w:w="469" w:type="pct"/>
                  <w:vAlign w:val="bottom"/>
                </w:tcPr>
                <w:p w:rsidR="00AC2131" w:rsidRDefault="00AC2131" w:rsidP="00AC2131">
                  <w:pPr>
                    <w:pStyle w:val="TableBodyText"/>
                    <w:spacing w:after="0"/>
                    <w:ind w:left="0" w:right="57"/>
                  </w:pPr>
                  <w:r>
                    <w:t>1.6</w:t>
                  </w:r>
                </w:p>
              </w:tc>
              <w:tc>
                <w:tcPr>
                  <w:tcW w:w="470" w:type="pct"/>
                  <w:vAlign w:val="bottom"/>
                </w:tcPr>
                <w:p w:rsidR="00AC2131" w:rsidRDefault="00AC2131" w:rsidP="00AC2131">
                  <w:pPr>
                    <w:pStyle w:val="TableBodyText"/>
                    <w:spacing w:after="0"/>
                    <w:ind w:left="0" w:right="57"/>
                  </w:pPr>
                  <w:r>
                    <w:t>2.1</w:t>
                  </w:r>
                </w:p>
              </w:tc>
              <w:tc>
                <w:tcPr>
                  <w:tcW w:w="467" w:type="pct"/>
                  <w:vAlign w:val="bottom"/>
                </w:tcPr>
                <w:p w:rsidR="00AC2131" w:rsidRDefault="00AC2131" w:rsidP="00AC2131">
                  <w:pPr>
                    <w:pStyle w:val="TableBodyText"/>
                    <w:spacing w:after="0"/>
                    <w:ind w:left="0" w:right="57"/>
                  </w:pPr>
                  <w:r>
                    <w:t>3.5</w:t>
                  </w:r>
                </w:p>
              </w:tc>
              <w:tc>
                <w:tcPr>
                  <w:tcW w:w="467" w:type="pct"/>
                  <w:vAlign w:val="bottom"/>
                </w:tcPr>
                <w:p w:rsidR="00AC2131" w:rsidRDefault="00AC2131" w:rsidP="00AC2131">
                  <w:pPr>
                    <w:pStyle w:val="TableBodyText"/>
                    <w:spacing w:after="0"/>
                    <w:ind w:left="0" w:right="57"/>
                  </w:pPr>
                  <w:r>
                    <w:t>0.3</w:t>
                  </w:r>
                </w:p>
              </w:tc>
              <w:tc>
                <w:tcPr>
                  <w:tcW w:w="467" w:type="pct"/>
                  <w:shd w:val="clear" w:color="auto" w:fill="auto"/>
                  <w:vAlign w:val="bottom"/>
                </w:tcPr>
                <w:p w:rsidR="00AC2131" w:rsidRDefault="00AC2131" w:rsidP="00AC2131">
                  <w:pPr>
                    <w:pStyle w:val="TableBodyText"/>
                    <w:spacing w:after="0"/>
                    <w:ind w:left="0" w:right="57"/>
                  </w:pPr>
                  <w:r>
                    <w:t>-1.1</w:t>
                  </w:r>
                </w:p>
              </w:tc>
              <w:tc>
                <w:tcPr>
                  <w:tcW w:w="458" w:type="pct"/>
                  <w:shd w:val="clear" w:color="auto" w:fill="auto"/>
                  <w:vAlign w:val="bottom"/>
                </w:tcPr>
                <w:p w:rsidR="00AC2131" w:rsidRDefault="00AC2131" w:rsidP="00AC2131">
                  <w:pPr>
                    <w:pStyle w:val="TableBodyText"/>
                    <w:spacing w:after="0"/>
                    <w:ind w:left="0" w:right="57"/>
                  </w:pPr>
                  <w:r>
                    <w:t>38.0</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Small Business Advisory Services Program</w:t>
                  </w:r>
                </w:p>
              </w:tc>
              <w:tc>
                <w:tcPr>
                  <w:tcW w:w="469" w:type="pct"/>
                  <w:vAlign w:val="bottom"/>
                </w:tcPr>
                <w:p w:rsidR="00AC2131" w:rsidRDefault="00AC2131" w:rsidP="00AC2131">
                  <w:pPr>
                    <w:pStyle w:val="TableBodyText"/>
                    <w:spacing w:after="0"/>
                    <w:ind w:left="0" w:right="57"/>
                  </w:pPr>
                  <w:r>
                    <w:t>11.9</w:t>
                  </w:r>
                </w:p>
              </w:tc>
              <w:tc>
                <w:tcPr>
                  <w:tcW w:w="470" w:type="pct"/>
                  <w:vAlign w:val="bottom"/>
                </w:tcPr>
                <w:p w:rsidR="00AC2131" w:rsidRDefault="00AC2131" w:rsidP="00AC2131">
                  <w:pPr>
                    <w:pStyle w:val="TableBodyText"/>
                    <w:spacing w:after="0"/>
                    <w:ind w:left="0" w:right="57"/>
                  </w:pPr>
                  <w:r>
                    <w:t>16.4</w:t>
                  </w:r>
                </w:p>
              </w:tc>
              <w:tc>
                <w:tcPr>
                  <w:tcW w:w="467" w:type="pct"/>
                  <w:vAlign w:val="bottom"/>
                </w:tcPr>
                <w:p w:rsidR="00AC2131" w:rsidRDefault="00AC2131" w:rsidP="00AC2131">
                  <w:pPr>
                    <w:pStyle w:val="TableBodyText"/>
                    <w:spacing w:after="0"/>
                    <w:ind w:left="0" w:right="57"/>
                  </w:pPr>
                  <w:r>
                    <w:t>9.0</w:t>
                  </w:r>
                </w:p>
              </w:tc>
              <w:tc>
                <w:tcPr>
                  <w:tcW w:w="467" w:type="pct"/>
                  <w:vAlign w:val="bottom"/>
                </w:tcPr>
                <w:p w:rsidR="00AC2131" w:rsidRDefault="00AC2131" w:rsidP="00AC2131">
                  <w:pPr>
                    <w:pStyle w:val="TableBodyText"/>
                    <w:spacing w:after="0"/>
                    <w:ind w:left="0" w:right="57"/>
                  </w:pPr>
                  <w:r>
                    <w:t>12.1</w:t>
                  </w:r>
                </w:p>
              </w:tc>
              <w:tc>
                <w:tcPr>
                  <w:tcW w:w="467" w:type="pct"/>
                  <w:shd w:val="clear" w:color="auto" w:fill="auto"/>
                  <w:vAlign w:val="bottom"/>
                </w:tcPr>
                <w:p w:rsidR="00AC2131" w:rsidRDefault="00AC2131" w:rsidP="00AC2131">
                  <w:pPr>
                    <w:pStyle w:val="TableBodyText"/>
                    <w:spacing w:after="0"/>
                    <w:ind w:left="0" w:right="57"/>
                  </w:pPr>
                  <w:r>
                    <w:t>8.0</w:t>
                  </w:r>
                </w:p>
              </w:tc>
              <w:tc>
                <w:tcPr>
                  <w:tcW w:w="458" w:type="pct"/>
                  <w:shd w:val="clear" w:color="auto" w:fill="auto"/>
                  <w:vAlign w:val="bottom"/>
                </w:tcPr>
                <w:p w:rsidR="00AC2131" w:rsidRDefault="00AC2131" w:rsidP="00AC2131">
                  <w:pPr>
                    <w:pStyle w:val="TableBodyText"/>
                    <w:spacing w:after="0"/>
                    <w:ind w:left="0" w:right="57"/>
                  </w:pPr>
                  <w:r>
                    <w:t>7.1</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Pr>
                      <w:rFonts w:ascii="Arial" w:hAnsi="Arial" w:cs="Arial"/>
                      <w:color w:val="000000"/>
                      <w:sz w:val="18"/>
                      <w:szCs w:val="18"/>
                    </w:rPr>
                    <w:t>Small business capital gains tax asset exemption</w:t>
                  </w:r>
                </w:p>
              </w:tc>
              <w:tc>
                <w:tcPr>
                  <w:tcW w:w="469" w:type="pct"/>
                  <w:vAlign w:val="bottom"/>
                </w:tcPr>
                <w:p w:rsidR="00AC2131" w:rsidRDefault="00AC2131" w:rsidP="00AC2131">
                  <w:pPr>
                    <w:pStyle w:val="TableBodyText"/>
                    <w:spacing w:after="0"/>
                    <w:ind w:left="0" w:right="57"/>
                  </w:pPr>
                  <w:r>
                    <w:t>31.2</w:t>
                  </w:r>
                </w:p>
              </w:tc>
              <w:tc>
                <w:tcPr>
                  <w:tcW w:w="470" w:type="pct"/>
                  <w:vAlign w:val="bottom"/>
                </w:tcPr>
                <w:p w:rsidR="00AC2131" w:rsidRDefault="00AC2131" w:rsidP="00AC2131">
                  <w:pPr>
                    <w:pStyle w:val="TableBodyText"/>
                    <w:spacing w:after="0"/>
                    <w:ind w:left="0" w:right="57"/>
                  </w:pPr>
                  <w:r>
                    <w:t>23.0</w:t>
                  </w:r>
                </w:p>
              </w:tc>
              <w:tc>
                <w:tcPr>
                  <w:tcW w:w="467" w:type="pct"/>
                  <w:vAlign w:val="bottom"/>
                </w:tcPr>
                <w:p w:rsidR="00AC2131" w:rsidRDefault="00AC2131" w:rsidP="00AC2131">
                  <w:pPr>
                    <w:pStyle w:val="TableBodyText"/>
                    <w:spacing w:after="0"/>
                    <w:ind w:left="0" w:right="57"/>
                  </w:pPr>
                  <w:r>
                    <w:t>59.1</w:t>
                  </w:r>
                </w:p>
              </w:tc>
              <w:tc>
                <w:tcPr>
                  <w:tcW w:w="467" w:type="pct"/>
                  <w:vAlign w:val="bottom"/>
                </w:tcPr>
                <w:p w:rsidR="00AC2131" w:rsidRDefault="00AC2131" w:rsidP="00AC2131">
                  <w:pPr>
                    <w:pStyle w:val="TableBodyText"/>
                    <w:spacing w:after="0"/>
                    <w:ind w:left="0" w:right="57"/>
                  </w:pPr>
                  <w:r>
                    <w:t>73.2</w:t>
                  </w:r>
                </w:p>
              </w:tc>
              <w:tc>
                <w:tcPr>
                  <w:tcW w:w="467" w:type="pct"/>
                  <w:shd w:val="clear" w:color="auto" w:fill="auto"/>
                  <w:vAlign w:val="bottom"/>
                </w:tcPr>
                <w:p w:rsidR="00AC2131" w:rsidRDefault="00AC2131" w:rsidP="00AC2131">
                  <w:pPr>
                    <w:pStyle w:val="TableBodyText"/>
                    <w:spacing w:after="0"/>
                    <w:ind w:left="0" w:right="57"/>
                  </w:pPr>
                  <w:r>
                    <w:t>76.2</w:t>
                  </w:r>
                </w:p>
              </w:tc>
              <w:tc>
                <w:tcPr>
                  <w:tcW w:w="458" w:type="pct"/>
                  <w:shd w:val="clear" w:color="auto" w:fill="auto"/>
                  <w:vAlign w:val="bottom"/>
                </w:tcPr>
                <w:p w:rsidR="00AC2131" w:rsidRDefault="00AC2131" w:rsidP="00AC2131">
                  <w:pPr>
                    <w:pStyle w:val="TableBodyText"/>
                    <w:spacing w:after="0"/>
                    <w:ind w:left="0" w:right="57"/>
                  </w:pPr>
                  <w:r>
                    <w:t>93.7</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 xml:space="preserve">Small business </w:t>
                  </w:r>
                  <w:r>
                    <w:rPr>
                      <w:rFonts w:ascii="Arial" w:hAnsi="Arial" w:cs="Arial"/>
                      <w:color w:val="000000"/>
                      <w:sz w:val="18"/>
                      <w:szCs w:val="18"/>
                    </w:rPr>
                    <w:t>capital gains tax</w:t>
                  </w:r>
                  <w:r w:rsidRPr="002D55E0">
                    <w:rPr>
                      <w:rFonts w:ascii="Arial" w:hAnsi="Arial" w:cs="Arial"/>
                      <w:color w:val="000000"/>
                      <w:sz w:val="18"/>
                      <w:szCs w:val="18"/>
                    </w:rPr>
                    <w:t xml:space="preserve"> 50 per cent reduction</w:t>
                  </w:r>
                </w:p>
              </w:tc>
              <w:tc>
                <w:tcPr>
                  <w:tcW w:w="469" w:type="pct"/>
                  <w:vAlign w:val="bottom"/>
                </w:tcPr>
                <w:p w:rsidR="00AC2131" w:rsidRDefault="00AC2131" w:rsidP="00AC2131">
                  <w:pPr>
                    <w:pStyle w:val="TableBodyText"/>
                    <w:spacing w:after="0"/>
                    <w:ind w:left="0" w:right="57"/>
                  </w:pPr>
                  <w:r>
                    <w:t>334.7</w:t>
                  </w:r>
                </w:p>
              </w:tc>
              <w:tc>
                <w:tcPr>
                  <w:tcW w:w="470" w:type="pct"/>
                  <w:vAlign w:val="bottom"/>
                </w:tcPr>
                <w:p w:rsidR="00AC2131" w:rsidRDefault="00AC2131" w:rsidP="00AC2131">
                  <w:pPr>
                    <w:pStyle w:val="TableBodyText"/>
                    <w:spacing w:after="0"/>
                    <w:ind w:left="0" w:right="57"/>
                  </w:pPr>
                  <w:r>
                    <w:t>203.7</w:t>
                  </w:r>
                </w:p>
              </w:tc>
              <w:tc>
                <w:tcPr>
                  <w:tcW w:w="467" w:type="pct"/>
                  <w:vAlign w:val="bottom"/>
                </w:tcPr>
                <w:p w:rsidR="00AC2131" w:rsidRDefault="00AC2131" w:rsidP="00AC2131">
                  <w:pPr>
                    <w:pStyle w:val="TableBodyText"/>
                    <w:spacing w:after="0"/>
                    <w:ind w:left="0" w:right="57"/>
                  </w:pPr>
                  <w:r>
                    <w:t>284.5</w:t>
                  </w:r>
                </w:p>
              </w:tc>
              <w:tc>
                <w:tcPr>
                  <w:tcW w:w="467" w:type="pct"/>
                  <w:vAlign w:val="bottom"/>
                </w:tcPr>
                <w:p w:rsidR="00AC2131" w:rsidRDefault="00AC2131" w:rsidP="00AC2131">
                  <w:pPr>
                    <w:pStyle w:val="TableBodyText"/>
                    <w:spacing w:after="0"/>
                    <w:ind w:left="0" w:right="57"/>
                  </w:pPr>
                  <w:r>
                    <w:t>270.7</w:t>
                  </w:r>
                </w:p>
              </w:tc>
              <w:tc>
                <w:tcPr>
                  <w:tcW w:w="467" w:type="pct"/>
                  <w:shd w:val="clear" w:color="auto" w:fill="auto"/>
                  <w:vAlign w:val="bottom"/>
                </w:tcPr>
                <w:p w:rsidR="00AC2131" w:rsidRDefault="00AC2131" w:rsidP="00AC2131">
                  <w:pPr>
                    <w:pStyle w:val="TableBodyText"/>
                    <w:spacing w:after="0"/>
                    <w:ind w:left="0" w:right="57"/>
                  </w:pPr>
                  <w:r>
                    <w:t>280.5</w:t>
                  </w:r>
                </w:p>
              </w:tc>
              <w:tc>
                <w:tcPr>
                  <w:tcW w:w="458" w:type="pct"/>
                  <w:shd w:val="clear" w:color="auto" w:fill="auto"/>
                  <w:vAlign w:val="bottom"/>
                </w:tcPr>
                <w:p w:rsidR="00AC2131" w:rsidRDefault="00AC2131" w:rsidP="00AC2131">
                  <w:pPr>
                    <w:pStyle w:val="TableBodyText"/>
                    <w:spacing w:after="0"/>
                    <w:ind w:left="0" w:right="57"/>
                  </w:pPr>
                  <w:r>
                    <w:t>295.3</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 xml:space="preserve">Small business </w:t>
                  </w:r>
                  <w:r>
                    <w:rPr>
                      <w:rFonts w:ascii="Arial" w:hAnsi="Arial" w:cs="Arial"/>
                      <w:color w:val="000000"/>
                      <w:sz w:val="18"/>
                      <w:szCs w:val="18"/>
                    </w:rPr>
                    <w:t>capital gains tax</w:t>
                  </w:r>
                  <w:r w:rsidRPr="002D55E0">
                    <w:rPr>
                      <w:rFonts w:ascii="Arial" w:hAnsi="Arial" w:cs="Arial"/>
                      <w:color w:val="000000"/>
                      <w:sz w:val="18"/>
                      <w:szCs w:val="18"/>
                    </w:rPr>
                    <w:t xml:space="preserve"> retirement exemption</w:t>
                  </w:r>
                </w:p>
              </w:tc>
              <w:tc>
                <w:tcPr>
                  <w:tcW w:w="469" w:type="pct"/>
                  <w:vAlign w:val="bottom"/>
                </w:tcPr>
                <w:p w:rsidR="00AC2131" w:rsidRDefault="00AC2131" w:rsidP="00AC2131">
                  <w:pPr>
                    <w:pStyle w:val="TableBodyText"/>
                    <w:spacing w:after="0"/>
                    <w:ind w:left="0" w:right="57"/>
                  </w:pPr>
                  <w:r>
                    <w:t>191.7</w:t>
                  </w:r>
                </w:p>
              </w:tc>
              <w:tc>
                <w:tcPr>
                  <w:tcW w:w="470" w:type="pct"/>
                  <w:vAlign w:val="bottom"/>
                </w:tcPr>
                <w:p w:rsidR="00AC2131" w:rsidRDefault="00AC2131" w:rsidP="00AC2131">
                  <w:pPr>
                    <w:pStyle w:val="TableBodyText"/>
                    <w:spacing w:after="0"/>
                    <w:ind w:left="0" w:right="57"/>
                  </w:pPr>
                  <w:r>
                    <w:t>113.5</w:t>
                  </w:r>
                </w:p>
              </w:tc>
              <w:tc>
                <w:tcPr>
                  <w:tcW w:w="467" w:type="pct"/>
                  <w:vAlign w:val="bottom"/>
                </w:tcPr>
                <w:p w:rsidR="00AC2131" w:rsidRDefault="00AC2131" w:rsidP="00AC2131">
                  <w:pPr>
                    <w:pStyle w:val="TableBodyText"/>
                    <w:spacing w:after="0"/>
                    <w:ind w:left="0" w:right="57"/>
                  </w:pPr>
                  <w:r>
                    <w:t>204.3</w:t>
                  </w:r>
                </w:p>
              </w:tc>
              <w:tc>
                <w:tcPr>
                  <w:tcW w:w="467" w:type="pct"/>
                  <w:vAlign w:val="bottom"/>
                </w:tcPr>
                <w:p w:rsidR="00AC2131" w:rsidRDefault="00AC2131" w:rsidP="00AC2131">
                  <w:pPr>
                    <w:pStyle w:val="TableBodyText"/>
                    <w:spacing w:after="0"/>
                    <w:ind w:left="0" w:right="57"/>
                  </w:pPr>
                  <w:r>
                    <w:t>210.6</w:t>
                  </w:r>
                </w:p>
              </w:tc>
              <w:tc>
                <w:tcPr>
                  <w:tcW w:w="467" w:type="pct"/>
                  <w:shd w:val="clear" w:color="auto" w:fill="auto"/>
                  <w:vAlign w:val="bottom"/>
                </w:tcPr>
                <w:p w:rsidR="00AC2131" w:rsidRDefault="00AC2131" w:rsidP="00AC2131">
                  <w:pPr>
                    <w:pStyle w:val="TableBodyText"/>
                    <w:spacing w:after="0"/>
                    <w:ind w:left="0" w:right="57"/>
                  </w:pPr>
                  <w:r>
                    <w:t>210.6</w:t>
                  </w:r>
                </w:p>
              </w:tc>
              <w:tc>
                <w:tcPr>
                  <w:tcW w:w="458" w:type="pct"/>
                  <w:shd w:val="clear" w:color="auto" w:fill="auto"/>
                  <w:vAlign w:val="bottom"/>
                </w:tcPr>
                <w:p w:rsidR="00AC2131" w:rsidRDefault="00AC2131" w:rsidP="00AC2131">
                  <w:pPr>
                    <w:pStyle w:val="TableBodyText"/>
                    <w:spacing w:after="0"/>
                    <w:ind w:left="0" w:right="57"/>
                  </w:pPr>
                  <w:r>
                    <w:t>222.0</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 xml:space="preserve">Small business </w:t>
                  </w:r>
                  <w:r>
                    <w:rPr>
                      <w:rFonts w:ascii="Arial" w:hAnsi="Arial" w:cs="Arial"/>
                      <w:color w:val="000000"/>
                      <w:sz w:val="18"/>
                      <w:szCs w:val="18"/>
                    </w:rPr>
                    <w:t>capital gains tax</w:t>
                  </w:r>
                  <w:r w:rsidRPr="002D55E0">
                    <w:rPr>
                      <w:rFonts w:ascii="Arial" w:hAnsi="Arial" w:cs="Arial"/>
                      <w:color w:val="000000"/>
                      <w:sz w:val="18"/>
                      <w:szCs w:val="18"/>
                    </w:rPr>
                    <w:t xml:space="preserve"> rollover deferral</w:t>
                  </w:r>
                </w:p>
              </w:tc>
              <w:tc>
                <w:tcPr>
                  <w:tcW w:w="469" w:type="pct"/>
                  <w:vAlign w:val="bottom"/>
                </w:tcPr>
                <w:p w:rsidR="00AC2131" w:rsidRDefault="00AC2131" w:rsidP="00AC2131">
                  <w:pPr>
                    <w:pStyle w:val="TableBodyText"/>
                    <w:spacing w:after="0"/>
                    <w:ind w:left="0" w:right="57"/>
                  </w:pPr>
                  <w:r>
                    <w:t>108.4</w:t>
                  </w:r>
                </w:p>
              </w:tc>
              <w:tc>
                <w:tcPr>
                  <w:tcW w:w="470" w:type="pct"/>
                  <w:vAlign w:val="bottom"/>
                </w:tcPr>
                <w:p w:rsidR="00AC2131" w:rsidRDefault="00AC2131" w:rsidP="00AC2131">
                  <w:pPr>
                    <w:pStyle w:val="TableBodyText"/>
                    <w:spacing w:after="0"/>
                    <w:ind w:left="0" w:right="57"/>
                  </w:pPr>
                  <w:r>
                    <w:t>66.1</w:t>
                  </w:r>
                </w:p>
              </w:tc>
              <w:tc>
                <w:tcPr>
                  <w:tcW w:w="467" w:type="pct"/>
                  <w:vAlign w:val="bottom"/>
                </w:tcPr>
                <w:p w:rsidR="00AC2131" w:rsidRDefault="00AC2131" w:rsidP="00AC2131">
                  <w:pPr>
                    <w:pStyle w:val="TableBodyText"/>
                    <w:spacing w:after="0"/>
                    <w:ind w:left="0" w:right="57"/>
                  </w:pPr>
                  <w:r>
                    <w:t>127.5</w:t>
                  </w:r>
                </w:p>
              </w:tc>
              <w:tc>
                <w:tcPr>
                  <w:tcW w:w="467" w:type="pct"/>
                  <w:vAlign w:val="bottom"/>
                </w:tcPr>
                <w:p w:rsidR="00AC2131" w:rsidRDefault="00AC2131" w:rsidP="00AC2131">
                  <w:pPr>
                    <w:pStyle w:val="TableBodyText"/>
                    <w:spacing w:after="0"/>
                    <w:ind w:left="0" w:right="57"/>
                  </w:pPr>
                  <w:r>
                    <w:t>111.4</w:t>
                  </w:r>
                </w:p>
              </w:tc>
              <w:tc>
                <w:tcPr>
                  <w:tcW w:w="467" w:type="pct"/>
                  <w:shd w:val="clear" w:color="auto" w:fill="auto"/>
                  <w:vAlign w:val="bottom"/>
                </w:tcPr>
                <w:p w:rsidR="00AC2131" w:rsidRDefault="00AC2131" w:rsidP="00AC2131">
                  <w:pPr>
                    <w:pStyle w:val="TableBodyText"/>
                    <w:spacing w:after="0"/>
                    <w:ind w:left="0" w:right="57"/>
                  </w:pPr>
                  <w:r>
                    <w:t>131.1</w:t>
                  </w:r>
                </w:p>
              </w:tc>
              <w:tc>
                <w:tcPr>
                  <w:tcW w:w="458" w:type="pct"/>
                  <w:shd w:val="clear" w:color="auto" w:fill="auto"/>
                  <w:vAlign w:val="bottom"/>
                </w:tcPr>
                <w:p w:rsidR="00AC2131" w:rsidRDefault="00AC2131" w:rsidP="00AC2131">
                  <w:pPr>
                    <w:pStyle w:val="TableBodyText"/>
                    <w:spacing w:after="0"/>
                    <w:ind w:left="0" w:right="57"/>
                  </w:pPr>
                  <w:r>
                    <w:t>144.2</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Small business programs</w:t>
                  </w:r>
                </w:p>
              </w:tc>
              <w:tc>
                <w:tcPr>
                  <w:tcW w:w="469" w:type="pct"/>
                  <w:vAlign w:val="bottom"/>
                </w:tcPr>
                <w:p w:rsidR="00AC2131" w:rsidRDefault="00AC2131" w:rsidP="00AC2131">
                  <w:pPr>
                    <w:pStyle w:val="TableBodyText"/>
                    <w:spacing w:after="0"/>
                    <w:ind w:left="0" w:right="57"/>
                  </w:pPr>
                  <w:r>
                    <w:t>0.3</w:t>
                  </w:r>
                </w:p>
              </w:tc>
              <w:tc>
                <w:tcPr>
                  <w:tcW w:w="470" w:type="pct"/>
                  <w:vAlign w:val="bottom"/>
                </w:tcPr>
                <w:p w:rsidR="00AC2131" w:rsidRDefault="00AC2131" w:rsidP="00AC2131">
                  <w:pPr>
                    <w:pStyle w:val="TableBodyText"/>
                    <w:spacing w:after="0"/>
                    <w:ind w:left="0" w:right="57"/>
                  </w:pPr>
                  <w:r>
                    <w:t>0.2</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Small business Support Line</w:t>
                  </w:r>
                </w:p>
              </w:tc>
              <w:tc>
                <w:tcPr>
                  <w:tcW w:w="469" w:type="pct"/>
                  <w:vAlign w:val="bottom"/>
                </w:tcPr>
                <w:p w:rsidR="00AC2131" w:rsidRDefault="00AC2131" w:rsidP="00AC2131">
                  <w:pPr>
                    <w:pStyle w:val="TableBodyText"/>
                    <w:spacing w:after="0"/>
                    <w:ind w:left="0" w:right="57"/>
                  </w:pPr>
                  <w:r>
                    <w:t>–</w:t>
                  </w:r>
                </w:p>
              </w:tc>
              <w:tc>
                <w:tcPr>
                  <w:tcW w:w="470" w:type="pct"/>
                  <w:vAlign w:val="bottom"/>
                </w:tcPr>
                <w:p w:rsidR="00AC2131" w:rsidRDefault="00AC2131" w:rsidP="00AC2131">
                  <w:pPr>
                    <w:pStyle w:val="TableBodyText"/>
                    <w:spacing w:after="0"/>
                    <w:ind w:left="0" w:right="57"/>
                  </w:pPr>
                  <w:r>
                    <w:t>1.3</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Sustainable Regions Programs</w:t>
                  </w:r>
                </w:p>
              </w:tc>
              <w:tc>
                <w:tcPr>
                  <w:tcW w:w="469" w:type="pct"/>
                  <w:vAlign w:val="bottom"/>
                </w:tcPr>
                <w:p w:rsidR="00AC2131" w:rsidRDefault="00AC2131" w:rsidP="00AC2131">
                  <w:pPr>
                    <w:pStyle w:val="TableBodyText"/>
                    <w:spacing w:after="0"/>
                    <w:ind w:left="0" w:right="57"/>
                  </w:pPr>
                  <w:r>
                    <w:t>0.9</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Tasmanian Freight Equalisation Scheme</w:t>
                  </w:r>
                </w:p>
              </w:tc>
              <w:tc>
                <w:tcPr>
                  <w:tcW w:w="469" w:type="pct"/>
                  <w:vAlign w:val="bottom"/>
                </w:tcPr>
                <w:p w:rsidR="00AC2131" w:rsidRDefault="00AC2131" w:rsidP="00AC2131">
                  <w:pPr>
                    <w:pStyle w:val="TableBodyText"/>
                    <w:spacing w:after="0"/>
                    <w:ind w:left="0" w:right="57"/>
                  </w:pPr>
                  <w:r>
                    <w:t>2.5</w:t>
                  </w:r>
                </w:p>
              </w:tc>
              <w:tc>
                <w:tcPr>
                  <w:tcW w:w="470" w:type="pct"/>
                  <w:vAlign w:val="bottom"/>
                </w:tcPr>
                <w:p w:rsidR="00AC2131" w:rsidRDefault="00AC2131" w:rsidP="00AC2131">
                  <w:pPr>
                    <w:pStyle w:val="TableBodyText"/>
                    <w:spacing w:after="0"/>
                    <w:ind w:left="0" w:right="57"/>
                  </w:pPr>
                  <w:r>
                    <w:t>6.6</w:t>
                  </w:r>
                </w:p>
              </w:tc>
              <w:tc>
                <w:tcPr>
                  <w:tcW w:w="467" w:type="pct"/>
                  <w:vAlign w:val="bottom"/>
                </w:tcPr>
                <w:p w:rsidR="00AC2131" w:rsidRDefault="00AC2131" w:rsidP="00AC2131">
                  <w:pPr>
                    <w:pStyle w:val="TableBodyText"/>
                    <w:spacing w:after="0"/>
                    <w:ind w:left="0" w:right="57"/>
                  </w:pPr>
                  <w:r>
                    <w:t>6.6</w:t>
                  </w:r>
                </w:p>
              </w:tc>
              <w:tc>
                <w:tcPr>
                  <w:tcW w:w="467" w:type="pct"/>
                  <w:vAlign w:val="bottom"/>
                </w:tcPr>
                <w:p w:rsidR="00AC2131" w:rsidRDefault="00AC2131" w:rsidP="00AC2131">
                  <w:pPr>
                    <w:pStyle w:val="TableBodyText"/>
                    <w:spacing w:after="0"/>
                    <w:ind w:left="0" w:right="57"/>
                  </w:pPr>
                  <w:r>
                    <w:t>6.3</w:t>
                  </w:r>
                </w:p>
              </w:tc>
              <w:tc>
                <w:tcPr>
                  <w:tcW w:w="467" w:type="pct"/>
                  <w:shd w:val="clear" w:color="auto" w:fill="auto"/>
                  <w:vAlign w:val="bottom"/>
                </w:tcPr>
                <w:p w:rsidR="00AC2131" w:rsidRDefault="00AC2131" w:rsidP="00AC2131">
                  <w:pPr>
                    <w:pStyle w:val="TableBodyText"/>
                    <w:spacing w:after="0"/>
                    <w:ind w:left="0" w:right="57"/>
                  </w:pPr>
                  <w:r>
                    <w:t>7.5</w:t>
                  </w:r>
                </w:p>
              </w:tc>
              <w:tc>
                <w:tcPr>
                  <w:tcW w:w="458" w:type="pct"/>
                  <w:shd w:val="clear" w:color="auto" w:fill="auto"/>
                  <w:vAlign w:val="bottom"/>
                </w:tcPr>
                <w:p w:rsidR="00AC2131" w:rsidRDefault="00AC2131" w:rsidP="00AC2131">
                  <w:pPr>
                    <w:pStyle w:val="TableBodyText"/>
                    <w:spacing w:after="0"/>
                    <w:ind w:left="0" w:right="57"/>
                  </w:pPr>
                  <w:r>
                    <w:t>6.8</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Taxation assistance for victims of Australian natural disasters</w:t>
                  </w:r>
                </w:p>
              </w:tc>
              <w:tc>
                <w:tcPr>
                  <w:tcW w:w="469" w:type="pct"/>
                  <w:vAlign w:val="bottom"/>
                </w:tcPr>
                <w:p w:rsidR="00AC2131" w:rsidRDefault="00AC2131" w:rsidP="00AC2131">
                  <w:pPr>
                    <w:pStyle w:val="TableBodyText"/>
                    <w:spacing w:after="0"/>
                    <w:ind w:left="0" w:right="57"/>
                  </w:pPr>
                  <w:r>
                    <w:t>8.0</w:t>
                  </w:r>
                </w:p>
              </w:tc>
              <w:tc>
                <w:tcPr>
                  <w:tcW w:w="470" w:type="pct"/>
                  <w:vAlign w:val="bottom"/>
                </w:tcPr>
                <w:p w:rsidR="00AC2131" w:rsidRDefault="00AC2131" w:rsidP="00AC2131">
                  <w:pPr>
                    <w:pStyle w:val="TableBodyText"/>
                    <w:spacing w:after="0"/>
                    <w:ind w:left="0" w:right="57"/>
                  </w:pPr>
                  <w:r>
                    <w:t>8.0</w:t>
                  </w:r>
                </w:p>
              </w:tc>
              <w:tc>
                <w:tcPr>
                  <w:tcW w:w="467" w:type="pct"/>
                  <w:vAlign w:val="bottom"/>
                </w:tcPr>
                <w:p w:rsidR="00AC2131" w:rsidRDefault="00AC2131" w:rsidP="00AC2131">
                  <w:pPr>
                    <w:pStyle w:val="TableBodyText"/>
                    <w:spacing w:after="0"/>
                    <w:ind w:left="0" w:right="57"/>
                  </w:pPr>
                  <w:r>
                    <w:t>6.0</w:t>
                  </w:r>
                </w:p>
              </w:tc>
              <w:tc>
                <w:tcPr>
                  <w:tcW w:w="467" w:type="pct"/>
                  <w:vAlign w:val="bottom"/>
                </w:tcPr>
                <w:p w:rsidR="00AC2131" w:rsidRDefault="00AC2131" w:rsidP="00AC2131">
                  <w:pPr>
                    <w:pStyle w:val="TableBodyText"/>
                    <w:spacing w:after="0"/>
                    <w:ind w:left="0" w:right="57"/>
                  </w:pPr>
                  <w:r>
                    <w:t>58.0</w:t>
                  </w:r>
                </w:p>
              </w:tc>
              <w:tc>
                <w:tcPr>
                  <w:tcW w:w="467" w:type="pct"/>
                  <w:shd w:val="clear" w:color="auto" w:fill="auto"/>
                  <w:vAlign w:val="bottom"/>
                </w:tcPr>
                <w:p w:rsidR="00AC2131" w:rsidRDefault="00AC2131" w:rsidP="00AC2131">
                  <w:pPr>
                    <w:pStyle w:val="TableBodyText"/>
                    <w:spacing w:after="0"/>
                    <w:ind w:left="0" w:right="57"/>
                  </w:pPr>
                  <w:r>
                    <w:t>31.0</w:t>
                  </w:r>
                </w:p>
              </w:tc>
              <w:tc>
                <w:tcPr>
                  <w:tcW w:w="458" w:type="pct"/>
                  <w:shd w:val="clear" w:color="auto" w:fill="auto"/>
                  <w:vAlign w:val="bottom"/>
                </w:tcPr>
                <w:p w:rsidR="00AC2131" w:rsidRDefault="00AC2131" w:rsidP="00AC2131">
                  <w:pPr>
                    <w:pStyle w:val="TableBodyText"/>
                    <w:spacing w:after="0"/>
                    <w:ind w:left="0" w:right="57"/>
                  </w:pPr>
                  <w:r>
                    <w:t>10.0</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 xml:space="preserve">TCF </w:t>
                  </w:r>
                  <w:r>
                    <w:rPr>
                      <w:rFonts w:ascii="Arial" w:hAnsi="Arial" w:cs="Arial"/>
                      <w:color w:val="000000"/>
                      <w:sz w:val="18"/>
                      <w:szCs w:val="18"/>
                    </w:rPr>
                    <w:t>C</w:t>
                  </w:r>
                  <w:r w:rsidRPr="002D55E0">
                    <w:rPr>
                      <w:rFonts w:ascii="Arial" w:hAnsi="Arial" w:cs="Arial"/>
                      <w:color w:val="000000"/>
                      <w:sz w:val="18"/>
                      <w:szCs w:val="18"/>
                    </w:rPr>
                    <w:t xml:space="preserve">orporate </w:t>
                  </w:r>
                  <w:r>
                    <w:rPr>
                      <w:rFonts w:ascii="Arial" w:hAnsi="Arial" w:cs="Arial"/>
                      <w:color w:val="000000"/>
                      <w:sz w:val="18"/>
                      <w:szCs w:val="18"/>
                    </w:rPr>
                    <w:t>W</w:t>
                  </w:r>
                  <w:r w:rsidRPr="002D55E0">
                    <w:rPr>
                      <w:rFonts w:ascii="Arial" w:hAnsi="Arial" w:cs="Arial"/>
                      <w:color w:val="000000"/>
                      <w:sz w:val="18"/>
                      <w:szCs w:val="18"/>
                    </w:rPr>
                    <w:t xml:space="preserve">ear </w:t>
                  </w:r>
                  <w:r>
                    <w:rPr>
                      <w:rFonts w:ascii="Arial" w:hAnsi="Arial" w:cs="Arial"/>
                      <w:color w:val="000000"/>
                      <w:sz w:val="18"/>
                      <w:szCs w:val="18"/>
                    </w:rPr>
                    <w:t>P</w:t>
                  </w:r>
                  <w:r w:rsidRPr="002D55E0">
                    <w:rPr>
                      <w:rFonts w:ascii="Arial" w:hAnsi="Arial" w:cs="Arial"/>
                      <w:color w:val="000000"/>
                      <w:sz w:val="18"/>
                      <w:szCs w:val="18"/>
                    </w:rPr>
                    <w:t>rogram</w:t>
                  </w:r>
                </w:p>
              </w:tc>
              <w:tc>
                <w:tcPr>
                  <w:tcW w:w="469" w:type="pct"/>
                  <w:vAlign w:val="bottom"/>
                </w:tcPr>
                <w:p w:rsidR="00AC2131" w:rsidRDefault="00AC2131" w:rsidP="00AC2131">
                  <w:pPr>
                    <w:pStyle w:val="TableBodyText"/>
                    <w:spacing w:after="0"/>
                    <w:ind w:left="0" w:right="57"/>
                  </w:pPr>
                  <w:r>
                    <w:t>74.1</w:t>
                  </w:r>
                </w:p>
              </w:tc>
              <w:tc>
                <w:tcPr>
                  <w:tcW w:w="470" w:type="pct"/>
                  <w:vAlign w:val="bottom"/>
                </w:tcPr>
                <w:p w:rsidR="00AC2131" w:rsidRDefault="00AC2131" w:rsidP="00AC2131">
                  <w:pPr>
                    <w:pStyle w:val="TableBodyText"/>
                    <w:spacing w:after="0"/>
                    <w:ind w:left="0" w:right="57"/>
                  </w:pPr>
                  <w:r>
                    <w:t>93.1</w:t>
                  </w:r>
                </w:p>
              </w:tc>
              <w:tc>
                <w:tcPr>
                  <w:tcW w:w="467" w:type="pct"/>
                  <w:vAlign w:val="bottom"/>
                </w:tcPr>
                <w:p w:rsidR="00AC2131" w:rsidRDefault="00AC2131" w:rsidP="00AC2131">
                  <w:pPr>
                    <w:pStyle w:val="TableBodyText"/>
                    <w:spacing w:after="0"/>
                    <w:ind w:left="0" w:right="57"/>
                  </w:pPr>
                  <w:r>
                    <w:t>85.4</w:t>
                  </w:r>
                </w:p>
              </w:tc>
              <w:tc>
                <w:tcPr>
                  <w:tcW w:w="467" w:type="pct"/>
                  <w:vAlign w:val="bottom"/>
                </w:tcPr>
                <w:p w:rsidR="00AC2131" w:rsidRDefault="00AC2131" w:rsidP="00AC2131">
                  <w:pPr>
                    <w:pStyle w:val="TableBodyText"/>
                    <w:spacing w:after="0"/>
                    <w:ind w:left="0" w:right="57"/>
                  </w:pPr>
                  <w:r>
                    <w:t>85.4</w:t>
                  </w:r>
                </w:p>
              </w:tc>
              <w:tc>
                <w:tcPr>
                  <w:tcW w:w="467" w:type="pct"/>
                  <w:shd w:val="clear" w:color="auto" w:fill="auto"/>
                  <w:vAlign w:val="bottom"/>
                </w:tcPr>
                <w:p w:rsidR="00AC2131" w:rsidRDefault="00AC2131" w:rsidP="00AC2131">
                  <w:pPr>
                    <w:pStyle w:val="TableBodyText"/>
                    <w:spacing w:after="0"/>
                    <w:ind w:left="0" w:right="57"/>
                  </w:pPr>
                  <w:r>
                    <w:t>85.4</w:t>
                  </w:r>
                </w:p>
              </w:tc>
              <w:tc>
                <w:tcPr>
                  <w:tcW w:w="458" w:type="pct"/>
                  <w:shd w:val="clear" w:color="auto" w:fill="auto"/>
                  <w:vAlign w:val="bottom"/>
                </w:tcPr>
                <w:p w:rsidR="00AC2131" w:rsidRDefault="00AC2131" w:rsidP="00AC2131">
                  <w:pPr>
                    <w:pStyle w:val="TableBodyText"/>
                    <w:spacing w:after="0"/>
                    <w:ind w:left="0" w:right="57"/>
                  </w:pPr>
                  <w:r>
                    <w:t>85.4</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Temporary Assistance for Tasmanian Exporters</w:t>
                  </w:r>
                </w:p>
              </w:tc>
              <w:tc>
                <w:tcPr>
                  <w:tcW w:w="469" w:type="pct"/>
                  <w:vAlign w:val="bottom"/>
                </w:tcPr>
                <w:p w:rsidR="00AC2131" w:rsidRDefault="00AC2131" w:rsidP="00AC2131">
                  <w:pPr>
                    <w:pStyle w:val="TableBodyText"/>
                    <w:spacing w:after="0"/>
                    <w:ind w:left="0" w:right="57"/>
                  </w:pPr>
                  <w:r>
                    <w:t>–</w:t>
                  </w:r>
                </w:p>
              </w:tc>
              <w:tc>
                <w:tcPr>
                  <w:tcW w:w="470"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w:t>
                  </w:r>
                </w:p>
              </w:tc>
              <w:tc>
                <w:tcPr>
                  <w:tcW w:w="467" w:type="pct"/>
                  <w:vAlign w:val="bottom"/>
                </w:tcPr>
                <w:p w:rsidR="00AC2131" w:rsidRDefault="00AC2131" w:rsidP="00AC2131">
                  <w:pPr>
                    <w:pStyle w:val="TableBodyText"/>
                    <w:spacing w:after="0"/>
                    <w:ind w:left="0" w:right="57"/>
                  </w:pPr>
                  <w:r>
                    <w:t>0.9</w:t>
                  </w:r>
                </w:p>
              </w:tc>
              <w:tc>
                <w:tcPr>
                  <w:tcW w:w="467" w:type="pct"/>
                  <w:shd w:val="clear" w:color="auto" w:fill="auto"/>
                  <w:vAlign w:val="bottom"/>
                </w:tcPr>
                <w:p w:rsidR="00AC2131" w:rsidRDefault="00AC2131" w:rsidP="00AC2131">
                  <w:pPr>
                    <w:pStyle w:val="TableBodyText"/>
                    <w:spacing w:after="0"/>
                    <w:ind w:left="0" w:right="57"/>
                  </w:pPr>
                  <w:r>
                    <w:t>–</w:t>
                  </w:r>
                </w:p>
              </w:tc>
              <w:tc>
                <w:tcPr>
                  <w:tcW w:w="458" w:type="pct"/>
                  <w:shd w:val="clear" w:color="auto" w:fill="auto"/>
                  <w:vAlign w:val="bottom"/>
                </w:tcPr>
                <w:p w:rsidR="00AC2131" w:rsidRDefault="00AC2131" w:rsidP="00AC2131">
                  <w:pPr>
                    <w:pStyle w:val="TableBodyText"/>
                    <w:spacing w:after="0"/>
                    <w:ind w:left="0" w:right="57"/>
                  </w:pPr>
                  <w:r>
                    <w:t>–</w:t>
                  </w:r>
                </w:p>
              </w:tc>
            </w:tr>
            <w:tr w:rsidR="00AC2131" w:rsidTr="00AC2131">
              <w:tc>
                <w:tcPr>
                  <w:tcW w:w="2202" w:type="pct"/>
                  <w:shd w:val="clear" w:color="auto" w:fill="auto"/>
                  <w:vAlign w:val="bottom"/>
                </w:tcPr>
                <w:p w:rsidR="00AC2131" w:rsidRPr="002D55E0" w:rsidRDefault="00AC2131" w:rsidP="00AC2131">
                  <w:pPr>
                    <w:ind w:left="227"/>
                    <w:rPr>
                      <w:rFonts w:ascii="Arial" w:hAnsi="Arial" w:cs="Arial"/>
                      <w:color w:val="000000"/>
                      <w:sz w:val="18"/>
                      <w:szCs w:val="18"/>
                    </w:rPr>
                  </w:pPr>
                  <w:r w:rsidRPr="002D55E0">
                    <w:rPr>
                      <w:rFonts w:ascii="Arial" w:hAnsi="Arial" w:cs="Arial"/>
                      <w:color w:val="000000"/>
                      <w:sz w:val="18"/>
                      <w:szCs w:val="18"/>
                    </w:rPr>
                    <w:t>The Small Business and General Business Tax Break</w:t>
                  </w:r>
                </w:p>
              </w:tc>
              <w:tc>
                <w:tcPr>
                  <w:tcW w:w="469" w:type="pct"/>
                  <w:vAlign w:val="bottom"/>
                </w:tcPr>
                <w:p w:rsidR="00AC2131" w:rsidRDefault="00AC2131" w:rsidP="00AC2131">
                  <w:pPr>
                    <w:pStyle w:val="TableBodyText"/>
                    <w:spacing w:after="0"/>
                    <w:ind w:left="0" w:right="57"/>
                  </w:pPr>
                  <w:r>
                    <w:t>–</w:t>
                  </w:r>
                </w:p>
              </w:tc>
              <w:tc>
                <w:tcPr>
                  <w:tcW w:w="470" w:type="pct"/>
                  <w:vAlign w:val="bottom"/>
                </w:tcPr>
                <w:p w:rsidR="00AC2131" w:rsidRDefault="00AC2131" w:rsidP="00AC2131">
                  <w:pPr>
                    <w:pStyle w:val="TableBodyText"/>
                    <w:spacing w:after="0"/>
                    <w:ind w:left="0" w:right="57"/>
                  </w:pPr>
                  <w:r>
                    <w:t>34.5</w:t>
                  </w:r>
                </w:p>
              </w:tc>
              <w:tc>
                <w:tcPr>
                  <w:tcW w:w="467" w:type="pct"/>
                  <w:vAlign w:val="bottom"/>
                </w:tcPr>
                <w:p w:rsidR="00AC2131" w:rsidRDefault="00AC2131" w:rsidP="00AC2131">
                  <w:pPr>
                    <w:pStyle w:val="TableBodyText"/>
                    <w:spacing w:after="0"/>
                    <w:ind w:left="0" w:right="57"/>
                  </w:pPr>
                  <w:r>
                    <w:t>2.0</w:t>
                  </w:r>
                </w:p>
              </w:tc>
              <w:tc>
                <w:tcPr>
                  <w:tcW w:w="467" w:type="pct"/>
                  <w:vAlign w:val="bottom"/>
                </w:tcPr>
                <w:p w:rsidR="00AC2131" w:rsidRDefault="00AC2131" w:rsidP="00AC2131">
                  <w:pPr>
                    <w:pStyle w:val="TableBodyText"/>
                    <w:spacing w:after="0"/>
                    <w:ind w:left="0" w:right="57"/>
                  </w:pPr>
                  <w:r>
                    <w:t>21.8</w:t>
                  </w:r>
                </w:p>
              </w:tc>
              <w:tc>
                <w:tcPr>
                  <w:tcW w:w="467" w:type="pct"/>
                  <w:shd w:val="clear" w:color="auto" w:fill="auto"/>
                  <w:vAlign w:val="bottom"/>
                </w:tcPr>
                <w:p w:rsidR="00AC2131" w:rsidRDefault="00AC2131" w:rsidP="00AC2131">
                  <w:pPr>
                    <w:pStyle w:val="TableBodyText"/>
                    <w:spacing w:after="0"/>
                    <w:ind w:left="0" w:right="57"/>
                  </w:pPr>
                  <w:r>
                    <w:t>7.6</w:t>
                  </w:r>
                </w:p>
              </w:tc>
              <w:tc>
                <w:tcPr>
                  <w:tcW w:w="458" w:type="pct"/>
                  <w:shd w:val="clear" w:color="auto" w:fill="auto"/>
                  <w:vAlign w:val="bottom"/>
                </w:tcPr>
                <w:p w:rsidR="00AC2131" w:rsidRDefault="00AC2131" w:rsidP="00AC2131">
                  <w:pPr>
                    <w:pStyle w:val="TableBodyText"/>
                    <w:spacing w:after="0"/>
                    <w:ind w:left="0" w:right="57"/>
                  </w:pPr>
                  <w:r>
                    <w:t>0.9</w:t>
                  </w:r>
                </w:p>
              </w:tc>
            </w:tr>
            <w:tr w:rsidR="00AC2131" w:rsidTr="00AC2131">
              <w:tc>
                <w:tcPr>
                  <w:tcW w:w="2202" w:type="pct"/>
                  <w:shd w:val="clear" w:color="auto" w:fill="auto"/>
                  <w:vAlign w:val="bottom"/>
                </w:tcPr>
                <w:p w:rsidR="00AC2131" w:rsidRPr="002207C9" w:rsidRDefault="00AC2131" w:rsidP="00AC2131">
                  <w:pPr>
                    <w:spacing w:before="80" w:after="40"/>
                    <w:rPr>
                      <w:rFonts w:ascii="Arial" w:hAnsi="Arial" w:cs="Arial"/>
                      <w:b/>
                      <w:color w:val="000000"/>
                      <w:sz w:val="18"/>
                      <w:szCs w:val="18"/>
                    </w:rPr>
                  </w:pPr>
                  <w:r w:rsidRPr="002207C9">
                    <w:rPr>
                      <w:rFonts w:ascii="Arial" w:hAnsi="Arial" w:cs="Arial"/>
                      <w:b/>
                      <w:color w:val="000000"/>
                      <w:sz w:val="18"/>
                      <w:szCs w:val="18"/>
                    </w:rPr>
                    <w:t>Total outlays</w:t>
                  </w:r>
                </w:p>
              </w:tc>
              <w:tc>
                <w:tcPr>
                  <w:tcW w:w="469" w:type="pct"/>
                  <w:vAlign w:val="bottom"/>
                </w:tcPr>
                <w:p w:rsidR="00AC2131" w:rsidRPr="00744591" w:rsidRDefault="00AC2131" w:rsidP="00AC2131">
                  <w:pPr>
                    <w:pStyle w:val="TableBodyText"/>
                    <w:spacing w:before="80"/>
                    <w:ind w:left="0" w:right="57"/>
                    <w:rPr>
                      <w:b/>
                    </w:rPr>
                  </w:pPr>
                  <w:r w:rsidRPr="00744591">
                    <w:rPr>
                      <w:b/>
                    </w:rPr>
                    <w:t>195.2</w:t>
                  </w:r>
                </w:p>
              </w:tc>
              <w:tc>
                <w:tcPr>
                  <w:tcW w:w="470" w:type="pct"/>
                  <w:vAlign w:val="bottom"/>
                </w:tcPr>
                <w:p w:rsidR="00AC2131" w:rsidRPr="00744591" w:rsidRDefault="00AC2131" w:rsidP="00AC2131">
                  <w:pPr>
                    <w:pStyle w:val="TableBodyText"/>
                    <w:spacing w:before="80"/>
                    <w:ind w:left="0" w:right="57"/>
                    <w:rPr>
                      <w:b/>
                    </w:rPr>
                  </w:pPr>
                  <w:r w:rsidRPr="00744591">
                    <w:rPr>
                      <w:b/>
                    </w:rPr>
                    <w:t>293.4</w:t>
                  </w:r>
                </w:p>
              </w:tc>
              <w:tc>
                <w:tcPr>
                  <w:tcW w:w="467" w:type="pct"/>
                  <w:vAlign w:val="bottom"/>
                </w:tcPr>
                <w:p w:rsidR="00AC2131" w:rsidRPr="00744591" w:rsidRDefault="00AC2131" w:rsidP="00AC2131">
                  <w:pPr>
                    <w:pStyle w:val="TableBodyText"/>
                    <w:spacing w:before="80"/>
                    <w:ind w:left="0" w:right="57"/>
                    <w:rPr>
                      <w:b/>
                    </w:rPr>
                  </w:pPr>
                  <w:r w:rsidRPr="00744591">
                    <w:rPr>
                      <w:b/>
                    </w:rPr>
                    <w:t>303.8</w:t>
                  </w:r>
                </w:p>
              </w:tc>
              <w:tc>
                <w:tcPr>
                  <w:tcW w:w="467" w:type="pct"/>
                  <w:vAlign w:val="bottom"/>
                </w:tcPr>
                <w:p w:rsidR="00AC2131" w:rsidRPr="00744591" w:rsidRDefault="00AC2131" w:rsidP="00AC2131">
                  <w:pPr>
                    <w:pStyle w:val="TableBodyText"/>
                    <w:spacing w:before="80"/>
                    <w:ind w:left="0" w:right="57"/>
                    <w:rPr>
                      <w:b/>
                    </w:rPr>
                  </w:pPr>
                  <w:r w:rsidRPr="00744591">
                    <w:rPr>
                      <w:b/>
                    </w:rPr>
                    <w:t>329.7</w:t>
                  </w:r>
                </w:p>
              </w:tc>
              <w:tc>
                <w:tcPr>
                  <w:tcW w:w="467" w:type="pct"/>
                  <w:shd w:val="clear" w:color="auto" w:fill="auto"/>
                  <w:vAlign w:val="bottom"/>
                </w:tcPr>
                <w:p w:rsidR="00AC2131" w:rsidRPr="00744591" w:rsidRDefault="00AC2131" w:rsidP="00AC2131">
                  <w:pPr>
                    <w:pStyle w:val="TableBodyText"/>
                    <w:spacing w:before="80"/>
                    <w:ind w:left="0" w:right="57"/>
                    <w:rPr>
                      <w:b/>
                    </w:rPr>
                  </w:pPr>
                  <w:r w:rsidRPr="00744591">
                    <w:rPr>
                      <w:b/>
                    </w:rPr>
                    <w:t>281.2</w:t>
                  </w:r>
                </w:p>
              </w:tc>
              <w:tc>
                <w:tcPr>
                  <w:tcW w:w="458" w:type="pct"/>
                  <w:shd w:val="clear" w:color="auto" w:fill="auto"/>
                  <w:vAlign w:val="bottom"/>
                </w:tcPr>
                <w:p w:rsidR="00AC2131" w:rsidRPr="00744591" w:rsidRDefault="00AC2131" w:rsidP="00AC2131">
                  <w:pPr>
                    <w:pStyle w:val="TableBodyText"/>
                    <w:spacing w:before="80"/>
                    <w:ind w:left="0" w:right="57"/>
                    <w:rPr>
                      <w:b/>
                    </w:rPr>
                  </w:pPr>
                  <w:r w:rsidRPr="00744591">
                    <w:rPr>
                      <w:b/>
                    </w:rPr>
                    <w:t>437.4</w:t>
                  </w:r>
                </w:p>
              </w:tc>
            </w:tr>
            <w:tr w:rsidR="00AC2131" w:rsidTr="00AC2131">
              <w:tc>
                <w:tcPr>
                  <w:tcW w:w="2202" w:type="pct"/>
                  <w:shd w:val="clear" w:color="auto" w:fill="auto"/>
                  <w:vAlign w:val="bottom"/>
                </w:tcPr>
                <w:p w:rsidR="00AC2131" w:rsidRPr="002207C9" w:rsidRDefault="00AC2131" w:rsidP="00AC2131">
                  <w:pPr>
                    <w:spacing w:before="80" w:after="40"/>
                    <w:rPr>
                      <w:rFonts w:ascii="Arial" w:hAnsi="Arial" w:cs="Arial"/>
                      <w:b/>
                      <w:color w:val="000000"/>
                      <w:sz w:val="18"/>
                      <w:szCs w:val="18"/>
                    </w:rPr>
                  </w:pPr>
                  <w:r w:rsidRPr="002207C9">
                    <w:rPr>
                      <w:rFonts w:ascii="Arial" w:hAnsi="Arial" w:cs="Arial"/>
                      <w:b/>
                      <w:color w:val="000000"/>
                      <w:sz w:val="18"/>
                      <w:szCs w:val="18"/>
                    </w:rPr>
                    <w:t>Total tax concessions</w:t>
                  </w:r>
                </w:p>
              </w:tc>
              <w:tc>
                <w:tcPr>
                  <w:tcW w:w="469" w:type="pct"/>
                  <w:vAlign w:val="bottom"/>
                </w:tcPr>
                <w:p w:rsidR="00AC2131" w:rsidRPr="00744591" w:rsidRDefault="00AC2131" w:rsidP="00AC2131">
                  <w:pPr>
                    <w:pStyle w:val="TableBodyText"/>
                    <w:spacing w:before="80"/>
                    <w:ind w:left="0" w:right="57"/>
                    <w:rPr>
                      <w:b/>
                    </w:rPr>
                  </w:pPr>
                  <w:r w:rsidRPr="00744591">
                    <w:rPr>
                      <w:b/>
                    </w:rPr>
                    <w:t>654.6</w:t>
                  </w:r>
                </w:p>
              </w:tc>
              <w:tc>
                <w:tcPr>
                  <w:tcW w:w="470" w:type="pct"/>
                  <w:vAlign w:val="bottom"/>
                </w:tcPr>
                <w:p w:rsidR="00AC2131" w:rsidRPr="00744591" w:rsidRDefault="00AC2131" w:rsidP="00AC2131">
                  <w:pPr>
                    <w:pStyle w:val="TableBodyText"/>
                    <w:spacing w:before="80"/>
                    <w:ind w:left="0" w:right="57"/>
                    <w:rPr>
                      <w:b/>
                    </w:rPr>
                  </w:pPr>
                  <w:r w:rsidRPr="00744591">
                    <w:rPr>
                      <w:b/>
                    </w:rPr>
                    <w:t>428.4</w:t>
                  </w:r>
                </w:p>
              </w:tc>
              <w:tc>
                <w:tcPr>
                  <w:tcW w:w="467" w:type="pct"/>
                  <w:vAlign w:val="bottom"/>
                </w:tcPr>
                <w:p w:rsidR="00AC2131" w:rsidRPr="00744591" w:rsidRDefault="00AC2131" w:rsidP="00AC2131">
                  <w:pPr>
                    <w:pStyle w:val="TableBodyText"/>
                    <w:spacing w:before="80"/>
                    <w:ind w:left="0" w:right="57"/>
                    <w:rPr>
                      <w:b/>
                    </w:rPr>
                  </w:pPr>
                  <w:r w:rsidRPr="00744591">
                    <w:rPr>
                      <w:b/>
                    </w:rPr>
                    <w:t>625.3</w:t>
                  </w:r>
                </w:p>
              </w:tc>
              <w:tc>
                <w:tcPr>
                  <w:tcW w:w="467" w:type="pct"/>
                  <w:vAlign w:val="bottom"/>
                </w:tcPr>
                <w:p w:rsidR="00AC2131" w:rsidRPr="00744591" w:rsidRDefault="00AC2131" w:rsidP="00AC2131">
                  <w:pPr>
                    <w:pStyle w:val="TableBodyText"/>
                    <w:spacing w:before="80"/>
                    <w:ind w:left="0" w:right="57"/>
                    <w:rPr>
                      <w:b/>
                    </w:rPr>
                  </w:pPr>
                  <w:r w:rsidRPr="00744591">
                    <w:rPr>
                      <w:b/>
                    </w:rPr>
                    <w:t>632.5</w:t>
                  </w:r>
                </w:p>
              </w:tc>
              <w:tc>
                <w:tcPr>
                  <w:tcW w:w="467" w:type="pct"/>
                  <w:shd w:val="clear" w:color="auto" w:fill="auto"/>
                  <w:vAlign w:val="bottom"/>
                </w:tcPr>
                <w:p w:rsidR="00AC2131" w:rsidRPr="00744591" w:rsidRDefault="00AC2131" w:rsidP="00AC2131">
                  <w:pPr>
                    <w:pStyle w:val="TableBodyText"/>
                    <w:spacing w:before="80"/>
                    <w:ind w:left="0" w:right="57"/>
                    <w:rPr>
                      <w:b/>
                    </w:rPr>
                  </w:pPr>
                  <w:r w:rsidRPr="00744591">
                    <w:rPr>
                      <w:b/>
                    </w:rPr>
                    <w:t>489.1</w:t>
                  </w:r>
                </w:p>
              </w:tc>
              <w:tc>
                <w:tcPr>
                  <w:tcW w:w="458" w:type="pct"/>
                  <w:shd w:val="clear" w:color="auto" w:fill="auto"/>
                  <w:vAlign w:val="bottom"/>
                </w:tcPr>
                <w:p w:rsidR="00AC2131" w:rsidRPr="00744591" w:rsidRDefault="00AC2131" w:rsidP="00AC2131">
                  <w:pPr>
                    <w:pStyle w:val="TableBodyText"/>
                    <w:spacing w:before="80"/>
                    <w:ind w:left="0" w:right="57"/>
                    <w:rPr>
                      <w:b/>
                    </w:rPr>
                  </w:pPr>
                  <w:r w:rsidRPr="00744591">
                    <w:rPr>
                      <w:b/>
                    </w:rPr>
                    <w:t>773.5</w:t>
                  </w:r>
                </w:p>
              </w:tc>
            </w:tr>
            <w:tr w:rsidR="00AC2131" w:rsidTr="00AC2131">
              <w:tc>
                <w:tcPr>
                  <w:tcW w:w="2202" w:type="pct"/>
                  <w:tcBorders>
                    <w:bottom w:val="single" w:sz="6" w:space="0" w:color="BFBFBF"/>
                  </w:tcBorders>
                  <w:shd w:val="clear" w:color="auto" w:fill="auto"/>
                </w:tcPr>
                <w:p w:rsidR="00AC2131" w:rsidRPr="002B0D0D" w:rsidRDefault="00AC2131" w:rsidP="00AC2131">
                  <w:pPr>
                    <w:spacing w:before="80" w:after="40"/>
                    <w:rPr>
                      <w:rFonts w:ascii="Arial" w:hAnsi="Arial" w:cs="Arial"/>
                      <w:b/>
                      <w:sz w:val="18"/>
                      <w:szCs w:val="18"/>
                    </w:rPr>
                  </w:pPr>
                  <w:r w:rsidRPr="002B0D0D">
                    <w:rPr>
                      <w:rFonts w:ascii="Arial" w:hAnsi="Arial" w:cs="Arial"/>
                      <w:b/>
                      <w:sz w:val="18"/>
                      <w:szCs w:val="18"/>
                    </w:rPr>
                    <w:t>Total budgetary assistance</w:t>
                  </w:r>
                </w:p>
              </w:tc>
              <w:tc>
                <w:tcPr>
                  <w:tcW w:w="469" w:type="pct"/>
                  <w:tcBorders>
                    <w:bottom w:val="single" w:sz="6" w:space="0" w:color="BFBFBF"/>
                  </w:tcBorders>
                  <w:vAlign w:val="bottom"/>
                </w:tcPr>
                <w:p w:rsidR="00AC2131" w:rsidRPr="00744591" w:rsidRDefault="00AC2131" w:rsidP="00AC2131">
                  <w:pPr>
                    <w:pStyle w:val="TableBodyText"/>
                    <w:spacing w:before="80"/>
                    <w:ind w:left="0" w:right="57"/>
                    <w:rPr>
                      <w:b/>
                    </w:rPr>
                  </w:pPr>
                  <w:r w:rsidRPr="00744591">
                    <w:rPr>
                      <w:b/>
                    </w:rPr>
                    <w:t>849.8</w:t>
                  </w:r>
                </w:p>
              </w:tc>
              <w:tc>
                <w:tcPr>
                  <w:tcW w:w="470" w:type="pct"/>
                  <w:tcBorders>
                    <w:bottom w:val="single" w:sz="6" w:space="0" w:color="BFBFBF"/>
                  </w:tcBorders>
                  <w:vAlign w:val="bottom"/>
                </w:tcPr>
                <w:p w:rsidR="00AC2131" w:rsidRPr="00744591" w:rsidRDefault="00AC2131" w:rsidP="00AC2131">
                  <w:pPr>
                    <w:pStyle w:val="TableBodyText"/>
                    <w:spacing w:before="80"/>
                    <w:ind w:left="0" w:right="57"/>
                    <w:rPr>
                      <w:b/>
                    </w:rPr>
                  </w:pPr>
                  <w:r w:rsidRPr="00744591">
                    <w:rPr>
                      <w:b/>
                    </w:rPr>
                    <w:t>721.8</w:t>
                  </w:r>
                </w:p>
              </w:tc>
              <w:tc>
                <w:tcPr>
                  <w:tcW w:w="467" w:type="pct"/>
                  <w:tcBorders>
                    <w:bottom w:val="single" w:sz="6" w:space="0" w:color="BFBFBF"/>
                  </w:tcBorders>
                  <w:vAlign w:val="bottom"/>
                </w:tcPr>
                <w:p w:rsidR="00AC2131" w:rsidRPr="00744591" w:rsidRDefault="00AC2131" w:rsidP="00AC2131">
                  <w:pPr>
                    <w:pStyle w:val="TableBodyText"/>
                    <w:spacing w:before="80"/>
                    <w:ind w:left="0" w:right="57"/>
                    <w:rPr>
                      <w:b/>
                    </w:rPr>
                  </w:pPr>
                  <w:r w:rsidRPr="00744591">
                    <w:rPr>
                      <w:b/>
                    </w:rPr>
                    <w:t>929.1</w:t>
                  </w:r>
                </w:p>
              </w:tc>
              <w:tc>
                <w:tcPr>
                  <w:tcW w:w="467" w:type="pct"/>
                  <w:tcBorders>
                    <w:bottom w:val="single" w:sz="6" w:space="0" w:color="BFBFBF"/>
                  </w:tcBorders>
                  <w:vAlign w:val="bottom"/>
                </w:tcPr>
                <w:p w:rsidR="00AC2131" w:rsidRPr="00744591" w:rsidRDefault="00AC2131" w:rsidP="00AC2131">
                  <w:pPr>
                    <w:pStyle w:val="TableBodyText"/>
                    <w:spacing w:before="80"/>
                    <w:ind w:left="0" w:right="57"/>
                    <w:rPr>
                      <w:b/>
                    </w:rPr>
                  </w:pPr>
                  <w:r w:rsidRPr="00744591">
                    <w:rPr>
                      <w:b/>
                    </w:rPr>
                    <w:t>962.2</w:t>
                  </w:r>
                </w:p>
              </w:tc>
              <w:tc>
                <w:tcPr>
                  <w:tcW w:w="467" w:type="pct"/>
                  <w:tcBorders>
                    <w:bottom w:val="single" w:sz="6" w:space="0" w:color="BFBFBF"/>
                  </w:tcBorders>
                  <w:shd w:val="clear" w:color="auto" w:fill="auto"/>
                  <w:vAlign w:val="bottom"/>
                </w:tcPr>
                <w:p w:rsidR="00AC2131" w:rsidRPr="00744591" w:rsidRDefault="00AC2131" w:rsidP="00AC2131">
                  <w:pPr>
                    <w:pStyle w:val="TableBodyText"/>
                    <w:spacing w:before="80"/>
                    <w:ind w:left="0" w:right="57"/>
                    <w:rPr>
                      <w:b/>
                    </w:rPr>
                  </w:pPr>
                  <w:r w:rsidRPr="00744591">
                    <w:rPr>
                      <w:b/>
                    </w:rPr>
                    <w:t>770.3</w:t>
                  </w:r>
                </w:p>
              </w:tc>
              <w:tc>
                <w:tcPr>
                  <w:tcW w:w="458" w:type="pct"/>
                  <w:tcBorders>
                    <w:bottom w:val="single" w:sz="6" w:space="0" w:color="BFBFBF"/>
                  </w:tcBorders>
                  <w:shd w:val="clear" w:color="auto" w:fill="auto"/>
                  <w:vAlign w:val="bottom"/>
                </w:tcPr>
                <w:p w:rsidR="00AC2131" w:rsidRPr="00744591" w:rsidRDefault="00AC2131" w:rsidP="00AC2131">
                  <w:pPr>
                    <w:pStyle w:val="TableBodyText"/>
                    <w:spacing w:before="80"/>
                    <w:ind w:left="0" w:right="57"/>
                    <w:rPr>
                      <w:b/>
                    </w:rPr>
                  </w:pPr>
                  <w:r w:rsidRPr="00744591">
                    <w:rPr>
                      <w:b/>
                    </w:rPr>
                    <w:t>1211.0</w:t>
                  </w:r>
                </w:p>
              </w:tc>
            </w:tr>
          </w:tbl>
          <w:p w:rsidR="00AC2131" w:rsidRDefault="00AC2131" w:rsidP="00AC2131">
            <w:pPr>
              <w:pStyle w:val="Box"/>
            </w:pPr>
          </w:p>
        </w:tc>
      </w:tr>
      <w:tr w:rsidR="00AC2131" w:rsidTr="00AC2131">
        <w:trPr>
          <w:cantSplit/>
        </w:trPr>
        <w:tc>
          <w:tcPr>
            <w:tcW w:w="8787" w:type="dxa"/>
            <w:tcBorders>
              <w:top w:val="nil"/>
              <w:left w:val="nil"/>
              <w:bottom w:val="nil"/>
              <w:right w:val="nil"/>
            </w:tcBorders>
            <w:shd w:val="clear" w:color="auto" w:fill="auto"/>
          </w:tcPr>
          <w:p w:rsidR="00AC2131" w:rsidRDefault="00AC2131" w:rsidP="00AC2131">
            <w:pPr>
              <w:pStyle w:val="Note"/>
              <w:rPr>
                <w:i/>
              </w:rPr>
            </w:pPr>
            <w:r w:rsidRPr="00215193">
              <w:t>– Nil. Figures may not add to totals due to rounding</w:t>
            </w:r>
            <w:r>
              <w:t xml:space="preserve">. </w:t>
            </w:r>
            <w:r w:rsidRPr="008E77FE">
              <w:rPr>
                <w:rStyle w:val="NoteLabel"/>
              </w:rPr>
              <w:t>a</w:t>
            </w:r>
            <w:r>
              <w:t> </w:t>
            </w:r>
            <w:r w:rsidRPr="00215193">
              <w:t>The estimates are derived primarily from Australian Government departmental annual reports and Treasury’s Tax Expenditure Statements and unpublished information provided by relevant agencies.</w:t>
            </w:r>
            <w:r>
              <w:t xml:space="preserve"> </w:t>
            </w:r>
            <w:r>
              <w:rPr>
                <w:rStyle w:val="NoteLabel"/>
              </w:rPr>
              <w:t>b</w:t>
            </w:r>
            <w:r>
              <w:t> </w:t>
            </w:r>
            <w:r w:rsidRPr="00215193">
              <w:t>Includes programs or amounts of funding where the initial benefiting industry is not stated and/or has not been ascertained.</w:t>
            </w:r>
          </w:p>
        </w:tc>
      </w:tr>
      <w:tr w:rsidR="00AC2131" w:rsidTr="00AC2131">
        <w:trPr>
          <w:cantSplit/>
        </w:trPr>
        <w:tc>
          <w:tcPr>
            <w:tcW w:w="8787"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Commission estimates.</w:t>
            </w:r>
          </w:p>
        </w:tc>
      </w:tr>
      <w:tr w:rsidR="00AC2131" w:rsidTr="00AC2131">
        <w:trPr>
          <w:cantSplit/>
        </w:trPr>
        <w:tc>
          <w:tcPr>
            <w:tcW w:w="8787"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87"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p>
    <w:p w:rsidR="00AC2131" w:rsidRDefault="00AC2131" w:rsidP="00AC2131">
      <w:pPr>
        <w:sectPr w:rsidR="00AC2131" w:rsidSect="00AC2131">
          <w:headerReference w:type="even" r:id="rId80"/>
          <w:headerReference w:type="default" r:id="rId81"/>
          <w:footerReference w:type="even" r:id="rId82"/>
          <w:footerReference w:type="default" r:id="rId83"/>
          <w:type w:val="oddPage"/>
          <w:pgSz w:w="11907" w:h="16840" w:code="9"/>
          <w:pgMar w:top="1985" w:right="1304" w:bottom="1247" w:left="1814" w:header="1701" w:footer="397" w:gutter="0"/>
          <w:pgNumType w:chapSep="period"/>
          <w:cols w:space="720"/>
          <w:docGrid w:linePitch="326"/>
        </w:sectPr>
      </w:pPr>
    </w:p>
    <w:p w:rsidR="00AC2131" w:rsidRDefault="00AC2131" w:rsidP="00AC2131">
      <w:pPr>
        <w:pStyle w:val="Heading1"/>
      </w:pPr>
      <w:r>
        <w:t>B</w:t>
      </w:r>
      <w:r>
        <w:tab/>
        <w:t>Emerging patterns of production and trade</w:t>
      </w:r>
    </w:p>
    <w:p w:rsidR="00AC2131" w:rsidRDefault="00AC2131" w:rsidP="00AC2131">
      <w:pPr>
        <w:pStyle w:val="BodyText"/>
      </w:pPr>
      <w:r>
        <w:t xml:space="preserve">This appendix supports chapter 2. It provides information on global production, trade, global values chains and factor income distribution in manufacturing.  </w:t>
      </w:r>
    </w:p>
    <w:p w:rsidR="00AC2131" w:rsidRDefault="00AC2131" w:rsidP="00AC2131">
      <w:pPr>
        <w:pStyle w:val="BodyText"/>
      </w:pPr>
      <w:r>
        <w:t xml:space="preserve">The level and distribution of global economic activity has important implications for international trade and investment. Generally, as countries grow and per capita incomes rise, so do the number and complexity of international trade and investment linkages. </w:t>
      </w:r>
    </w:p>
    <w:p w:rsidR="00AC2131" w:rsidRDefault="00AC2131" w:rsidP="00AC2131">
      <w:pPr>
        <w:pStyle w:val="Heading2"/>
      </w:pPr>
      <w:r>
        <w:t>B.</w:t>
      </w:r>
      <w:r>
        <w:rPr>
          <w:noProof/>
        </w:rPr>
        <w:t>1</w:t>
      </w:r>
      <w:r>
        <w:tab/>
        <w:t>Production</w:t>
      </w:r>
    </w:p>
    <w:p w:rsidR="00AC2131" w:rsidRPr="006D326E" w:rsidRDefault="00AC2131" w:rsidP="00AC2131">
      <w:pPr>
        <w:pStyle w:val="BodyText"/>
        <w:rPr>
          <w:spacing w:val="-4"/>
        </w:rPr>
      </w:pPr>
      <w:r w:rsidRPr="006D326E">
        <w:rPr>
          <w:spacing w:val="-4"/>
        </w:rPr>
        <w:t>The rapid economic development of East and South Asia over recent decades has seen measured output increase more than sevenfold since 1980 and the relative contribution of the economies in the region to the global economy grow substantially — from 16 per cent of global production in 1980 to around 28 per cent by 2012 (World Bank 2015). Over the same period, while the level of production by the developed economies of Europe and North America increased fivefold, their share declined. The relatively slow growth of the Japanese economy over the last two decades has seen its share fall too, particularly after 1995.</w:t>
      </w:r>
    </w:p>
    <w:p w:rsidR="00AC2131" w:rsidRDefault="00AC2131" w:rsidP="00AC2131">
      <w:pPr>
        <w:pStyle w:val="BodyText"/>
      </w:pPr>
      <w:r>
        <w:t xml:space="preserve">The economic performance of some East Asian economies has been particularly pronounced. For example, the share of global production of China, South Korea and ASEAN combined has </w:t>
      </w:r>
      <w:r w:rsidRPr="00B04574">
        <w:t>quadrupled</w:t>
      </w:r>
      <w:r>
        <w:t xml:space="preserve"> since 1980, with most of the increase occurring since the early 1990s (figure B.1).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rPr>
                <w:rStyle w:val="NoteLabel"/>
                <w:sz w:val="24"/>
              </w:rPr>
            </w:pPr>
            <w:r w:rsidRPr="00784A05">
              <w:rPr>
                <w:b w:val="0"/>
              </w:rPr>
              <w:t xml:space="preserve">Figure </w:t>
            </w:r>
            <w:r>
              <w:rPr>
                <w:b w:val="0"/>
              </w:rPr>
              <w:t>B.</w:t>
            </w:r>
            <w:r>
              <w:rPr>
                <w:b w:val="0"/>
                <w:noProof/>
              </w:rPr>
              <w:t>1</w:t>
            </w:r>
            <w:r>
              <w:tab/>
            </w:r>
            <w:r w:rsidRPr="00BE3FDC">
              <w:t xml:space="preserve">The increasing contributions to global </w:t>
            </w:r>
            <w:r w:rsidRPr="009E3FF8">
              <w:t>production of China, South Korea and ASEAN, 1980 to 20</w:t>
            </w:r>
            <w:r>
              <w:t>12</w:t>
            </w:r>
            <w:r w:rsidRPr="003E3D21">
              <w:rPr>
                <w:rStyle w:val="NoteLabel"/>
                <w:b/>
              </w:rPr>
              <w:t>a</w:t>
            </w:r>
          </w:p>
          <w:p w:rsidR="00AC2131" w:rsidRPr="001A737D" w:rsidRDefault="00AC2131" w:rsidP="00AC2131">
            <w:pPr>
              <w:pStyle w:val="Subtitle"/>
            </w:pPr>
            <w:r>
              <w:t>per cent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5FBBE5CC" wp14:editId="466BB60D">
                        <wp:extent cx="5400675" cy="2876550"/>
                        <wp:effectExtent l="0" t="0" r="9525" b="0"/>
                        <wp:docPr id="34" name="Picture 34" descr="Figure B.1 outlines the increasing contributions to global production of China, South Korea and ASEAN from 1980 to 2012.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Note"/>
            </w:pPr>
            <w:r w:rsidRPr="00742EBB">
              <w:rPr>
                <w:b/>
                <w:position w:val="6"/>
                <w:szCs w:val="24"/>
              </w:rPr>
              <w:t>a</w:t>
            </w:r>
            <w:r w:rsidRPr="00742EBB">
              <w:rPr>
                <w:rFonts w:ascii="Times New Roman" w:hAnsi="Times New Roman"/>
                <w:sz w:val="24"/>
                <w:szCs w:val="24"/>
              </w:rPr>
              <w:t xml:space="preserve"> </w:t>
            </w:r>
            <w:r w:rsidRPr="00742EBB">
              <w:rPr>
                <w:szCs w:val="24"/>
              </w:rPr>
              <w:t>Formed in 1967, ASEAN originally comprise</w:t>
            </w:r>
            <w:r>
              <w:rPr>
                <w:szCs w:val="24"/>
              </w:rPr>
              <w:t>d</w:t>
            </w:r>
            <w:r w:rsidRPr="00742EBB">
              <w:rPr>
                <w:szCs w:val="24"/>
              </w:rPr>
              <w:t>: Indonesia, Malaysia, Philippines, Singapore</w:t>
            </w:r>
            <w:r>
              <w:rPr>
                <w:szCs w:val="24"/>
              </w:rPr>
              <w:t>,</w:t>
            </w:r>
            <w:r w:rsidRPr="00742EBB">
              <w:rPr>
                <w:szCs w:val="24"/>
              </w:rPr>
              <w:t xml:space="preserve"> Thailand, Brunei, Vietnam, Laos, Burma (Myanmar) and Cambodia.</w:t>
            </w: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World Bank (2015).</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Accompanying this economic growth has been an increase in gross domestic product (GDP) per capita. Data from the World Bank show that per capita incomes in the East Asia and Pacific region have increased more than seven fold in constant US dollar terms since 1980 (World Bank 2015). As their economies grow and develop, the economic structure of countries also changes. The demand for services tends to increase faster than per capita incomes. Accordingly, the share of services in global production has increased over the last few decades, with a corresponding decline in the relative shares of agriculture, and mining and manufacturing (figure B.2).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B22F23">
              <w:rPr>
                <w:b w:val="0"/>
              </w:rPr>
              <w:t xml:space="preserve">Figure </w:t>
            </w:r>
            <w:r>
              <w:rPr>
                <w:b w:val="0"/>
              </w:rPr>
              <w:t>B.</w:t>
            </w:r>
            <w:r>
              <w:rPr>
                <w:b w:val="0"/>
                <w:noProof/>
              </w:rPr>
              <w:t>2</w:t>
            </w:r>
            <w:r>
              <w:tab/>
            </w:r>
            <w:r w:rsidRPr="006E7028">
              <w:t>Value added by broad sector as a proportion of global production, 1980, 199</w:t>
            </w:r>
            <w:r>
              <w:t>6</w:t>
            </w:r>
            <w:r w:rsidRPr="006E7028">
              <w:t xml:space="preserve"> and 20</w:t>
            </w:r>
            <w:r>
              <w:t>12</w:t>
            </w:r>
            <w:r w:rsidRPr="003E3D21">
              <w:rPr>
                <w:rStyle w:val="NoteLabel"/>
                <w:b/>
              </w:rPr>
              <w:t>a</w:t>
            </w:r>
          </w:p>
          <w:p w:rsidR="00AC2131" w:rsidRPr="00176D3F" w:rsidRDefault="00AC2131" w:rsidP="00AC2131">
            <w:pPr>
              <w:pStyle w:val="Subtitle"/>
            </w:pPr>
            <w:r>
              <w:t>per cent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2D33DCA0" wp14:editId="39A3C00A">
                        <wp:extent cx="5400675" cy="2876550"/>
                        <wp:effectExtent l="0" t="0" r="9525" b="0"/>
                        <wp:docPr id="35" name="Picture 35" descr="Figure B.2 presents value added by broad sector as a proportion of global production in 1980, 1996 and 2012.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Default="00AC2131" w:rsidP="00AC2131">
            <w:pPr>
              <w:pStyle w:val="Source"/>
              <w:rPr>
                <w:i/>
              </w:rPr>
            </w:pPr>
            <w:r w:rsidRPr="00742EBB">
              <w:rPr>
                <w:b/>
                <w:position w:val="6"/>
                <w:szCs w:val="24"/>
              </w:rPr>
              <w:t>a</w:t>
            </w:r>
            <w:r w:rsidRPr="00742EBB">
              <w:rPr>
                <w:rFonts w:ascii="Times New Roman" w:hAnsi="Times New Roman"/>
                <w:sz w:val="24"/>
                <w:szCs w:val="24"/>
              </w:rPr>
              <w:t xml:space="preserve"> </w:t>
            </w:r>
            <w:r>
              <w:rPr>
                <w:szCs w:val="24"/>
              </w:rPr>
              <w:t>2015 World Bank dataset for this series does not cover years prior to 1995, data from these years are obtained from a 2010 World Bank dataset.</w:t>
            </w: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World Bank (2010 and 2015).</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The propensity for services to expand in relative importance has, nevertheless, varied across economies. For example, in ‘high income’ countries, the percentage of value-added by the services sector grew from an average of around 60 per cent in 1980 to over 70 per cent in 2012. In the fast growing East Asia and Pacific region, the contribution of services to value-added increased from an average of approaching 50 per cent to around 65 per cent over the same period (World Bank 2010 and 2015). </w:t>
      </w:r>
    </w:p>
    <w:p w:rsidR="00AC2131" w:rsidRDefault="00AC2131" w:rsidP="00AC2131">
      <w:pPr>
        <w:pStyle w:val="Heading2"/>
      </w:pPr>
      <w:r>
        <w:t>B.</w:t>
      </w:r>
      <w:r>
        <w:rPr>
          <w:noProof/>
        </w:rPr>
        <w:t>2</w:t>
      </w:r>
      <w:r>
        <w:tab/>
      </w:r>
      <w:r w:rsidRPr="00CE4461">
        <w:t>Trade</w:t>
      </w:r>
    </w:p>
    <w:p w:rsidR="00AC2131" w:rsidRPr="000D042A" w:rsidRDefault="00AC2131" w:rsidP="00AC2131">
      <w:pPr>
        <w:pStyle w:val="BodyText"/>
        <w:spacing w:line="318" w:lineRule="atLeast"/>
      </w:pPr>
      <w:r>
        <w:t xml:space="preserve">With economic growth being accompanied by changes in the structure of economies, trade patterns have also changed in response to shifts in comparative advantage between countries. </w:t>
      </w:r>
    </w:p>
    <w:p w:rsidR="00AC2131" w:rsidRDefault="00AC2131" w:rsidP="00AC2131">
      <w:pPr>
        <w:pStyle w:val="BodyText"/>
      </w:pPr>
      <w:r>
        <w:t>World merchandise trade in the last three decades has grown much faster than world output for most of this period (WTO 2013). World trade (exports plus imports) has grown about twice as fast as output since the 1980s (figure B.3).</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B.</w:t>
            </w:r>
            <w:r>
              <w:rPr>
                <w:b w:val="0"/>
                <w:noProof/>
              </w:rPr>
              <w:t>3</w:t>
            </w:r>
            <w:r>
              <w:tab/>
              <w:t>Merchandise trade has grown much faster than output,</w:t>
            </w:r>
            <w:r>
              <w:br/>
              <w:t>1980 to 2010</w:t>
            </w:r>
          </w:p>
          <w:p w:rsidR="00AC2131" w:rsidRPr="001A737D" w:rsidRDefault="00AC2131" w:rsidP="00AC2131">
            <w:pPr>
              <w:pStyle w:val="Subtitle"/>
            </w:pPr>
            <w:r>
              <w:t>percentage change</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RPr="005E1D02" w:rsidTr="00AC2131">
                    <w:trPr>
                      <w:jc w:val="center"/>
                    </w:trPr>
                    <w:tc>
                      <w:tcPr>
                        <w:tcW w:w="5000" w:type="pct"/>
                        <w:tcBorders>
                          <w:top w:val="nil"/>
                          <w:bottom w:val="nil"/>
                        </w:tcBorders>
                      </w:tcPr>
                      <w:p w:rsidR="00AC2131" w:rsidRPr="005E1D02" w:rsidRDefault="00AC2131" w:rsidP="00AC2131">
                        <w:pPr>
                          <w:pStyle w:val="Figure"/>
                          <w:spacing w:before="60" w:after="60"/>
                        </w:pPr>
                        <w:r>
                          <w:rPr>
                            <w:noProof/>
                          </w:rPr>
                          <w:drawing>
                            <wp:inline distT="0" distB="0" distL="0" distR="0" wp14:anchorId="5A0B1846" wp14:editId="76AF0AB2">
                              <wp:extent cx="5400675" cy="2876550"/>
                              <wp:effectExtent l="0" t="0" r="9525" b="0"/>
                              <wp:docPr id="321" name="Picture 321" descr="Figure B.3 outlines how merchandise trade has grown much faster than output from 1980 to 2010. The figure compares GDP growth rate and merchandise trade volume growth in five year blocks beginning 1980 to 1985. Merchandise trade grew faster than output from 1985 to 2000. The growth gap was smaller from 2000 to 2010. More details can be found within the text immediately surrounding this image.&#1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C2131" w:rsidRDefault="00AC2131" w:rsidP="00AC2131">
                  <w:pPr>
                    <w:pStyle w:val="Figure"/>
                    <w:spacing w:before="60" w:after="60"/>
                  </w:pP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WTO (2013).</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One of the most important changes in trade patterns in recent years has been the increased share of developing economies in world trade and the corresponding decline in the share of developed economies (figure B.4).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rPr>
                <w:rStyle w:val="NoteLabel"/>
              </w:rPr>
            </w:pPr>
            <w:r w:rsidRPr="00784A05">
              <w:rPr>
                <w:b w:val="0"/>
              </w:rPr>
              <w:t>Figure</w:t>
            </w:r>
            <w:r>
              <w:rPr>
                <w:b w:val="0"/>
              </w:rPr>
              <w:t xml:space="preserve"> B.</w:t>
            </w:r>
            <w:r>
              <w:rPr>
                <w:b w:val="0"/>
                <w:noProof/>
              </w:rPr>
              <w:t>4</w:t>
            </w:r>
            <w:r>
              <w:tab/>
              <w:t xml:space="preserve">The emergence of Asia in merchandise exports, </w:t>
            </w:r>
            <w:r>
              <w:br/>
              <w:t>1983 and 2013</w:t>
            </w:r>
            <w:r w:rsidRPr="005478B4">
              <w:rPr>
                <w:rStyle w:val="NoteLabel"/>
              </w:rPr>
              <w:t>a</w:t>
            </w:r>
          </w:p>
          <w:p w:rsidR="00AC2131" w:rsidRPr="00DC6971" w:rsidRDefault="00AC2131" w:rsidP="00AC2131">
            <w:pPr>
              <w:pStyle w:val="Subtitle"/>
            </w:pPr>
            <w:r>
              <w:t>per cent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Default="00AC2131" w:rsidP="00AC2131">
                  <w:pPr>
                    <w:pStyle w:val="Figure"/>
                    <w:spacing w:before="60" w:after="60"/>
                  </w:pPr>
                  <w:r>
                    <w:rPr>
                      <w:noProof/>
                    </w:rPr>
                    <w:drawing>
                      <wp:inline distT="0" distB="0" distL="0" distR="0" wp14:anchorId="343A43A1" wp14:editId="3A413FCB">
                        <wp:extent cx="5257800" cy="2809875"/>
                        <wp:effectExtent l="0" t="0" r="0" b="9525"/>
                        <wp:docPr id="36" name="Picture 36" descr="Figure B.4 presents the emergence of Asia in merchandise exports from 1983 to 2013.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Note"/>
            </w:pPr>
            <w:r>
              <w:rPr>
                <w:rStyle w:val="NoteLabel"/>
              </w:rPr>
              <w:t>a</w:t>
            </w:r>
            <w:r>
              <w:t xml:space="preserve"> Data are not available for CIS for 1983. Official membership of CIS comprises </w:t>
            </w:r>
            <w:r w:rsidRPr="009E2C4A">
              <w:rPr>
                <w:lang w:val="en"/>
              </w:rPr>
              <w:t>Armenia</w:t>
            </w:r>
            <w:r w:rsidRPr="00D77999">
              <w:rPr>
                <w:color w:val="000000"/>
                <w:lang w:val="en"/>
              </w:rPr>
              <w:t xml:space="preserve">, </w:t>
            </w:r>
            <w:r w:rsidRPr="009E2C4A">
              <w:rPr>
                <w:lang w:val="en"/>
              </w:rPr>
              <w:t>Azerbaijan</w:t>
            </w:r>
            <w:r w:rsidRPr="00D77999">
              <w:rPr>
                <w:color w:val="000000"/>
                <w:lang w:val="en"/>
              </w:rPr>
              <w:t xml:space="preserve">, </w:t>
            </w:r>
            <w:r>
              <w:rPr>
                <w:color w:val="000000"/>
                <w:lang w:val="en"/>
              </w:rPr>
              <w:t xml:space="preserve">Belarus, </w:t>
            </w:r>
            <w:r w:rsidRPr="009E2C4A">
              <w:rPr>
                <w:lang w:val="en"/>
              </w:rPr>
              <w:t>Kazakhstan</w:t>
            </w:r>
            <w:r w:rsidRPr="00D77999">
              <w:rPr>
                <w:color w:val="000000"/>
                <w:lang w:val="en"/>
              </w:rPr>
              <w:t xml:space="preserve">, </w:t>
            </w:r>
            <w:r w:rsidRPr="005478B4">
              <w:t>Kyrgyz</w:t>
            </w:r>
            <w:r w:rsidRPr="00A0418E">
              <w:rPr>
                <w:lang w:val="en"/>
              </w:rPr>
              <w:t xml:space="preserve"> </w:t>
            </w:r>
            <w:r>
              <w:rPr>
                <w:lang w:val="en"/>
              </w:rPr>
              <w:t>Republic</w:t>
            </w:r>
            <w:r w:rsidRPr="00D77999">
              <w:rPr>
                <w:color w:val="000000"/>
                <w:lang w:val="en"/>
              </w:rPr>
              <w:t xml:space="preserve">, </w:t>
            </w:r>
            <w:r w:rsidRPr="009E2C4A">
              <w:rPr>
                <w:lang w:val="en"/>
              </w:rPr>
              <w:t>Moldova</w:t>
            </w:r>
            <w:r>
              <w:rPr>
                <w:color w:val="000000"/>
                <w:lang w:val="en"/>
              </w:rPr>
              <w:t xml:space="preserve">, Russian Federation, </w:t>
            </w:r>
            <w:r w:rsidRPr="009E2C4A">
              <w:rPr>
                <w:lang w:val="en"/>
              </w:rPr>
              <w:t>Tajikistan</w:t>
            </w:r>
            <w:r>
              <w:rPr>
                <w:color w:val="000000"/>
                <w:lang w:val="en"/>
              </w:rPr>
              <w:t xml:space="preserve"> </w:t>
            </w:r>
            <w:r w:rsidRPr="00D77999">
              <w:rPr>
                <w:color w:val="000000"/>
                <w:lang w:val="en"/>
              </w:rPr>
              <w:t xml:space="preserve">and </w:t>
            </w:r>
            <w:r w:rsidRPr="009E2C4A">
              <w:rPr>
                <w:lang w:val="en"/>
              </w:rPr>
              <w:t>Uzbekistan</w:t>
            </w:r>
            <w:r>
              <w:rPr>
                <w:color w:val="000000"/>
                <w:lang w:val="en"/>
              </w:rPr>
              <w:t xml:space="preserve">, with Turkmenistan an unofficial associate member and Ukraine a participating state. Georgia is not a member of CIS but is included in this group. </w:t>
            </w:r>
            <w:r w:rsidRPr="00066320">
              <w:rPr>
                <w:b/>
                <w:sz w:val="24"/>
                <w:szCs w:val="24"/>
                <w:vertAlign w:val="superscript"/>
              </w:rPr>
              <w:t>b</w:t>
            </w:r>
            <w:r>
              <w:t xml:space="preserve"> Data for Europe includes intra-European Union trade. </w:t>
            </w: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WTO (2014a).</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Another aspect of the changing country composition of trade is the degree to which trade that occurs within and between groups of countries. The share of global trade between developed countries declined from 56 per cent in 1990</w:t>
      </w:r>
      <w:r>
        <w:rPr>
          <w:rStyle w:val="FootnoteReference"/>
        </w:rPr>
        <w:footnoteReference w:id="60"/>
      </w:r>
      <w:r>
        <w:t xml:space="preserve"> to 36 per cent in 2011 (WTO 2013). Trade between developing/emerging economies increased from 8 per cent to 24 per cent of global trade over the same period. </w:t>
      </w:r>
    </w:p>
    <w:p w:rsidR="00AC2131" w:rsidRDefault="00AC2131" w:rsidP="00AC2131">
      <w:pPr>
        <w:pStyle w:val="BodyText"/>
      </w:pPr>
      <w:r>
        <w:t xml:space="preserve">Just as the relative importance of countries in international trade has shifted over time, so has the mix of traded goods and services. In terms of goods (that is, merchandise trade), the share of manufactures in world merchandise trade rose from about half of global trade in 1980 to over 60 per cent in 2011, with most of the share increase occurring pre-1990 (figure B.5). The share of agricultural products had fallen to under 10 per cent of global merchandise trade by 2011, from around 15 per cent in 1980.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B.</w:t>
            </w:r>
            <w:r>
              <w:rPr>
                <w:b w:val="0"/>
                <w:noProof/>
              </w:rPr>
              <w:t>5</w:t>
            </w:r>
            <w:r>
              <w:tab/>
              <w:t>The share of merchandise trade by sector, 1980 to 2011</w:t>
            </w:r>
          </w:p>
          <w:p w:rsidR="00AC2131" w:rsidRPr="00176D3F" w:rsidRDefault="00AC2131" w:rsidP="00AC2131">
            <w:pPr>
              <w:pStyle w:val="Subtitle"/>
            </w:pPr>
            <w:r>
              <w:t>per cent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Default="00AC2131" w:rsidP="00AC2131">
                  <w:pPr>
                    <w:pStyle w:val="Figure"/>
                    <w:spacing w:before="60" w:after="60"/>
                  </w:pPr>
                  <w:r w:rsidRPr="00E6069D">
                    <w:rPr>
                      <w:b/>
                      <w:bCs/>
                      <w:noProof/>
                    </w:rPr>
                    <w:drawing>
                      <wp:inline distT="0" distB="0" distL="0" distR="0" wp14:anchorId="74393372" wp14:editId="5177A169">
                        <wp:extent cx="5257800" cy="2809875"/>
                        <wp:effectExtent l="0" t="0" r="0" b="9525"/>
                        <wp:docPr id="37" name="Picture 37" descr="Figure B.5 presents the share of merchandise trade by sector from 1980 to 2011.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WTO (2013).</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While services have increased in proportion to global production, the direct contribution of commercial services to global trade has also increased — from around 16 per cent in 1980 to around 19 per cent in 2011 (WTO 2013). Over the same period, there have been changes in the composition of services trade, with communications and computer services and banking and insurance services increasing their share of total services trade, while the share of traditional transport services, associated with the movement of merchandise, has declined (figure B.6). While the direct contribution of global services trade has increased and the composition of that trade has changed, most services produced are used in domestic final demand (consumption and investment) or as intermediate inputs to the supply of other goods and services — a topic that is taken up in the next section.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rPr>
                <w:rStyle w:val="NoteLabel"/>
              </w:rPr>
            </w:pPr>
            <w:r w:rsidRPr="00784A05">
              <w:rPr>
                <w:b w:val="0"/>
              </w:rPr>
              <w:t xml:space="preserve">Figure </w:t>
            </w:r>
            <w:r>
              <w:rPr>
                <w:b w:val="0"/>
              </w:rPr>
              <w:t>B.</w:t>
            </w:r>
            <w:r>
              <w:rPr>
                <w:b w:val="0"/>
                <w:noProof/>
              </w:rPr>
              <w:t>6</w:t>
            </w:r>
            <w:r>
              <w:tab/>
            </w:r>
            <w:r w:rsidRPr="002049C7">
              <w:t>The changing composition of services trade, 1980 to 20</w:t>
            </w:r>
            <w:r>
              <w:t>12</w:t>
            </w:r>
            <w:r w:rsidRPr="003E3D21">
              <w:rPr>
                <w:rStyle w:val="NoteLabel"/>
                <w:b/>
              </w:rPr>
              <w:t>a,b</w:t>
            </w:r>
          </w:p>
          <w:p w:rsidR="00AC2131" w:rsidRPr="00C10C98" w:rsidRDefault="00AC2131" w:rsidP="00AC2131">
            <w:pPr>
              <w:pStyle w:val="Subtitle"/>
            </w:pPr>
            <w:r w:rsidRPr="00C10C98">
              <w:t>per cent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Default="00AC2131" w:rsidP="00AC2131">
                  <w:pPr>
                    <w:pStyle w:val="Figure"/>
                    <w:spacing w:before="60" w:after="60"/>
                  </w:pPr>
                  <w:r>
                    <w:rPr>
                      <w:noProof/>
                    </w:rPr>
                    <w:drawing>
                      <wp:inline distT="0" distB="0" distL="0" distR="0" wp14:anchorId="757822DE" wp14:editId="1CDE83CE">
                        <wp:extent cx="5257800" cy="2800350"/>
                        <wp:effectExtent l="0" t="0" r="0" b="0"/>
                        <wp:docPr id="38" name="Picture 38" descr="Figure B.6 presents the changing composition of services trade from 1980 to 2012.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Note"/>
            </w:pPr>
            <w:r>
              <w:rPr>
                <w:rStyle w:val="NoteLabel"/>
              </w:rPr>
              <w:t>a</w:t>
            </w:r>
            <w:r>
              <w:t> </w:t>
            </w:r>
            <w:r w:rsidRPr="002049C7">
              <w:t>Percentage of commercial services exports (total services exports minus exports of government services</w:t>
            </w:r>
            <w:r>
              <w:t xml:space="preserve">). </w:t>
            </w:r>
            <w:r>
              <w:rPr>
                <w:rStyle w:val="NoteLabel"/>
              </w:rPr>
              <w:t>b</w:t>
            </w:r>
            <w:r>
              <w:t> </w:t>
            </w:r>
            <w:r>
              <w:rPr>
                <w:szCs w:val="24"/>
              </w:rPr>
              <w:t>2015 World Bank dataset for this series does not cover years prior to 2005, data for these years are obtained from a 2010 World Bank dataset.</w:t>
            </w: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rsidRPr="002049C7">
              <w:t>World Bank (</w:t>
            </w:r>
            <w:r>
              <w:t xml:space="preserve">2010 and </w:t>
            </w:r>
            <w:r w:rsidRPr="002049C7">
              <w:t>20</w:t>
            </w:r>
            <w:r>
              <w:t>15</w:t>
            </w:r>
            <w:r w:rsidRPr="002049C7">
              <w:t>).</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E41B5C" w:rsidRDefault="00AC2131" w:rsidP="00AC2131">
      <w:pPr>
        <w:pStyle w:val="Heading2"/>
      </w:pPr>
      <w:r>
        <w:t>B.</w:t>
      </w:r>
      <w:r>
        <w:rPr>
          <w:noProof/>
        </w:rPr>
        <w:t>3</w:t>
      </w:r>
      <w:r>
        <w:tab/>
        <w:t xml:space="preserve">Size and nature of global value-added trade </w:t>
      </w:r>
      <w:r w:rsidRPr="00E41B5C">
        <w:t>patterns</w:t>
      </w:r>
    </w:p>
    <w:p w:rsidR="00AC2131" w:rsidRDefault="00AC2131" w:rsidP="00AC2131">
      <w:pPr>
        <w:pStyle w:val="BodyText"/>
      </w:pPr>
      <w:r>
        <w:t>Increased specialisation has resulted in production processes becoming more globally integrated, with final products often being comprised of inputs and components sourced from a number of countries. As a result, components and partly-finished manufactures and other products cross borders more often than in the past and world trade flows are now marked by greater vertical</w:t>
      </w:r>
      <w:r w:rsidRPr="004D0873">
        <w:t xml:space="preserve"> </w:t>
      </w:r>
      <w:r>
        <w:t xml:space="preserve">specialisation. </w:t>
      </w:r>
    </w:p>
    <w:p w:rsidR="00AC2131" w:rsidRDefault="00AC2131" w:rsidP="00AC2131">
      <w:pPr>
        <w:pStyle w:val="BodyText"/>
      </w:pPr>
      <w:r>
        <w:t xml:space="preserve">Traditionally, increased global production specialisation has been examined through the concept of intra-industry trade — </w:t>
      </w:r>
      <w:r>
        <w:rPr>
          <w:szCs w:val="18"/>
        </w:rPr>
        <w:t>the two-way exchange between countries of goods within standard industrial</w:t>
      </w:r>
      <w:r w:rsidRPr="00C255D3">
        <w:rPr>
          <w:szCs w:val="18"/>
        </w:rPr>
        <w:t xml:space="preserve"> classifications</w:t>
      </w:r>
      <w:r>
        <w:t>. Such goods could be in differentiated consumer goods but also specialised parts and components for assembly. An OECD (2002) analysis of intra-industry trade reported on the increase in intra-industry, while a later study confirmed the continued growth in such trade (Brulhart 2008). The level of intra-industry trade for Australia was estimated to be half the global average reflecting the concentration of primary products in Australia’s merchandise exports.</w:t>
      </w:r>
      <w:r>
        <w:rPr>
          <w:rStyle w:val="FootnoteReference"/>
        </w:rPr>
        <w:footnoteReference w:id="61"/>
      </w:r>
      <w:r>
        <w:t xml:space="preserve"> </w:t>
      </w:r>
    </w:p>
    <w:p w:rsidR="00AC2131" w:rsidRDefault="00AC2131" w:rsidP="00AC2131">
      <w:pPr>
        <w:pStyle w:val="BodyText"/>
      </w:pPr>
      <w:r>
        <w:t xml:space="preserve">The changing pattern of international trade can also be examined through the lens of ‘global value chains’ which emphasise the production of a single good or service as involving direct and indirect transactions with many other industries and many other countries. At any one point in the global supply chain, the cost of a good or service can be divided into two components: the cost of intermediate inputs of goods and services; and the cost of the primary factors of production — labour, capital and land. The cost (or returns) to labour, capital and land are known as the ‘value-added’ generated in production. </w:t>
      </w:r>
      <w:r w:rsidRPr="003E13B2">
        <w:t xml:space="preserve">As inputs pass through </w:t>
      </w:r>
      <w:r>
        <w:t xml:space="preserve">global supply chains </w:t>
      </w:r>
      <w:r w:rsidRPr="003E13B2">
        <w:t>they cross borders many times</w:t>
      </w:r>
      <w:r>
        <w:t xml:space="preserve"> with the value added generated in upstream activities embodied in the price of the good or service</w:t>
      </w:r>
      <w:r w:rsidRPr="003E13B2">
        <w:t xml:space="preserve">. </w:t>
      </w:r>
      <w:r>
        <w:t xml:space="preserve">The WTO describe the implication: </w:t>
      </w:r>
    </w:p>
    <w:p w:rsidR="00AC2131" w:rsidRDefault="00AC2131" w:rsidP="00AC2131">
      <w:pPr>
        <w:pStyle w:val="Quote"/>
      </w:pPr>
      <w:r>
        <w:t>Attributing the full commercial value to the last country of origin [and final industry] can lead to distorted statistics. Measuring trade in value-added terms seeks to address this distortion. (WTO 2013, p.181)</w:t>
      </w:r>
    </w:p>
    <w:p w:rsidR="00AC2131" w:rsidRDefault="00AC2131" w:rsidP="00AC2131">
      <w:pPr>
        <w:pStyle w:val="BodyText"/>
      </w:pPr>
      <w:r>
        <w:t xml:space="preserve">While the conceptual difference between gross trade and trade in value added has </w:t>
      </w:r>
      <w:r w:rsidRPr="005F2182">
        <w:t xml:space="preserve">been </w:t>
      </w:r>
      <w:r>
        <w:t>long recognised, only recently have the differences been quantified on a comprehensive and consistent basis. This has been made possible by the increased availability of more refined national input-output tables (beyond those of the developed countries), particularly for the emerging countries with significant increased involvement in global supply chains, and international efforts to globally link the national tables. These global input-output tables allow the value added by country and industry-of-origin underlying gross trade flows to be traced to provide a fuller depiction of global production and trade (table B.1).</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AC2131" w:rsidTr="00AC2131">
        <w:tc>
          <w:tcPr>
            <w:tcW w:w="8909"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B.</w:t>
            </w:r>
            <w:r>
              <w:rPr>
                <w:b w:val="0"/>
                <w:noProof/>
              </w:rPr>
              <w:t>1</w:t>
            </w:r>
            <w:r>
              <w:tab/>
            </w:r>
            <w:r w:rsidRPr="00600C37">
              <w:t xml:space="preserve">Public datasets on </w:t>
            </w:r>
            <w:r>
              <w:t>value added</w:t>
            </w:r>
            <w:r w:rsidRPr="00600C37">
              <w:t xml:space="preserve"> in trade flows</w:t>
            </w:r>
          </w:p>
        </w:tc>
      </w:tr>
      <w:tr w:rsidR="00AC2131" w:rsidTr="00AC2131">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3664"/>
              <w:gridCol w:w="4961"/>
            </w:tblGrid>
            <w:tr w:rsidR="00AC2131" w:rsidTr="00AC2131">
              <w:trPr>
                <w:trHeight w:val="367"/>
              </w:trPr>
              <w:tc>
                <w:tcPr>
                  <w:tcW w:w="2124"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Name of dataset</w:t>
                  </w:r>
                </w:p>
              </w:tc>
              <w:tc>
                <w:tcPr>
                  <w:tcW w:w="2876"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Key features</w:t>
                  </w:r>
                </w:p>
              </w:tc>
            </w:tr>
            <w:tr w:rsidR="00AC2131" w:rsidTr="00AC2131">
              <w:trPr>
                <w:trHeight w:val="367"/>
              </w:trPr>
              <w:tc>
                <w:tcPr>
                  <w:tcW w:w="2124" w:type="pct"/>
                  <w:tcBorders>
                    <w:top w:val="single" w:sz="6" w:space="0" w:color="BFBFBF"/>
                  </w:tcBorders>
                </w:tcPr>
                <w:p w:rsidR="00AC2131" w:rsidRPr="00A137AA" w:rsidRDefault="00AC2131" w:rsidP="00AC2131">
                  <w:pPr>
                    <w:pStyle w:val="TableBodyText"/>
                    <w:spacing w:before="80"/>
                    <w:jc w:val="left"/>
                  </w:pPr>
                  <w:r w:rsidRPr="00A137AA">
                    <w:t>Global Trade Analy</w:t>
                  </w:r>
                  <w:r>
                    <w:t>s</w:t>
                  </w:r>
                  <w:r w:rsidRPr="00A137AA">
                    <w:t>is</w:t>
                  </w:r>
                  <w:r>
                    <w:t xml:space="preserve"> </w:t>
                  </w:r>
                  <w:r w:rsidRPr="00A137AA">
                    <w:t xml:space="preserve">Project </w:t>
                  </w:r>
                  <w:r>
                    <w:t xml:space="preserve">(GTAP) </w:t>
                  </w:r>
                  <w:r w:rsidRPr="00A137AA">
                    <w:t>Database</w:t>
                  </w:r>
                </w:p>
              </w:tc>
              <w:tc>
                <w:tcPr>
                  <w:tcW w:w="2876" w:type="pct"/>
                  <w:tcBorders>
                    <w:top w:val="single" w:sz="6" w:space="0" w:color="BFBFBF"/>
                  </w:tcBorders>
                </w:tcPr>
                <w:p w:rsidR="00AC2131" w:rsidRPr="00A137AA" w:rsidRDefault="00AC2131" w:rsidP="00AC2131">
                  <w:pPr>
                    <w:pStyle w:val="TableBodyText"/>
                    <w:spacing w:before="80"/>
                    <w:jc w:val="left"/>
                  </w:pPr>
                  <w:r w:rsidRPr="00A137AA">
                    <w:t>Input-output tables for over</w:t>
                  </w:r>
                  <w:r>
                    <w:t xml:space="preserve"> </w:t>
                  </w:r>
                  <w:r w:rsidRPr="00A137AA">
                    <w:t>100 countries for various benchmark</w:t>
                  </w:r>
                  <w:r>
                    <w:t xml:space="preserve"> </w:t>
                  </w:r>
                  <w:r w:rsidRPr="00A137AA">
                    <w:t>years, mostly after 2000. https://www.gtap.agecon.purdue.edu</w:t>
                  </w:r>
                </w:p>
              </w:tc>
            </w:tr>
            <w:tr w:rsidR="00AC2131" w:rsidTr="00AC2131">
              <w:trPr>
                <w:trHeight w:val="367"/>
              </w:trPr>
              <w:tc>
                <w:tcPr>
                  <w:tcW w:w="2124" w:type="pct"/>
                  <w:shd w:val="clear" w:color="auto" w:fill="auto"/>
                </w:tcPr>
                <w:p w:rsidR="00AC2131" w:rsidRPr="00DF2CA0" w:rsidRDefault="00AC2131" w:rsidP="00AC2131">
                  <w:pPr>
                    <w:pStyle w:val="TableBodyText"/>
                    <w:spacing w:before="80"/>
                    <w:jc w:val="left"/>
                  </w:pPr>
                  <w:r w:rsidRPr="00DF2CA0">
                    <w:t>World Input-Output</w:t>
                  </w:r>
                  <w:r>
                    <w:t xml:space="preserve"> </w:t>
                  </w:r>
                  <w:r w:rsidRPr="00DF2CA0">
                    <w:t>Database</w:t>
                  </w:r>
                  <w:r>
                    <w:t xml:space="preserve"> (WIOD)</w:t>
                  </w:r>
                </w:p>
              </w:tc>
              <w:tc>
                <w:tcPr>
                  <w:tcW w:w="2876" w:type="pct"/>
                  <w:shd w:val="clear" w:color="auto" w:fill="auto"/>
                </w:tcPr>
                <w:p w:rsidR="00AC2131" w:rsidRPr="00DF2CA0" w:rsidRDefault="00AC2131" w:rsidP="00AC2131">
                  <w:pPr>
                    <w:pStyle w:val="TableBodyText"/>
                    <w:spacing w:before="80"/>
                    <w:jc w:val="left"/>
                  </w:pPr>
                  <w:r w:rsidRPr="00DF2CA0">
                    <w:t>Global tables covering OECD</w:t>
                  </w:r>
                  <w:r>
                    <w:t xml:space="preserve"> </w:t>
                  </w:r>
                  <w:r w:rsidRPr="00DF2CA0">
                    <w:t>countries and major emerging</w:t>
                  </w:r>
                  <w:r>
                    <w:t xml:space="preserve"> </w:t>
                  </w:r>
                  <w:r w:rsidRPr="00DF2CA0">
                    <w:t>markets from 1995–2011.</w:t>
                  </w:r>
                  <w:r>
                    <w:t xml:space="preserve"> </w:t>
                  </w:r>
                  <w:r w:rsidRPr="00DF2CA0">
                    <w:t>http://www.wiod.org</w:t>
                  </w:r>
                </w:p>
              </w:tc>
            </w:tr>
            <w:tr w:rsidR="00AC2131" w:rsidTr="00AC2131">
              <w:trPr>
                <w:trHeight w:val="367"/>
              </w:trPr>
              <w:tc>
                <w:tcPr>
                  <w:tcW w:w="2124" w:type="pct"/>
                  <w:shd w:val="clear" w:color="auto" w:fill="auto"/>
                </w:tcPr>
                <w:p w:rsidR="00AC2131" w:rsidRPr="00DF2CA0" w:rsidRDefault="00AC2131" w:rsidP="00AC2131">
                  <w:pPr>
                    <w:pStyle w:val="TableBodyText"/>
                    <w:spacing w:before="80"/>
                    <w:jc w:val="left"/>
                  </w:pPr>
                  <w:r w:rsidRPr="00DF2CA0">
                    <w:t>IDE-JETRO Asian</w:t>
                  </w:r>
                  <w:r>
                    <w:t xml:space="preserve"> </w:t>
                  </w:r>
                  <w:r w:rsidRPr="00DF2CA0">
                    <w:t>Input-Output Tables</w:t>
                  </w:r>
                </w:p>
              </w:tc>
              <w:tc>
                <w:tcPr>
                  <w:tcW w:w="2876" w:type="pct"/>
                  <w:shd w:val="clear" w:color="auto" w:fill="auto"/>
                </w:tcPr>
                <w:p w:rsidR="00AC2131" w:rsidRPr="00DF2CA0" w:rsidRDefault="00AC2131" w:rsidP="00AC2131">
                  <w:pPr>
                    <w:pStyle w:val="TableBodyText"/>
                    <w:spacing w:before="80"/>
                    <w:jc w:val="left"/>
                  </w:pPr>
                  <w:r w:rsidRPr="00DF2CA0">
                    <w:t>Regional tables covering 8 East</w:t>
                  </w:r>
                  <w:r>
                    <w:t xml:space="preserve"> Asian countries at fi</w:t>
                  </w:r>
                  <w:r w:rsidRPr="00DF2CA0">
                    <w:t>ve-year intervals</w:t>
                  </w:r>
                  <w:r>
                    <w:t xml:space="preserve"> </w:t>
                  </w:r>
                  <w:r w:rsidRPr="00DF2CA0">
                    <w:t>between 1985 and 2000.</w:t>
                  </w:r>
                  <w:r>
                    <w:t xml:space="preserve"> </w:t>
                  </w:r>
                  <w:r w:rsidRPr="00DF2CA0">
                    <w:t>http://www.ide.go.jp</w:t>
                  </w:r>
                </w:p>
              </w:tc>
            </w:tr>
            <w:tr w:rsidR="00AC2131" w:rsidTr="00AC2131">
              <w:trPr>
                <w:trHeight w:val="367"/>
              </w:trPr>
              <w:tc>
                <w:tcPr>
                  <w:tcW w:w="2124" w:type="pct"/>
                  <w:shd w:val="clear" w:color="auto" w:fill="auto"/>
                </w:tcPr>
                <w:p w:rsidR="00AC2131" w:rsidRPr="00DF2CA0" w:rsidRDefault="00AC2131" w:rsidP="00AC2131">
                  <w:pPr>
                    <w:pStyle w:val="TableBodyText"/>
                    <w:spacing w:before="80"/>
                    <w:jc w:val="left"/>
                  </w:pPr>
                  <w:r w:rsidRPr="00DF2CA0">
                    <w:t>WTO-OECD TiVA</w:t>
                  </w:r>
                  <w:r>
                    <w:t xml:space="preserve"> </w:t>
                  </w:r>
                  <w:r w:rsidRPr="00DF2CA0">
                    <w:t xml:space="preserve">Database </w:t>
                  </w:r>
                  <w:r>
                    <w:br/>
                  </w:r>
                  <w:r w:rsidRPr="00DF2CA0">
                    <w:t>(Trade in</w:t>
                  </w:r>
                  <w:r>
                    <w:t xml:space="preserve"> Value added</w:t>
                  </w:r>
                  <w:r w:rsidRPr="00DF2CA0">
                    <w:t>)</w:t>
                  </w:r>
                </w:p>
              </w:tc>
              <w:tc>
                <w:tcPr>
                  <w:tcW w:w="2876" w:type="pct"/>
                  <w:shd w:val="clear" w:color="auto" w:fill="auto"/>
                </w:tcPr>
                <w:p w:rsidR="00AC2131" w:rsidRPr="00DF2CA0" w:rsidRDefault="00AC2131" w:rsidP="00AC2131">
                  <w:pPr>
                    <w:pStyle w:val="TableBodyText"/>
                    <w:spacing w:before="80"/>
                    <w:jc w:val="left"/>
                  </w:pPr>
                  <w:r w:rsidRPr="00DF2CA0">
                    <w:t>Value-added exports and other</w:t>
                  </w:r>
                  <w:r>
                    <w:t xml:space="preserve"> </w:t>
                  </w:r>
                  <w:r w:rsidRPr="00DF2CA0">
                    <w:t>measures of global supply chain</w:t>
                  </w:r>
                  <w:r>
                    <w:t xml:space="preserve"> </w:t>
                  </w:r>
                  <w:r w:rsidRPr="00DF2CA0">
                    <w:t>activity for 57 countries in 1995,</w:t>
                  </w:r>
                  <w:r>
                    <w:t xml:space="preserve"> </w:t>
                  </w:r>
                  <w:r w:rsidRPr="00DF2CA0">
                    <w:t>2000, 2005, 2008 and 2009.</w:t>
                  </w:r>
                  <w:r>
                    <w:t xml:space="preserve"> </w:t>
                  </w:r>
                  <w:r w:rsidRPr="00DF2CA0">
                    <w:t>http://stats.oecd.org</w:t>
                  </w:r>
                </w:p>
              </w:tc>
            </w:tr>
            <w:tr w:rsidR="00AC2131" w:rsidTr="00AC2131">
              <w:trPr>
                <w:trHeight w:val="367"/>
              </w:trPr>
              <w:tc>
                <w:tcPr>
                  <w:tcW w:w="2124" w:type="pct"/>
                  <w:tcBorders>
                    <w:bottom w:val="single" w:sz="6" w:space="0" w:color="BFBFBF"/>
                  </w:tcBorders>
                  <w:shd w:val="clear" w:color="auto" w:fill="auto"/>
                </w:tcPr>
                <w:p w:rsidR="00AC2131" w:rsidRPr="00DF2CA0" w:rsidRDefault="00AC2131" w:rsidP="00AC2131">
                  <w:pPr>
                    <w:pStyle w:val="TableBodyText"/>
                    <w:spacing w:before="80"/>
                    <w:jc w:val="left"/>
                  </w:pPr>
                  <w:r w:rsidRPr="00DF2CA0">
                    <w:t>OECD Input-Output</w:t>
                  </w:r>
                  <w:r>
                    <w:t xml:space="preserve"> </w:t>
                  </w:r>
                  <w:r w:rsidRPr="00DF2CA0">
                    <w:t>Tables</w:t>
                  </w:r>
                </w:p>
              </w:tc>
              <w:tc>
                <w:tcPr>
                  <w:tcW w:w="2876" w:type="pct"/>
                  <w:tcBorders>
                    <w:bottom w:val="single" w:sz="6" w:space="0" w:color="BFBFBF"/>
                  </w:tcBorders>
                  <w:shd w:val="clear" w:color="auto" w:fill="auto"/>
                </w:tcPr>
                <w:p w:rsidR="00AC2131" w:rsidRPr="00DF2CA0" w:rsidRDefault="00AC2131" w:rsidP="00AC2131">
                  <w:pPr>
                    <w:pStyle w:val="TableBodyText"/>
                    <w:spacing w:before="80"/>
                    <w:jc w:val="left"/>
                  </w:pPr>
                  <w:r w:rsidRPr="00DF2CA0">
                    <w:t>Input-output tables for OECD</w:t>
                  </w:r>
                  <w:r>
                    <w:t xml:space="preserve"> </w:t>
                  </w:r>
                  <w:r w:rsidRPr="00DF2CA0">
                    <w:t>countries and major emerging</w:t>
                  </w:r>
                  <w:r>
                    <w:t xml:space="preserve"> </w:t>
                  </w:r>
                  <w:r w:rsidRPr="00DF2CA0">
                    <w:t xml:space="preserve">markets, available </w:t>
                  </w:r>
                  <w:r>
                    <w:t>for</w:t>
                  </w:r>
                  <w:r w:rsidRPr="00DF2CA0">
                    <w:t xml:space="preserve"> various years from</w:t>
                  </w:r>
                  <w:r>
                    <w:t xml:space="preserve"> </w:t>
                  </w:r>
                  <w:r w:rsidRPr="00DF2CA0">
                    <w:t xml:space="preserve">1970–2005. </w:t>
                  </w:r>
                  <w:r w:rsidRPr="00946A9D">
                    <w:t>http://www.oecd.org/</w:t>
                  </w:r>
                  <w:r w:rsidRPr="00DF2CA0">
                    <w:t>trade/input-outputtables.htm</w:t>
                  </w:r>
                </w:p>
              </w:tc>
            </w:tr>
          </w:tbl>
          <w:p w:rsidR="00AC2131" w:rsidRDefault="00AC2131" w:rsidP="00AC2131">
            <w:pPr>
              <w:pStyle w:val="Box"/>
            </w:pPr>
          </w:p>
        </w:tc>
      </w:tr>
      <w:tr w:rsidR="00AC2131" w:rsidTr="00AC2131">
        <w:trPr>
          <w:cantSplit/>
        </w:trPr>
        <w:tc>
          <w:tcPr>
            <w:tcW w:w="8909" w:type="dxa"/>
            <w:tcBorders>
              <w:top w:val="nil"/>
              <w:left w:val="nil"/>
              <w:bottom w:val="nil"/>
              <w:right w:val="nil"/>
            </w:tcBorders>
            <w:shd w:val="clear" w:color="auto" w:fill="auto"/>
          </w:tcPr>
          <w:p w:rsidR="00AC2131" w:rsidRDefault="00AC2131" w:rsidP="00AC2131">
            <w:pPr>
              <w:pStyle w:val="Source"/>
            </w:pPr>
            <w:r>
              <w:rPr>
                <w:i/>
              </w:rPr>
              <w:t>Source</w:t>
            </w:r>
            <w:r w:rsidRPr="00167F06">
              <w:t>:</w:t>
            </w:r>
            <w:r>
              <w:t xml:space="preserve"> Johnson (2014).</w:t>
            </w:r>
          </w:p>
        </w:tc>
      </w:tr>
      <w:tr w:rsidR="00AC2131" w:rsidTr="00AC2131">
        <w:trPr>
          <w:cantSplit/>
        </w:trPr>
        <w:tc>
          <w:tcPr>
            <w:tcW w:w="8909"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909"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3"/>
      </w:pPr>
      <w:r>
        <w:t>From gross trade to the value-added composition of global exports</w:t>
      </w:r>
    </w:p>
    <w:p w:rsidR="00AC2131" w:rsidRDefault="00AC2131" w:rsidP="00AC2131">
      <w:pPr>
        <w:pStyle w:val="BodyText"/>
      </w:pPr>
      <w:r>
        <w:t>In gross exports terms, for the world as a whole, manufacturing is estimated to account for 67 per cent and services is estimated to account for 20 per cent of global exports, respectively. However, this overstates the contribution of manufacturing in income generated in exporting in two ways. First, a significant proportion of manufactured exports are of intermediate inputs for further processing. Second, manufactured exports include the indirect value added embodied in raw materials and service inputs. When the sectoral origin of all direct and indirect value added is traced through national and global value chains, it is estimated that manufacturing and services each account for about 40 per cent of total value-added exports (figure B.7).</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B.</w:t>
            </w:r>
            <w:r>
              <w:rPr>
                <w:b w:val="0"/>
                <w:noProof/>
              </w:rPr>
              <w:t>7</w:t>
            </w:r>
            <w:r>
              <w:tab/>
              <w:t>Sector shares in total world value-added and gross exports, 2008</w:t>
            </w:r>
          </w:p>
          <w:p w:rsidR="00AC2131" w:rsidRPr="00E41B5C" w:rsidRDefault="00AC2131" w:rsidP="00AC2131">
            <w:pPr>
              <w:pStyle w:val="Subtitle"/>
            </w:pPr>
            <w:r w:rsidRPr="00E41B5C">
              <w:t>per cent</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1F73318E" wp14:editId="2140E583">
                        <wp:extent cx="5400675" cy="2876550"/>
                        <wp:effectExtent l="0" t="0" r="9525" b="0"/>
                        <wp:docPr id="39" name="Picture 39" descr="Figure B.7 presents World exports in both gross and value added terms for the agriculture, non-manufacturing industrial production, manufacturing and services sectors in 2008-09.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Johnson (2014), figure 1.</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4"/>
      </w:pPr>
      <w:r>
        <w:t>The global trade intensity of value added has increased</w:t>
      </w:r>
    </w:p>
    <w:p w:rsidR="00AC2131" w:rsidRDefault="00AC2131" w:rsidP="00AC2131">
      <w:pPr>
        <w:pStyle w:val="BodyText"/>
      </w:pPr>
      <w:r>
        <w:t>As production processes have increasingly been dispersed across countries to take advantage of lower-cost production opportunities, the gross value of exports to the value added generated in exporting has increased. Over the period 1970 to around 2009, available estimates indicate exports per unit of value added increased from 1.15 to 1.33 — that is, by around 15 per cent (figure B.8).</w:t>
      </w:r>
      <w:r>
        <w:rPr>
          <w:rStyle w:val="FootnoteReference"/>
        </w:rPr>
        <w:footnoteReference w:id="62"/>
      </w:r>
      <w:r>
        <w:t xml:space="preserve"> Most of this increase occurred after 1990 coinciding with major trade liberalisations (including those associated with the formation of APEC in 1989 and the Bogor Declaration of 1994 and the accession of China into the WTO in 2001), the dissolution of the Soviet Union in 1991 and the expansion of the European Union to include former Soviet bloc economies, and the emergence and uptake of advanced information and communication technologies. With the contraction of global trade associated with the 2008 global financial crisis, global exports per unit of value added declined.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F53444" w:rsidRDefault="00AC2131" w:rsidP="00AC2131">
            <w:pPr>
              <w:pStyle w:val="FigureTitle"/>
            </w:pPr>
            <w:r w:rsidRPr="00C7773F">
              <w:rPr>
                <w:b w:val="0"/>
              </w:rPr>
              <w:t>Figure B.</w:t>
            </w:r>
            <w:r>
              <w:rPr>
                <w:b w:val="0"/>
                <w:noProof/>
              </w:rPr>
              <w:t>8</w:t>
            </w:r>
            <w:r>
              <w:tab/>
              <w:t xml:space="preserve">Gross exports per unit of value-added has increased, </w:t>
            </w:r>
            <w:r>
              <w:br/>
              <w:t>1970 to 2009</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51B18CA9" wp14:editId="236E0078">
                        <wp:extent cx="5400675" cy="3600450"/>
                        <wp:effectExtent l="0" t="0" r="9525" b="0"/>
                        <wp:docPr id="40" name="Picture 40" descr="Figure B.8 outlines the increase in global value added exports relative to the global gross value of exports, particularly since the early 1990s.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400675" cy="36004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 xml:space="preserve">Commission estimates based on Johnson and </w:t>
            </w:r>
            <w:r w:rsidR="00B51CF2">
              <w:t>Noguera</w:t>
            </w:r>
            <w:r>
              <w:t xml:space="preserve"> (2012a). The original estimates of Johnson and </w:t>
            </w:r>
            <w:r w:rsidR="00B51CF2">
              <w:t>Noguera</w:t>
            </w:r>
            <w:r>
              <w:t xml:space="preserve"> were expressed in terms of value added to gross exports (the VAX ratio)</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Derivation of value-added trade flows is relatively recent and there is more than one database (comprising different years, country groupings and allocation assumptions). The Johnson and </w:t>
      </w:r>
      <w:r w:rsidR="00B51CF2">
        <w:t>Noguera</w:t>
      </w:r>
      <w:r>
        <w:t> (2012a) estimates for 1970 to 2009 appear to be the only continuous, long time series. The robustness of the estimates was confirmed against a number of estimates for individual years provided in other studies (table B.2).</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4"/>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B.</w:t>
            </w:r>
            <w:r>
              <w:rPr>
                <w:b w:val="0"/>
                <w:noProof/>
              </w:rPr>
              <w:t>2</w:t>
            </w:r>
            <w:r>
              <w:tab/>
            </w:r>
            <w:r w:rsidRPr="00600C37">
              <w:t xml:space="preserve">Alternate estimates of </w:t>
            </w:r>
            <w:r>
              <w:t>value added</w:t>
            </w:r>
            <w:r w:rsidRPr="00600C37">
              <w:t xml:space="preserve"> to gross exports, </w:t>
            </w:r>
            <w:r>
              <w:br/>
            </w:r>
            <w:r w:rsidRPr="00600C37">
              <w:t>1970</w:t>
            </w:r>
            <w:r>
              <w:t xml:space="preserve"> to </w:t>
            </w:r>
            <w:r w:rsidRPr="00600C37">
              <w:t>2011</w:t>
            </w:r>
          </w:p>
        </w:tc>
      </w:tr>
      <w:tr w:rsidR="00AC2131" w:rsidTr="00AC2131">
        <w:trPr>
          <w:cantSplit/>
        </w:trPr>
        <w:tc>
          <w:tcPr>
            <w:tcW w:w="8771" w:type="dxa"/>
            <w:tcBorders>
              <w:top w:val="nil"/>
              <w:left w:val="nil"/>
              <w:bottom w:val="nil"/>
              <w:right w:val="nil"/>
            </w:tcBorders>
            <w:shd w:val="clear" w:color="auto" w:fill="auto"/>
          </w:tcPr>
          <w:tbl>
            <w:tblPr>
              <w:tblW w:w="8500" w:type="dxa"/>
              <w:tblCellMar>
                <w:top w:w="28" w:type="dxa"/>
                <w:left w:w="0" w:type="dxa"/>
                <w:right w:w="0" w:type="dxa"/>
              </w:tblCellMar>
              <w:tblLook w:val="0000" w:firstRow="0" w:lastRow="0" w:firstColumn="0" w:lastColumn="0" w:noHBand="0" w:noVBand="0"/>
            </w:tblPr>
            <w:tblGrid>
              <w:gridCol w:w="2947"/>
              <w:gridCol w:w="795"/>
              <w:gridCol w:w="795"/>
              <w:gridCol w:w="796"/>
              <w:gridCol w:w="796"/>
              <w:gridCol w:w="796"/>
              <w:gridCol w:w="796"/>
              <w:gridCol w:w="779"/>
            </w:tblGrid>
            <w:tr w:rsidR="00AC2131" w:rsidRPr="00D62D72" w:rsidTr="00AC2131">
              <w:tc>
                <w:tcPr>
                  <w:tcW w:w="1734" w:type="pct"/>
                  <w:tcBorders>
                    <w:top w:val="single" w:sz="6" w:space="0" w:color="BFBFBF"/>
                    <w:bottom w:val="single" w:sz="6" w:space="0" w:color="BFBFBF"/>
                  </w:tcBorders>
                  <w:shd w:val="clear" w:color="auto" w:fill="auto"/>
                  <w:tcMar>
                    <w:top w:w="28" w:type="dxa"/>
                  </w:tcMar>
                </w:tcPr>
                <w:p w:rsidR="00AC2131" w:rsidRPr="00D62D72" w:rsidRDefault="00AC2131" w:rsidP="00AC2131">
                  <w:pPr>
                    <w:pStyle w:val="TableColumnHeading"/>
                    <w:jc w:val="left"/>
                  </w:pPr>
                </w:p>
              </w:tc>
              <w:tc>
                <w:tcPr>
                  <w:tcW w:w="468" w:type="pct"/>
                  <w:tcBorders>
                    <w:top w:val="single" w:sz="6" w:space="0" w:color="BFBFBF"/>
                    <w:bottom w:val="single" w:sz="6" w:space="0" w:color="BFBFBF"/>
                  </w:tcBorders>
                </w:tcPr>
                <w:p w:rsidR="00AC2131" w:rsidRPr="00D62D72" w:rsidRDefault="00AC2131" w:rsidP="00AC2131">
                  <w:pPr>
                    <w:pStyle w:val="TableColumnHeading"/>
                  </w:pPr>
                  <w:r w:rsidRPr="00D62D72">
                    <w:t>1970</w:t>
                  </w:r>
                </w:p>
              </w:tc>
              <w:tc>
                <w:tcPr>
                  <w:tcW w:w="468" w:type="pct"/>
                  <w:tcBorders>
                    <w:top w:val="single" w:sz="6" w:space="0" w:color="BFBFBF"/>
                    <w:bottom w:val="single" w:sz="6" w:space="0" w:color="BFBFBF"/>
                  </w:tcBorders>
                </w:tcPr>
                <w:p w:rsidR="00AC2131" w:rsidRPr="00D62D72" w:rsidRDefault="00AC2131" w:rsidP="00AC2131">
                  <w:pPr>
                    <w:pStyle w:val="TableColumnHeading"/>
                  </w:pPr>
                  <w:r w:rsidRPr="00D62D72">
                    <w:t>1980</w:t>
                  </w:r>
                </w:p>
              </w:tc>
              <w:tc>
                <w:tcPr>
                  <w:tcW w:w="468" w:type="pct"/>
                  <w:tcBorders>
                    <w:top w:val="single" w:sz="6" w:space="0" w:color="BFBFBF"/>
                    <w:bottom w:val="single" w:sz="6" w:space="0" w:color="BFBFBF"/>
                  </w:tcBorders>
                </w:tcPr>
                <w:p w:rsidR="00AC2131" w:rsidRPr="00D62D72" w:rsidRDefault="00AC2131" w:rsidP="00AC2131">
                  <w:pPr>
                    <w:pStyle w:val="TableColumnHeading"/>
                  </w:pPr>
                  <w:r w:rsidRPr="00D62D72">
                    <w:t>1995</w:t>
                  </w:r>
                </w:p>
              </w:tc>
              <w:tc>
                <w:tcPr>
                  <w:tcW w:w="468" w:type="pct"/>
                  <w:tcBorders>
                    <w:top w:val="single" w:sz="6" w:space="0" w:color="BFBFBF"/>
                    <w:bottom w:val="single" w:sz="6" w:space="0" w:color="BFBFBF"/>
                  </w:tcBorders>
                </w:tcPr>
                <w:p w:rsidR="00AC2131" w:rsidRPr="00D62D72" w:rsidRDefault="00AC2131" w:rsidP="00AC2131">
                  <w:pPr>
                    <w:pStyle w:val="TableColumnHeading"/>
                  </w:pPr>
                  <w:r w:rsidRPr="00D62D72">
                    <w:t>2004</w:t>
                  </w:r>
                </w:p>
              </w:tc>
              <w:tc>
                <w:tcPr>
                  <w:tcW w:w="468" w:type="pct"/>
                  <w:tcBorders>
                    <w:top w:val="single" w:sz="6" w:space="0" w:color="BFBFBF"/>
                    <w:bottom w:val="single" w:sz="6" w:space="0" w:color="BFBFBF"/>
                  </w:tcBorders>
                </w:tcPr>
                <w:p w:rsidR="00AC2131" w:rsidRPr="00D62D72" w:rsidRDefault="00AC2131" w:rsidP="00AC2131">
                  <w:pPr>
                    <w:pStyle w:val="TableColumnHeading"/>
                  </w:pPr>
                  <w:r w:rsidRPr="00D62D72">
                    <w:t>2008</w:t>
                  </w:r>
                </w:p>
              </w:tc>
              <w:tc>
                <w:tcPr>
                  <w:tcW w:w="468" w:type="pct"/>
                  <w:tcBorders>
                    <w:top w:val="single" w:sz="6" w:space="0" w:color="BFBFBF"/>
                    <w:bottom w:val="single" w:sz="6" w:space="0" w:color="BFBFBF"/>
                  </w:tcBorders>
                  <w:shd w:val="clear" w:color="auto" w:fill="auto"/>
                  <w:tcMar>
                    <w:top w:w="28" w:type="dxa"/>
                  </w:tcMar>
                </w:tcPr>
                <w:p w:rsidR="00AC2131" w:rsidRPr="00D62D72" w:rsidRDefault="00AC2131" w:rsidP="00AC2131">
                  <w:pPr>
                    <w:pStyle w:val="TableColumnHeading"/>
                  </w:pPr>
                  <w:r w:rsidRPr="00D62D72">
                    <w:t>2009</w:t>
                  </w:r>
                </w:p>
              </w:tc>
              <w:tc>
                <w:tcPr>
                  <w:tcW w:w="460" w:type="pct"/>
                  <w:tcBorders>
                    <w:top w:val="single" w:sz="6" w:space="0" w:color="BFBFBF"/>
                    <w:bottom w:val="single" w:sz="6" w:space="0" w:color="BFBFBF"/>
                  </w:tcBorders>
                  <w:shd w:val="clear" w:color="auto" w:fill="auto"/>
                  <w:tcMar>
                    <w:top w:w="28" w:type="dxa"/>
                  </w:tcMar>
                </w:tcPr>
                <w:p w:rsidR="00AC2131" w:rsidRPr="00D62D72" w:rsidRDefault="00AC2131" w:rsidP="00AC2131">
                  <w:pPr>
                    <w:pStyle w:val="TableColumnHeading"/>
                    <w:ind w:right="28"/>
                  </w:pPr>
                  <w:r w:rsidRPr="00D62D72">
                    <w:t>2011</w:t>
                  </w:r>
                </w:p>
              </w:tc>
            </w:tr>
            <w:tr w:rsidR="00AC2131" w:rsidRPr="00D62D72" w:rsidTr="00AC2131">
              <w:tc>
                <w:tcPr>
                  <w:tcW w:w="1734" w:type="pct"/>
                  <w:tcBorders>
                    <w:top w:val="single" w:sz="6" w:space="0" w:color="BFBFBF"/>
                  </w:tcBorders>
                </w:tcPr>
                <w:p w:rsidR="00AC2131" w:rsidRPr="003E3D21" w:rsidRDefault="00AC2131" w:rsidP="00AC2131">
                  <w:pPr>
                    <w:pStyle w:val="TableUnitsRow"/>
                    <w:spacing w:before="80"/>
                    <w:jc w:val="left"/>
                    <w:rPr>
                      <w:spacing w:val="-2"/>
                    </w:rPr>
                  </w:pPr>
                  <w:r w:rsidRPr="003E3D21">
                    <w:rPr>
                      <w:spacing w:val="-2"/>
                    </w:rPr>
                    <w:t>WTO (2013)</w:t>
                  </w:r>
                </w:p>
              </w:tc>
              <w:tc>
                <w:tcPr>
                  <w:tcW w:w="468" w:type="pct"/>
                  <w:tcBorders>
                    <w:top w:val="single" w:sz="6" w:space="0" w:color="BFBFBF"/>
                  </w:tcBorders>
                </w:tcPr>
                <w:p w:rsidR="00AC2131" w:rsidRPr="00D62D72" w:rsidRDefault="00AC2131" w:rsidP="00AC2131">
                  <w:pPr>
                    <w:pStyle w:val="TableUnitsRow"/>
                    <w:spacing w:before="80"/>
                  </w:pPr>
                </w:p>
              </w:tc>
              <w:tc>
                <w:tcPr>
                  <w:tcW w:w="468" w:type="pct"/>
                  <w:tcBorders>
                    <w:top w:val="single" w:sz="6" w:space="0" w:color="BFBFBF"/>
                  </w:tcBorders>
                </w:tcPr>
                <w:p w:rsidR="00AC2131" w:rsidRPr="00D62D72" w:rsidRDefault="00AC2131" w:rsidP="00AC2131">
                  <w:pPr>
                    <w:pStyle w:val="TableUnitsRow"/>
                    <w:spacing w:before="80"/>
                  </w:pPr>
                </w:p>
              </w:tc>
              <w:tc>
                <w:tcPr>
                  <w:tcW w:w="468" w:type="pct"/>
                  <w:tcBorders>
                    <w:top w:val="single" w:sz="6" w:space="0" w:color="BFBFBF"/>
                  </w:tcBorders>
                </w:tcPr>
                <w:p w:rsidR="00AC2131" w:rsidRPr="00D62D72" w:rsidRDefault="00AC2131" w:rsidP="00AC2131">
                  <w:pPr>
                    <w:pStyle w:val="TableUnitsRow"/>
                    <w:spacing w:before="80"/>
                  </w:pPr>
                </w:p>
              </w:tc>
              <w:tc>
                <w:tcPr>
                  <w:tcW w:w="468" w:type="pct"/>
                  <w:tcBorders>
                    <w:top w:val="single" w:sz="6" w:space="0" w:color="BFBFBF"/>
                  </w:tcBorders>
                </w:tcPr>
                <w:p w:rsidR="00AC2131" w:rsidRPr="00D62D72" w:rsidRDefault="00AC2131" w:rsidP="00AC2131">
                  <w:pPr>
                    <w:pStyle w:val="TableUnitsRow"/>
                    <w:spacing w:before="80"/>
                  </w:pPr>
                </w:p>
              </w:tc>
              <w:tc>
                <w:tcPr>
                  <w:tcW w:w="468" w:type="pct"/>
                  <w:tcBorders>
                    <w:top w:val="single" w:sz="6" w:space="0" w:color="BFBFBF"/>
                  </w:tcBorders>
                </w:tcPr>
                <w:p w:rsidR="00AC2131" w:rsidRPr="00D62D72" w:rsidRDefault="00AC2131" w:rsidP="00AC2131">
                  <w:pPr>
                    <w:pStyle w:val="TableUnitsRow"/>
                    <w:spacing w:before="80"/>
                  </w:pPr>
                  <w:r w:rsidRPr="00D62D72">
                    <w:t>73.6</w:t>
                  </w:r>
                </w:p>
              </w:tc>
              <w:tc>
                <w:tcPr>
                  <w:tcW w:w="468" w:type="pct"/>
                  <w:tcBorders>
                    <w:top w:val="single" w:sz="6" w:space="0" w:color="BFBFBF"/>
                  </w:tcBorders>
                </w:tcPr>
                <w:p w:rsidR="00AC2131" w:rsidRPr="00D62D72" w:rsidRDefault="00AC2131" w:rsidP="00AC2131">
                  <w:pPr>
                    <w:pStyle w:val="TableUnitsRow"/>
                    <w:spacing w:before="80"/>
                  </w:pPr>
                </w:p>
              </w:tc>
              <w:tc>
                <w:tcPr>
                  <w:tcW w:w="460" w:type="pct"/>
                  <w:tcBorders>
                    <w:top w:val="single" w:sz="6" w:space="0" w:color="BFBFBF"/>
                  </w:tcBorders>
                </w:tcPr>
                <w:p w:rsidR="00AC2131" w:rsidRPr="00D62D72" w:rsidRDefault="00AC2131" w:rsidP="00AC2131">
                  <w:pPr>
                    <w:pStyle w:val="TableUnitsRow"/>
                    <w:spacing w:before="80"/>
                    <w:ind w:right="28"/>
                  </w:pPr>
                </w:p>
              </w:tc>
            </w:tr>
            <w:tr w:rsidR="00AC2131" w:rsidRPr="00D62D72" w:rsidTr="00AC2131">
              <w:tc>
                <w:tcPr>
                  <w:tcW w:w="1734" w:type="pct"/>
                </w:tcPr>
                <w:p w:rsidR="00AC2131" w:rsidRPr="003E3D21" w:rsidRDefault="00AC2131" w:rsidP="00AC2131">
                  <w:pPr>
                    <w:pStyle w:val="TableUnitsRow"/>
                    <w:spacing w:before="80"/>
                    <w:jc w:val="left"/>
                    <w:rPr>
                      <w:spacing w:val="-2"/>
                    </w:rPr>
                  </w:pPr>
                  <w:r w:rsidRPr="003E3D21">
                    <w:rPr>
                      <w:spacing w:val="-2"/>
                    </w:rPr>
                    <w:t>WTO (2014a)</w:t>
                  </w: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r w:rsidRPr="00D62D72">
                    <w:t>75.5</w:t>
                  </w:r>
                </w:p>
              </w:tc>
              <w:tc>
                <w:tcPr>
                  <w:tcW w:w="460" w:type="pct"/>
                </w:tcPr>
                <w:p w:rsidR="00AC2131" w:rsidRPr="00D62D72" w:rsidRDefault="00AC2131" w:rsidP="00AC2131">
                  <w:pPr>
                    <w:pStyle w:val="TableUnitsRow"/>
                    <w:spacing w:before="80"/>
                    <w:ind w:right="28"/>
                  </w:pPr>
                </w:p>
              </w:tc>
            </w:tr>
            <w:tr w:rsidR="00AC2131" w:rsidRPr="00D62D72" w:rsidTr="00AC2131">
              <w:tc>
                <w:tcPr>
                  <w:tcW w:w="1734" w:type="pct"/>
                </w:tcPr>
                <w:p w:rsidR="00AC2131" w:rsidRPr="003E3D21" w:rsidRDefault="00AC2131" w:rsidP="00AC2131">
                  <w:pPr>
                    <w:pStyle w:val="TableUnitsRow"/>
                    <w:spacing w:before="80"/>
                    <w:jc w:val="left"/>
                    <w:rPr>
                      <w:spacing w:val="-2"/>
                    </w:rPr>
                  </w:pPr>
                  <w:r w:rsidRPr="003E3D21">
                    <w:rPr>
                      <w:spacing w:val="-2"/>
                    </w:rPr>
                    <w:t xml:space="preserve">Johnson and </w:t>
                  </w:r>
                  <w:r w:rsidR="00B51CF2">
                    <w:rPr>
                      <w:spacing w:val="-2"/>
                    </w:rPr>
                    <w:t>Noguera</w:t>
                  </w:r>
                  <w:r w:rsidRPr="003E3D21">
                    <w:rPr>
                      <w:spacing w:val="-2"/>
                    </w:rPr>
                    <w:t xml:space="preserve"> (2012a)</w:t>
                  </w:r>
                </w:p>
              </w:tc>
              <w:tc>
                <w:tcPr>
                  <w:tcW w:w="468" w:type="pct"/>
                </w:tcPr>
                <w:p w:rsidR="00AC2131" w:rsidRPr="00D62D72" w:rsidRDefault="00AC2131" w:rsidP="00AC2131">
                  <w:pPr>
                    <w:pStyle w:val="TableUnitsRow"/>
                    <w:spacing w:before="80"/>
                  </w:pPr>
                  <w:r w:rsidRPr="00D62D72">
                    <w:t>87.0</w:t>
                  </w:r>
                </w:p>
              </w:tc>
              <w:tc>
                <w:tcPr>
                  <w:tcW w:w="468" w:type="pct"/>
                </w:tcPr>
                <w:p w:rsidR="00AC2131" w:rsidRPr="00D62D72" w:rsidRDefault="00AC2131" w:rsidP="00AC2131">
                  <w:pPr>
                    <w:pStyle w:val="TableUnitsRow"/>
                    <w:spacing w:before="80"/>
                  </w:pPr>
                  <w:r w:rsidRPr="00D62D72">
                    <w:t>83.0</w:t>
                  </w:r>
                </w:p>
              </w:tc>
              <w:tc>
                <w:tcPr>
                  <w:tcW w:w="468" w:type="pct"/>
                </w:tcPr>
                <w:p w:rsidR="00AC2131" w:rsidRPr="00D62D72" w:rsidRDefault="00AC2131" w:rsidP="00AC2131">
                  <w:pPr>
                    <w:pStyle w:val="TableUnitsRow"/>
                    <w:spacing w:before="80"/>
                  </w:pPr>
                  <w:r w:rsidRPr="00D62D72">
                    <w:t>80.0</w:t>
                  </w:r>
                </w:p>
              </w:tc>
              <w:tc>
                <w:tcPr>
                  <w:tcW w:w="468" w:type="pct"/>
                </w:tcPr>
                <w:p w:rsidR="00AC2131" w:rsidRPr="00D62D72" w:rsidRDefault="00AC2131" w:rsidP="00AC2131">
                  <w:pPr>
                    <w:pStyle w:val="TableUnitsRow"/>
                    <w:spacing w:before="80"/>
                  </w:pPr>
                  <w:r w:rsidRPr="00D62D72">
                    <w:t>73.0</w:t>
                  </w:r>
                </w:p>
              </w:tc>
              <w:tc>
                <w:tcPr>
                  <w:tcW w:w="468" w:type="pct"/>
                </w:tcPr>
                <w:p w:rsidR="00AC2131" w:rsidRPr="00D62D72" w:rsidRDefault="00AC2131" w:rsidP="00AC2131">
                  <w:pPr>
                    <w:pStyle w:val="TableUnitsRow"/>
                    <w:spacing w:before="80"/>
                  </w:pPr>
                  <w:r w:rsidRPr="00D62D72">
                    <w:t>74.0</w:t>
                  </w:r>
                </w:p>
              </w:tc>
              <w:tc>
                <w:tcPr>
                  <w:tcW w:w="468" w:type="pct"/>
                </w:tcPr>
                <w:p w:rsidR="00AC2131" w:rsidRPr="00D62D72" w:rsidRDefault="00AC2131" w:rsidP="00AC2131">
                  <w:pPr>
                    <w:pStyle w:val="TableUnitsRow"/>
                    <w:spacing w:before="80"/>
                  </w:pPr>
                  <w:r w:rsidRPr="00D62D72">
                    <w:t>77.0</w:t>
                  </w:r>
                </w:p>
              </w:tc>
              <w:tc>
                <w:tcPr>
                  <w:tcW w:w="460" w:type="pct"/>
                </w:tcPr>
                <w:p w:rsidR="00AC2131" w:rsidRPr="00D62D72" w:rsidRDefault="00AC2131" w:rsidP="00AC2131">
                  <w:pPr>
                    <w:pStyle w:val="TableUnitsRow"/>
                    <w:spacing w:before="80"/>
                    <w:ind w:right="28"/>
                  </w:pPr>
                </w:p>
              </w:tc>
            </w:tr>
            <w:tr w:rsidR="00AC2131" w:rsidRPr="00D62D72" w:rsidTr="00AC2131">
              <w:tc>
                <w:tcPr>
                  <w:tcW w:w="1734" w:type="pct"/>
                </w:tcPr>
                <w:p w:rsidR="00AC2131" w:rsidRPr="003E3D21" w:rsidRDefault="00AC2131" w:rsidP="00AC2131">
                  <w:pPr>
                    <w:pStyle w:val="TableUnitsRow"/>
                    <w:spacing w:before="80"/>
                    <w:jc w:val="left"/>
                    <w:rPr>
                      <w:spacing w:val="-2"/>
                    </w:rPr>
                  </w:pPr>
                  <w:r w:rsidRPr="003E3D21">
                    <w:rPr>
                      <w:spacing w:val="-2"/>
                    </w:rPr>
                    <w:t>Johnson (2014)</w:t>
                  </w: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r w:rsidRPr="00D62D72">
                    <w:t>71.0</w:t>
                  </w:r>
                </w:p>
              </w:tc>
              <w:tc>
                <w:tcPr>
                  <w:tcW w:w="468" w:type="pct"/>
                </w:tcPr>
                <w:p w:rsidR="00AC2131" w:rsidRPr="00D62D72" w:rsidRDefault="00AC2131" w:rsidP="00AC2131">
                  <w:pPr>
                    <w:pStyle w:val="TableUnitsRow"/>
                    <w:spacing w:before="80"/>
                  </w:pPr>
                </w:p>
              </w:tc>
              <w:tc>
                <w:tcPr>
                  <w:tcW w:w="460" w:type="pct"/>
                </w:tcPr>
                <w:p w:rsidR="00AC2131" w:rsidRPr="00D62D72" w:rsidRDefault="00AC2131" w:rsidP="00AC2131">
                  <w:pPr>
                    <w:pStyle w:val="TableUnitsRow"/>
                    <w:spacing w:before="80"/>
                    <w:ind w:right="28"/>
                  </w:pPr>
                </w:p>
              </w:tc>
            </w:tr>
            <w:tr w:rsidR="00AC2131" w:rsidRPr="00D62D72" w:rsidTr="00AC2131">
              <w:tc>
                <w:tcPr>
                  <w:tcW w:w="1734" w:type="pct"/>
                </w:tcPr>
                <w:p w:rsidR="00AC2131" w:rsidRPr="003E3D21" w:rsidRDefault="00AC2131" w:rsidP="00AC2131">
                  <w:pPr>
                    <w:pStyle w:val="TableUnitsRow"/>
                    <w:spacing w:before="80"/>
                    <w:jc w:val="left"/>
                    <w:rPr>
                      <w:spacing w:val="-2"/>
                    </w:rPr>
                  </w:pPr>
                  <w:r w:rsidRPr="003E3D21">
                    <w:rPr>
                      <w:spacing w:val="-2"/>
                    </w:rPr>
                    <w:t>Koopman et al (2014)</w:t>
                  </w: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r w:rsidRPr="00D62D72">
                    <w:t>74.4</w:t>
                  </w:r>
                </w:p>
              </w:tc>
              <w:tc>
                <w:tcPr>
                  <w:tcW w:w="468" w:type="pct"/>
                </w:tcPr>
                <w:p w:rsidR="00AC2131" w:rsidRPr="00D62D72" w:rsidRDefault="00AC2131" w:rsidP="00AC2131">
                  <w:pPr>
                    <w:pStyle w:val="TableUnitsRow"/>
                    <w:spacing w:before="80"/>
                  </w:pPr>
                </w:p>
              </w:tc>
              <w:tc>
                <w:tcPr>
                  <w:tcW w:w="468" w:type="pct"/>
                </w:tcPr>
                <w:p w:rsidR="00AC2131" w:rsidRPr="00D62D72" w:rsidRDefault="00AC2131" w:rsidP="00AC2131">
                  <w:pPr>
                    <w:pStyle w:val="TableUnitsRow"/>
                    <w:spacing w:before="80"/>
                  </w:pPr>
                </w:p>
              </w:tc>
              <w:tc>
                <w:tcPr>
                  <w:tcW w:w="460" w:type="pct"/>
                </w:tcPr>
                <w:p w:rsidR="00AC2131" w:rsidRPr="00D62D72" w:rsidRDefault="00AC2131" w:rsidP="00AC2131">
                  <w:pPr>
                    <w:pStyle w:val="TableUnitsRow"/>
                    <w:spacing w:before="80"/>
                    <w:ind w:right="28"/>
                  </w:pPr>
                </w:p>
              </w:tc>
            </w:tr>
            <w:tr w:rsidR="00AC2131" w:rsidRPr="00D62D72" w:rsidTr="00AC2131">
              <w:tc>
                <w:tcPr>
                  <w:tcW w:w="1734" w:type="pct"/>
                  <w:tcBorders>
                    <w:bottom w:val="single" w:sz="6" w:space="0" w:color="BFBFBF"/>
                  </w:tcBorders>
                  <w:shd w:val="clear" w:color="auto" w:fill="auto"/>
                </w:tcPr>
                <w:p w:rsidR="00AC2131" w:rsidRPr="003E3D21" w:rsidRDefault="00AC2131" w:rsidP="00AC2131">
                  <w:pPr>
                    <w:pStyle w:val="TableBodyText"/>
                    <w:spacing w:before="80"/>
                    <w:jc w:val="left"/>
                    <w:rPr>
                      <w:spacing w:val="-2"/>
                    </w:rPr>
                  </w:pPr>
                  <w:r w:rsidRPr="003E3D21">
                    <w:rPr>
                      <w:spacing w:val="-2"/>
                    </w:rPr>
                    <w:t>Kelly and La Cava (2014)</w:t>
                  </w:r>
                </w:p>
              </w:tc>
              <w:tc>
                <w:tcPr>
                  <w:tcW w:w="468" w:type="pct"/>
                  <w:tcBorders>
                    <w:bottom w:val="single" w:sz="6" w:space="0" w:color="BFBFBF"/>
                  </w:tcBorders>
                </w:tcPr>
                <w:p w:rsidR="00AC2131" w:rsidRPr="00D62D72" w:rsidRDefault="00AC2131" w:rsidP="00AC2131">
                  <w:pPr>
                    <w:pStyle w:val="TableBodyText"/>
                    <w:spacing w:before="80"/>
                  </w:pPr>
                </w:p>
              </w:tc>
              <w:tc>
                <w:tcPr>
                  <w:tcW w:w="468" w:type="pct"/>
                  <w:tcBorders>
                    <w:bottom w:val="single" w:sz="6" w:space="0" w:color="BFBFBF"/>
                  </w:tcBorders>
                </w:tcPr>
                <w:p w:rsidR="00AC2131" w:rsidRPr="00D62D72" w:rsidRDefault="00AC2131" w:rsidP="00AC2131">
                  <w:pPr>
                    <w:pStyle w:val="TableBodyText"/>
                    <w:spacing w:before="80"/>
                  </w:pPr>
                </w:p>
              </w:tc>
              <w:tc>
                <w:tcPr>
                  <w:tcW w:w="468" w:type="pct"/>
                  <w:tcBorders>
                    <w:bottom w:val="single" w:sz="6" w:space="0" w:color="BFBFBF"/>
                  </w:tcBorders>
                </w:tcPr>
                <w:p w:rsidR="00AC2131" w:rsidRPr="00D62D72" w:rsidRDefault="00AC2131" w:rsidP="00AC2131">
                  <w:pPr>
                    <w:pStyle w:val="TableBodyText"/>
                    <w:spacing w:before="80"/>
                  </w:pPr>
                  <w:r w:rsidRPr="00D62D72">
                    <w:t>75.0</w:t>
                  </w:r>
                </w:p>
              </w:tc>
              <w:tc>
                <w:tcPr>
                  <w:tcW w:w="468" w:type="pct"/>
                  <w:tcBorders>
                    <w:bottom w:val="single" w:sz="6" w:space="0" w:color="BFBFBF"/>
                  </w:tcBorders>
                </w:tcPr>
                <w:p w:rsidR="00AC2131" w:rsidRPr="00D62D72" w:rsidRDefault="00AC2131" w:rsidP="00AC2131">
                  <w:pPr>
                    <w:pStyle w:val="TableBodyText"/>
                    <w:spacing w:before="80"/>
                  </w:pPr>
                </w:p>
              </w:tc>
              <w:tc>
                <w:tcPr>
                  <w:tcW w:w="468" w:type="pct"/>
                  <w:tcBorders>
                    <w:bottom w:val="single" w:sz="6" w:space="0" w:color="BFBFBF"/>
                  </w:tcBorders>
                </w:tcPr>
                <w:p w:rsidR="00AC2131" w:rsidRPr="00D62D72" w:rsidRDefault="00AC2131" w:rsidP="00AC2131">
                  <w:pPr>
                    <w:pStyle w:val="TableBodyText"/>
                    <w:spacing w:before="80"/>
                  </w:pPr>
                </w:p>
              </w:tc>
              <w:tc>
                <w:tcPr>
                  <w:tcW w:w="468" w:type="pct"/>
                  <w:tcBorders>
                    <w:bottom w:val="single" w:sz="6" w:space="0" w:color="BFBFBF"/>
                  </w:tcBorders>
                  <w:shd w:val="clear" w:color="auto" w:fill="auto"/>
                </w:tcPr>
                <w:p w:rsidR="00AC2131" w:rsidRPr="00D62D72" w:rsidRDefault="00AC2131" w:rsidP="00AC2131">
                  <w:pPr>
                    <w:pStyle w:val="TableBodyText"/>
                    <w:spacing w:before="80"/>
                  </w:pPr>
                </w:p>
              </w:tc>
              <w:tc>
                <w:tcPr>
                  <w:tcW w:w="460" w:type="pct"/>
                  <w:tcBorders>
                    <w:bottom w:val="single" w:sz="6" w:space="0" w:color="BFBFBF"/>
                  </w:tcBorders>
                  <w:shd w:val="clear" w:color="auto" w:fill="auto"/>
                </w:tcPr>
                <w:p w:rsidR="00AC2131" w:rsidRPr="00D62D72" w:rsidRDefault="00AC2131" w:rsidP="00AC2131">
                  <w:pPr>
                    <w:pStyle w:val="TableBodyText"/>
                    <w:spacing w:before="80"/>
                    <w:ind w:right="28"/>
                  </w:pPr>
                  <w:r w:rsidRPr="00D62D72">
                    <w:t>69.9</w:t>
                  </w:r>
                </w:p>
              </w:tc>
            </w:tr>
          </w:tbl>
          <w:p w:rsidR="00AC2131" w:rsidRDefault="00AC2131" w:rsidP="00AC2131"/>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4"/>
      </w:pPr>
      <w:r>
        <w:t xml:space="preserve">Sectoral trends have varied </w:t>
      </w:r>
    </w:p>
    <w:p w:rsidR="00AC2131" w:rsidRDefault="00AC2131" w:rsidP="00AC2131">
      <w:pPr>
        <w:pStyle w:val="BodyText"/>
      </w:pPr>
      <w:r>
        <w:t xml:space="preserve">The increase in the ratio of gross exports to value added, between 1970 and 2009, particularly after 1990, predominantly reflects structural changes within the global manufacturing sector </w:t>
      </w:r>
      <w:r w:rsidRPr="001C47F4">
        <w:t>(figure </w:t>
      </w:r>
      <w:r>
        <w:t>B.9</w:t>
      </w:r>
      <w:r w:rsidRPr="001C47F4">
        <w:t>)</w:t>
      </w:r>
      <w:r>
        <w:t>. In particular, while exports of final manufactures has grown (steadily), the number of stages (or slicing up) of the stock of final manufactures has increased faster. As a result, the value of exports of manufactures relative to the value added exports of manufacturing has risen over 30 per cent — mainly since 1990. In contrast, exports of agricultural products and services per unit of value added in exports has slightly declined — as exports of agricultural products and services have grown slower than the use of those products as inputs into the increasingly fragmented manufacturing sector.</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pPr>
            <w:r w:rsidRPr="00784A05">
              <w:rPr>
                <w:b w:val="0"/>
              </w:rPr>
              <w:t xml:space="preserve">Figure </w:t>
            </w:r>
            <w:r>
              <w:rPr>
                <w:b w:val="0"/>
              </w:rPr>
              <w:t>B.</w:t>
            </w:r>
            <w:r>
              <w:rPr>
                <w:b w:val="0"/>
                <w:noProof/>
              </w:rPr>
              <w:t>9</w:t>
            </w:r>
            <w:r>
              <w:tab/>
              <w:t>Changes in global exports per unit value added in exporting by sector, 1970 to 2009</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4E14C399" wp14:editId="0DA0B3C7">
                        <wp:extent cx="5257800" cy="2800350"/>
                        <wp:effectExtent l="0" t="0" r="0" b="0"/>
                        <wp:docPr id="41" name="Picture 41" descr="Figure B.9 presents the ratio of global gross exports of a sector to sectoral value added in exports, from 1970 to 2009. More details can be found within the text immediately surrounding this 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784A05" w:rsidRDefault="00AC2131" w:rsidP="00AC2131">
            <w:pPr>
              <w:pStyle w:val="Note"/>
              <w:rPr>
                <w:i/>
              </w:rPr>
            </w:pPr>
            <w:r w:rsidRPr="00074A3B">
              <w:rPr>
                <w:rStyle w:val="NoteLabel"/>
              </w:rPr>
              <w:t>a</w:t>
            </w:r>
            <w:r>
              <w:t> Non-manufacturing includes oil and gas, iron ores and other mining</w:t>
            </w: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 xml:space="preserve">Johnson and </w:t>
            </w:r>
            <w:r w:rsidR="00B51CF2">
              <w:t>Noguera</w:t>
            </w:r>
            <w:r>
              <w:t xml:space="preserve"> (2012a, table 6, p.58).</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4"/>
      </w:pPr>
      <w:r>
        <w:t xml:space="preserve">Differences across countries </w:t>
      </w:r>
    </w:p>
    <w:p w:rsidR="00AC2131" w:rsidRDefault="00AC2131" w:rsidP="00AC2131">
      <w:pPr>
        <w:pStyle w:val="BodyText"/>
      </w:pPr>
      <w:r>
        <w:t>There is wide variation across countries in exports per unit of value added (figure B.10). The relative low value for Australia reflects its large endowment and export of natural resources which requires relatively few imported inputs. It also reflects Australia’s geographic isolation, which has tended to exclude Australia from intermediate processing stages of global manufacturing supply chains. In contrast, gross exports per unit of value added is typically higher and increasing for countries close to production hubs, such as those in East Asia, Europe and North America. Most countries exhibited an increase in gross exports per unit of value added between 1970 and 2008.</w:t>
      </w:r>
      <w:r w:rsidRPr="00CF1B45">
        <w:t xml:space="preserve"> In</w:t>
      </w:r>
      <w:r>
        <w:t xml:space="preserve"> </w:t>
      </w:r>
      <w:r w:rsidRPr="00CF1B45">
        <w:t xml:space="preserve">general, </w:t>
      </w:r>
      <w:r>
        <w:t>increases</w:t>
      </w:r>
      <w:r w:rsidRPr="00CF1B45">
        <w:t xml:space="preserve"> have been larger in fast-growing emerging markets than other</w:t>
      </w:r>
      <w:r>
        <w:t xml:space="preserve"> </w:t>
      </w:r>
      <w:r w:rsidRPr="00CF1B45">
        <w:t>countries, largely due to the rapid increase in the share of manufactures in their</w:t>
      </w:r>
      <w:r>
        <w:t xml:space="preserve"> </w:t>
      </w:r>
      <w:r w:rsidRPr="00CF1B45">
        <w:t>gross exports over time</w:t>
      </w:r>
      <w:r>
        <w:t xml:space="preserve">. It has also been found </w:t>
      </w:r>
      <w:r w:rsidRPr="00420B49">
        <w:t xml:space="preserve">that the </w:t>
      </w:r>
      <w:r>
        <w:t xml:space="preserve">intensity </w:t>
      </w:r>
      <w:r w:rsidRPr="00420B49">
        <w:t xml:space="preserve">has </w:t>
      </w:r>
      <w:r>
        <w:t xml:space="preserve">increased </w:t>
      </w:r>
      <w:r w:rsidRPr="00420B49">
        <w:t>more for nearby countries and countries within the same</w:t>
      </w:r>
      <w:r>
        <w:t xml:space="preserve"> </w:t>
      </w:r>
      <w:r w:rsidRPr="00420B49">
        <w:t>region</w:t>
      </w:r>
      <w:r>
        <w:t>,</w:t>
      </w:r>
      <w:r w:rsidRPr="00420B49">
        <w:t xml:space="preserve"> </w:t>
      </w:r>
      <w:r>
        <w:t>as well as</w:t>
      </w:r>
      <w:r w:rsidRPr="00420B49">
        <w:t xml:space="preserve"> for countries that have adopted regional trade agreements with one</w:t>
      </w:r>
      <w:r>
        <w:t xml:space="preserve"> </w:t>
      </w:r>
      <w:r w:rsidRPr="00420B49">
        <w:t xml:space="preserve">another (Johnson and </w:t>
      </w:r>
      <w:r w:rsidR="00B51CF2">
        <w:t>Noguera</w:t>
      </w:r>
      <w:r>
        <w:t> </w:t>
      </w:r>
      <w:r w:rsidRPr="00420B49">
        <w:t>201</w:t>
      </w:r>
      <w:r>
        <w:t>2a</w:t>
      </w:r>
      <w:r w:rsidRPr="00420B49">
        <w:t>).</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B.</w:t>
            </w:r>
            <w:r>
              <w:rPr>
                <w:b w:val="0"/>
                <w:noProof/>
              </w:rPr>
              <w:t>10</w:t>
            </w:r>
            <w:r>
              <w:tab/>
              <w:t xml:space="preserve">Gross exports per unit of value added in exporting, </w:t>
            </w:r>
            <w:r>
              <w:br/>
              <w:t xml:space="preserve">top 20 exporting countries, 1970 and 2008 </w:t>
            </w:r>
          </w:p>
          <w:p w:rsidR="00AC2131" w:rsidRPr="00176D3F" w:rsidRDefault="00AC2131" w:rsidP="00AC2131">
            <w:pPr>
              <w:pStyle w:val="Subtitle"/>
            </w:pPr>
            <w:r>
              <w:t>Ranked by 2008 values</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Default="00AC2131" w:rsidP="00AC2131">
                  <w:pPr>
                    <w:pStyle w:val="Figure"/>
                    <w:spacing w:before="60" w:after="60"/>
                  </w:pPr>
                  <w:r>
                    <w:rPr>
                      <w:noProof/>
                    </w:rPr>
                    <w:drawing>
                      <wp:inline distT="0" distB="0" distL="0" distR="0" wp14:anchorId="691DA20C" wp14:editId="30DE8E83">
                        <wp:extent cx="5253990" cy="2800985"/>
                        <wp:effectExtent l="0" t="0" r="3810" b="0"/>
                        <wp:docPr id="42" name="Picture 42" descr="Figure B.10 presents gross exports per unit of value added in exporting, for the top 20 exporting countries, from 1970 to 2008.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253990" cy="2800985"/>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 xml:space="preserve">Johnson (2014). </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4"/>
      </w:pPr>
      <w:r>
        <w:t>Further decomposition of Australia’s gross exports into value-added components</w:t>
      </w:r>
    </w:p>
    <w:p w:rsidR="00AC2131" w:rsidRDefault="00AC2131" w:rsidP="00AC2131">
      <w:pPr>
        <w:pStyle w:val="BodyText"/>
      </w:pPr>
      <w:r>
        <w:t xml:space="preserve">Nearly 90 per cent of the value of Australia’s exports is derived from value added generated in Australia. As noted, this contribution is relatively high compared to the global average of 75 per cent reflecting Australia’s significant endowment of mineral resources and distance from foreign markets and suppliers. The remainder of the value of Australia’s exports is the foreign value added embodied in inputs used in Australia to produce goods and services for export (Koopman et al. 2014). </w:t>
      </w:r>
    </w:p>
    <w:p w:rsidR="00AC2131" w:rsidRDefault="00AC2131" w:rsidP="00AC2131">
      <w:pPr>
        <w:pStyle w:val="BodyText"/>
      </w:pPr>
      <w:r>
        <w:t>The most detailed analysis of the value-added components of the gross value of exports is available for the year 2004 (for Australia and New Zealand combined) (table B.3 and figure B.11).</w:t>
      </w:r>
      <w:r>
        <w:rPr>
          <w:rStyle w:val="FootnoteReference"/>
        </w:rPr>
        <w:footnoteReference w:id="63"/>
      </w:r>
      <w:r>
        <w:t xml:space="preserve"> This analysis indicates that in 2004, of the Australian (and New Zealand) value added embodied in its gross exports, around 27 per cent was embodied in final goods and services consumed by immediate trading partners (table B.3, first row in first column). Around a further 50 per cent of Australian value added is embodied in exports of intermediate goods and services further processed by Australia’s immediate trading partners for their own consumption or investment (table B.3, second row in first column).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B.</w:t>
            </w:r>
            <w:r>
              <w:rPr>
                <w:b w:val="0"/>
                <w:noProof/>
              </w:rPr>
              <w:t>3</w:t>
            </w:r>
            <w:r>
              <w:tab/>
            </w:r>
            <w:r w:rsidRPr="00DF5B72">
              <w:t>Components of gross exports, 2004</w:t>
            </w:r>
          </w:p>
        </w:tc>
      </w:tr>
      <w:tr w:rsidR="00AC2131" w:rsidTr="00AC2131">
        <w:trPr>
          <w:cantSplit/>
        </w:trPr>
        <w:tc>
          <w:tcPr>
            <w:tcW w:w="8771" w:type="dxa"/>
            <w:tcBorders>
              <w:top w:val="nil"/>
              <w:left w:val="nil"/>
              <w:bottom w:val="nil"/>
              <w:right w:val="nil"/>
            </w:tcBorders>
            <w:shd w:val="clear" w:color="auto" w:fill="auto"/>
          </w:tcPr>
          <w:tbl>
            <w:tblPr>
              <w:tblW w:w="8506" w:type="dxa"/>
              <w:tblLayout w:type="fixed"/>
              <w:tblCellMar>
                <w:top w:w="28" w:type="dxa"/>
                <w:left w:w="0" w:type="dxa"/>
                <w:right w:w="0" w:type="dxa"/>
              </w:tblCellMar>
              <w:tblLook w:val="0000" w:firstRow="0" w:lastRow="0" w:firstColumn="0" w:lastColumn="0" w:noHBand="0" w:noVBand="0"/>
            </w:tblPr>
            <w:tblGrid>
              <w:gridCol w:w="1700"/>
              <w:gridCol w:w="850"/>
              <w:gridCol w:w="851"/>
              <w:gridCol w:w="263"/>
              <w:gridCol w:w="2126"/>
              <w:gridCol w:w="729"/>
              <w:gridCol w:w="851"/>
              <w:gridCol w:w="1136"/>
            </w:tblGrid>
            <w:tr w:rsidR="00AC2131" w:rsidTr="00AC2131">
              <w:tc>
                <w:tcPr>
                  <w:tcW w:w="1700" w:type="dxa"/>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jc w:val="left"/>
                  </w:pPr>
                  <w:r>
                    <w:t>Components of gross exports</w:t>
                  </w:r>
                </w:p>
              </w:tc>
              <w:tc>
                <w:tcPr>
                  <w:tcW w:w="850" w:type="dxa"/>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pPr>
                  <w:r>
                    <w:t>Australia-New Zealand</w:t>
                  </w:r>
                </w:p>
              </w:tc>
              <w:tc>
                <w:tcPr>
                  <w:tcW w:w="851" w:type="dxa"/>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pPr>
                  <w:r>
                    <w:t>World average</w:t>
                  </w:r>
                </w:p>
              </w:tc>
              <w:tc>
                <w:tcPr>
                  <w:tcW w:w="263" w:type="dxa"/>
                  <w:tcBorders>
                    <w:top w:val="single" w:sz="6" w:space="0" w:color="BFBFBF"/>
                    <w:bottom w:val="single" w:sz="6" w:space="0" w:color="BFBFBF"/>
                  </w:tcBorders>
                </w:tcPr>
                <w:p w:rsidR="00AC2131" w:rsidRDefault="00AC2131" w:rsidP="00AC2131">
                  <w:pPr>
                    <w:pStyle w:val="TableColumnHeading"/>
                    <w:ind w:right="28"/>
                    <w:jc w:val="center"/>
                  </w:pPr>
                </w:p>
              </w:tc>
              <w:tc>
                <w:tcPr>
                  <w:tcW w:w="2126" w:type="dxa"/>
                  <w:tcBorders>
                    <w:top w:val="single" w:sz="6" w:space="0" w:color="BFBFBF"/>
                    <w:bottom w:val="single" w:sz="6" w:space="0" w:color="BFBFBF"/>
                  </w:tcBorders>
                  <w:vAlign w:val="bottom"/>
                </w:tcPr>
                <w:p w:rsidR="00AC2131" w:rsidRDefault="00AC2131" w:rsidP="00AC2131">
                  <w:pPr>
                    <w:pStyle w:val="TableColumnHeading"/>
                    <w:ind w:right="28"/>
                    <w:jc w:val="left"/>
                  </w:pPr>
                  <w:r>
                    <w:t>Comment</w:t>
                  </w:r>
                </w:p>
              </w:tc>
              <w:tc>
                <w:tcPr>
                  <w:tcW w:w="729" w:type="dxa"/>
                  <w:tcBorders>
                    <w:top w:val="single" w:sz="6" w:space="0" w:color="BFBFBF"/>
                    <w:bottom w:val="single" w:sz="6" w:space="0" w:color="BFBFBF"/>
                  </w:tcBorders>
                  <w:vAlign w:val="bottom"/>
                </w:tcPr>
                <w:p w:rsidR="00AC2131" w:rsidRDefault="00AC2131" w:rsidP="00AC2131">
                  <w:pPr>
                    <w:pStyle w:val="TableColumnHeading"/>
                  </w:pPr>
                  <w:r>
                    <w:t>USA</w:t>
                  </w:r>
                </w:p>
              </w:tc>
              <w:tc>
                <w:tcPr>
                  <w:tcW w:w="851" w:type="dxa"/>
                  <w:tcBorders>
                    <w:top w:val="single" w:sz="6" w:space="0" w:color="BFBFBF"/>
                    <w:bottom w:val="single" w:sz="6" w:space="0" w:color="BFBFBF"/>
                  </w:tcBorders>
                  <w:vAlign w:val="bottom"/>
                </w:tcPr>
                <w:p w:rsidR="00AC2131" w:rsidRDefault="00AC2131" w:rsidP="00AC2131">
                  <w:pPr>
                    <w:pStyle w:val="TableColumnHeading"/>
                  </w:pPr>
                  <w:r>
                    <w:t>China normal</w:t>
                  </w:r>
                </w:p>
              </w:tc>
              <w:tc>
                <w:tcPr>
                  <w:tcW w:w="1136" w:type="dxa"/>
                  <w:tcBorders>
                    <w:top w:val="single" w:sz="6" w:space="0" w:color="BFBFBF"/>
                    <w:bottom w:val="single" w:sz="6" w:space="0" w:color="BFBFBF"/>
                  </w:tcBorders>
                  <w:vAlign w:val="bottom"/>
                </w:tcPr>
                <w:p w:rsidR="00AC2131" w:rsidRDefault="00AC2131" w:rsidP="00AC2131">
                  <w:pPr>
                    <w:pStyle w:val="TableColumnHeading"/>
                    <w:ind w:right="186"/>
                  </w:pPr>
                  <w:r>
                    <w:t>China processing</w:t>
                  </w:r>
                </w:p>
              </w:tc>
            </w:tr>
            <w:tr w:rsidR="00AC2131" w:rsidTr="00AC2131">
              <w:tc>
                <w:tcPr>
                  <w:tcW w:w="1700" w:type="dxa"/>
                  <w:tcBorders>
                    <w:top w:val="single" w:sz="6" w:space="0" w:color="BFBFBF"/>
                  </w:tcBorders>
                </w:tcPr>
                <w:p w:rsidR="00AC2131" w:rsidRDefault="00AC2131" w:rsidP="00AC2131">
                  <w:pPr>
                    <w:pStyle w:val="TableUnitsRow"/>
                    <w:spacing w:before="80"/>
                    <w:jc w:val="left"/>
                  </w:pPr>
                  <w:r>
                    <w:t>Direct final exports</w:t>
                  </w:r>
                </w:p>
              </w:tc>
              <w:tc>
                <w:tcPr>
                  <w:tcW w:w="850" w:type="dxa"/>
                  <w:tcBorders>
                    <w:top w:val="single" w:sz="6" w:space="0" w:color="BFBFBF"/>
                  </w:tcBorders>
                </w:tcPr>
                <w:p w:rsidR="00AC2131" w:rsidRDefault="00AC2131" w:rsidP="00AC2131">
                  <w:pPr>
                    <w:pStyle w:val="TableUnitsRow"/>
                    <w:spacing w:before="80"/>
                    <w:rPr>
                      <w:i/>
                    </w:rPr>
                  </w:pPr>
                  <w:r>
                    <w:t>27.0</w:t>
                  </w:r>
                </w:p>
              </w:tc>
              <w:tc>
                <w:tcPr>
                  <w:tcW w:w="851" w:type="dxa"/>
                  <w:tcBorders>
                    <w:top w:val="single" w:sz="6" w:space="0" w:color="BFBFBF"/>
                  </w:tcBorders>
                </w:tcPr>
                <w:p w:rsidR="00AC2131" w:rsidRDefault="00AC2131" w:rsidP="00AC2131">
                  <w:pPr>
                    <w:pStyle w:val="TableUnitsRow"/>
                    <w:spacing w:before="80"/>
                    <w:rPr>
                      <w:i/>
                    </w:rPr>
                  </w:pPr>
                  <w:r>
                    <w:t>29.2</w:t>
                  </w:r>
                </w:p>
              </w:tc>
              <w:tc>
                <w:tcPr>
                  <w:tcW w:w="263" w:type="dxa"/>
                  <w:tcBorders>
                    <w:top w:val="single" w:sz="6" w:space="0" w:color="BFBFBF"/>
                  </w:tcBorders>
                  <w:vAlign w:val="center"/>
                </w:tcPr>
                <w:p w:rsidR="00AC2131" w:rsidRDefault="00AC2131" w:rsidP="00AC2131">
                  <w:pPr>
                    <w:pStyle w:val="TableUnitsRow"/>
                    <w:spacing w:before="80"/>
                    <w:ind w:right="28"/>
                  </w:pPr>
                </w:p>
              </w:tc>
              <w:tc>
                <w:tcPr>
                  <w:tcW w:w="2126" w:type="dxa"/>
                  <w:tcBorders>
                    <w:top w:val="single" w:sz="6" w:space="0" w:color="BFBFBF"/>
                  </w:tcBorders>
                  <w:vAlign w:val="center"/>
                </w:tcPr>
                <w:p w:rsidR="00AC2131" w:rsidRDefault="00AC2131" w:rsidP="00AC2131">
                  <w:pPr>
                    <w:pStyle w:val="TableUnitsRow"/>
                    <w:spacing w:before="80"/>
                    <w:ind w:right="28"/>
                  </w:pPr>
                </w:p>
              </w:tc>
              <w:tc>
                <w:tcPr>
                  <w:tcW w:w="729" w:type="dxa"/>
                  <w:tcBorders>
                    <w:top w:val="single" w:sz="6" w:space="0" w:color="BFBFBF"/>
                  </w:tcBorders>
                </w:tcPr>
                <w:p w:rsidR="00AC2131" w:rsidRDefault="00AC2131" w:rsidP="00AC2131">
                  <w:pPr>
                    <w:pStyle w:val="TableUnitsRow"/>
                    <w:spacing w:before="80"/>
                    <w:rPr>
                      <w:i/>
                    </w:rPr>
                  </w:pPr>
                  <w:r>
                    <w:t>32.5</w:t>
                  </w:r>
                </w:p>
              </w:tc>
              <w:tc>
                <w:tcPr>
                  <w:tcW w:w="851" w:type="dxa"/>
                  <w:tcBorders>
                    <w:top w:val="single" w:sz="6" w:space="0" w:color="BFBFBF"/>
                  </w:tcBorders>
                </w:tcPr>
                <w:p w:rsidR="00AC2131" w:rsidRDefault="00AC2131" w:rsidP="00AC2131">
                  <w:pPr>
                    <w:pStyle w:val="TableUnitsRow"/>
                    <w:spacing w:before="80"/>
                    <w:rPr>
                      <w:i/>
                    </w:rPr>
                  </w:pPr>
                  <w:r>
                    <w:t>44.2</w:t>
                  </w:r>
                </w:p>
              </w:tc>
              <w:tc>
                <w:tcPr>
                  <w:tcW w:w="1136" w:type="dxa"/>
                  <w:tcBorders>
                    <w:top w:val="single" w:sz="6" w:space="0" w:color="BFBFBF"/>
                  </w:tcBorders>
                </w:tcPr>
                <w:p w:rsidR="00AC2131" w:rsidRDefault="00AC2131" w:rsidP="00AC2131">
                  <w:pPr>
                    <w:pStyle w:val="TableUnitsRow"/>
                    <w:spacing w:before="80"/>
                    <w:ind w:left="0" w:right="186" w:firstLine="6"/>
                    <w:rPr>
                      <w:i/>
                    </w:rPr>
                  </w:pPr>
                  <w:r>
                    <w:t>28.8</w:t>
                  </w:r>
                </w:p>
              </w:tc>
            </w:tr>
            <w:tr w:rsidR="00AC2131" w:rsidTr="00AC2131">
              <w:tc>
                <w:tcPr>
                  <w:tcW w:w="1700" w:type="dxa"/>
                </w:tcPr>
                <w:p w:rsidR="00AC2131" w:rsidRDefault="00AC2131" w:rsidP="00AC2131">
                  <w:pPr>
                    <w:pStyle w:val="TableUnitsRow"/>
                    <w:spacing w:before="80"/>
                    <w:jc w:val="left"/>
                  </w:pPr>
                  <w:r>
                    <w:t>Intermediate inputs within trading partner</w:t>
                  </w:r>
                </w:p>
              </w:tc>
              <w:tc>
                <w:tcPr>
                  <w:tcW w:w="850" w:type="dxa"/>
                </w:tcPr>
                <w:p w:rsidR="00AC2131" w:rsidRPr="001E3105" w:rsidRDefault="00AC2131" w:rsidP="00AC2131">
                  <w:pPr>
                    <w:pStyle w:val="TableUnitsRow"/>
                    <w:spacing w:before="80"/>
                    <w:rPr>
                      <w:i/>
                    </w:rPr>
                  </w:pPr>
                  <w:r w:rsidRPr="001E3105">
                    <w:t>50.5</w:t>
                  </w:r>
                </w:p>
              </w:tc>
              <w:tc>
                <w:tcPr>
                  <w:tcW w:w="851" w:type="dxa"/>
                </w:tcPr>
                <w:p w:rsidR="00AC2131" w:rsidRPr="00693A42" w:rsidRDefault="00AC2131" w:rsidP="00AC2131">
                  <w:pPr>
                    <w:pStyle w:val="TableUnitsRow"/>
                    <w:spacing w:before="80"/>
                    <w:rPr>
                      <w:i/>
                    </w:rPr>
                  </w:pPr>
                  <w:r w:rsidRPr="00693A42">
                    <w:t>38.4</w:t>
                  </w:r>
                </w:p>
              </w:tc>
              <w:tc>
                <w:tcPr>
                  <w:tcW w:w="263" w:type="dxa"/>
                </w:tcPr>
                <w:p w:rsidR="00AC2131" w:rsidRPr="00693A42" w:rsidRDefault="00AC2131" w:rsidP="00AC2131">
                  <w:pPr>
                    <w:pStyle w:val="TableUnitsRow"/>
                    <w:spacing w:before="80"/>
                    <w:ind w:right="28"/>
                    <w:jc w:val="left"/>
                  </w:pPr>
                </w:p>
              </w:tc>
              <w:tc>
                <w:tcPr>
                  <w:tcW w:w="2126" w:type="dxa"/>
                </w:tcPr>
                <w:p w:rsidR="00AC2131" w:rsidRPr="00693A42" w:rsidRDefault="00AC2131" w:rsidP="00AC2131">
                  <w:pPr>
                    <w:pStyle w:val="TableUnitsRow"/>
                    <w:spacing w:before="80"/>
                    <w:ind w:right="28"/>
                    <w:jc w:val="left"/>
                  </w:pPr>
                  <w:r w:rsidRPr="00693A42">
                    <w:t>Australia’s exports get further processed more than the average.</w:t>
                  </w:r>
                </w:p>
              </w:tc>
              <w:tc>
                <w:tcPr>
                  <w:tcW w:w="729" w:type="dxa"/>
                </w:tcPr>
                <w:p w:rsidR="00AC2131" w:rsidRDefault="00AC2131" w:rsidP="00AC2131">
                  <w:pPr>
                    <w:pStyle w:val="TableUnitsRow"/>
                    <w:spacing w:before="80"/>
                    <w:rPr>
                      <w:i/>
                    </w:rPr>
                  </w:pPr>
                  <w:r>
                    <w:t>36.6</w:t>
                  </w:r>
                </w:p>
              </w:tc>
              <w:tc>
                <w:tcPr>
                  <w:tcW w:w="851" w:type="dxa"/>
                </w:tcPr>
                <w:p w:rsidR="00AC2131" w:rsidRDefault="00AC2131" w:rsidP="00AC2131">
                  <w:pPr>
                    <w:pStyle w:val="TableUnitsRow"/>
                    <w:spacing w:before="80"/>
                    <w:rPr>
                      <w:i/>
                    </w:rPr>
                  </w:pPr>
                  <w:r>
                    <w:t>31.8</w:t>
                  </w:r>
                </w:p>
              </w:tc>
              <w:tc>
                <w:tcPr>
                  <w:tcW w:w="1136" w:type="dxa"/>
                </w:tcPr>
                <w:p w:rsidR="00AC2131" w:rsidRDefault="00AC2131" w:rsidP="00AC2131">
                  <w:pPr>
                    <w:pStyle w:val="TableUnitsRow"/>
                    <w:spacing w:before="80"/>
                    <w:ind w:left="0" w:right="186" w:firstLine="6"/>
                    <w:rPr>
                      <w:i/>
                    </w:rPr>
                  </w:pPr>
                  <w:r>
                    <w:t>12.6</w:t>
                  </w:r>
                </w:p>
              </w:tc>
            </w:tr>
            <w:tr w:rsidR="00AC2131" w:rsidTr="00AC2131">
              <w:tc>
                <w:tcPr>
                  <w:tcW w:w="1700" w:type="dxa"/>
                </w:tcPr>
                <w:p w:rsidR="00AC2131" w:rsidRDefault="00AC2131" w:rsidP="00AC2131">
                  <w:pPr>
                    <w:pStyle w:val="TableUnitsRow"/>
                    <w:spacing w:before="80"/>
                    <w:jc w:val="left"/>
                  </w:pPr>
                  <w:r>
                    <w:t>Intermediate inputs exported to 3</w:t>
                  </w:r>
                  <w:r w:rsidRPr="006777F9">
                    <w:rPr>
                      <w:vertAlign w:val="superscript"/>
                    </w:rPr>
                    <w:t>rd</w:t>
                  </w:r>
                  <w:r>
                    <w:t xml:space="preserve"> countries</w:t>
                  </w:r>
                </w:p>
              </w:tc>
              <w:tc>
                <w:tcPr>
                  <w:tcW w:w="850" w:type="dxa"/>
                </w:tcPr>
                <w:p w:rsidR="00AC2131" w:rsidRPr="001E3105" w:rsidRDefault="00AC2131" w:rsidP="00AC2131">
                  <w:pPr>
                    <w:pStyle w:val="TableUnitsRow"/>
                    <w:spacing w:before="80"/>
                    <w:rPr>
                      <w:i/>
                    </w:rPr>
                  </w:pPr>
                  <w:r w:rsidRPr="001E3105">
                    <w:t>10.5</w:t>
                  </w:r>
                </w:p>
              </w:tc>
              <w:tc>
                <w:tcPr>
                  <w:tcW w:w="851" w:type="dxa"/>
                </w:tcPr>
                <w:p w:rsidR="00AC2131" w:rsidRPr="00693A42" w:rsidRDefault="00AC2131" w:rsidP="00AC2131">
                  <w:pPr>
                    <w:pStyle w:val="TableUnitsRow"/>
                    <w:spacing w:before="80"/>
                    <w:rPr>
                      <w:i/>
                    </w:rPr>
                  </w:pPr>
                  <w:r w:rsidRPr="00693A42">
                    <w:t>6.8</w:t>
                  </w:r>
                </w:p>
              </w:tc>
              <w:tc>
                <w:tcPr>
                  <w:tcW w:w="263" w:type="dxa"/>
                </w:tcPr>
                <w:p w:rsidR="00AC2131" w:rsidRPr="00693A42" w:rsidRDefault="00AC2131" w:rsidP="00AC2131">
                  <w:pPr>
                    <w:pStyle w:val="TableUnitsRow"/>
                    <w:spacing w:before="80"/>
                    <w:ind w:right="28"/>
                    <w:jc w:val="left"/>
                  </w:pPr>
                </w:p>
              </w:tc>
              <w:tc>
                <w:tcPr>
                  <w:tcW w:w="2126" w:type="dxa"/>
                </w:tcPr>
                <w:p w:rsidR="00AC2131" w:rsidRPr="005B4DAD" w:rsidRDefault="00AC2131" w:rsidP="00AC2131">
                  <w:pPr>
                    <w:pStyle w:val="TableUnitsRow"/>
                    <w:spacing w:before="80"/>
                    <w:ind w:right="28"/>
                    <w:jc w:val="left"/>
                    <w:rPr>
                      <w:spacing w:val="-2"/>
                    </w:rPr>
                  </w:pPr>
                  <w:r w:rsidRPr="005B4DAD">
                    <w:rPr>
                      <w:spacing w:val="-2"/>
                    </w:rPr>
                    <w:t>Australia’s exports get processed and on-exported to other countries more than the average</w:t>
                  </w:r>
                </w:p>
              </w:tc>
              <w:tc>
                <w:tcPr>
                  <w:tcW w:w="729" w:type="dxa"/>
                </w:tcPr>
                <w:p w:rsidR="00AC2131" w:rsidRDefault="00AC2131" w:rsidP="00AC2131">
                  <w:pPr>
                    <w:pStyle w:val="TableUnitsRow"/>
                    <w:spacing w:before="80"/>
                    <w:rPr>
                      <w:i/>
                    </w:rPr>
                  </w:pPr>
                  <w:r>
                    <w:t>5.5</w:t>
                  </w:r>
                </w:p>
              </w:tc>
              <w:tc>
                <w:tcPr>
                  <w:tcW w:w="851" w:type="dxa"/>
                </w:tcPr>
                <w:p w:rsidR="00AC2131" w:rsidRDefault="00AC2131" w:rsidP="00AC2131">
                  <w:pPr>
                    <w:pStyle w:val="TableUnitsRow"/>
                    <w:spacing w:before="80"/>
                    <w:rPr>
                      <w:i/>
                    </w:rPr>
                  </w:pPr>
                  <w:r>
                    <w:t>8.1</w:t>
                  </w:r>
                </w:p>
              </w:tc>
              <w:tc>
                <w:tcPr>
                  <w:tcW w:w="1136" w:type="dxa"/>
                </w:tcPr>
                <w:p w:rsidR="00AC2131" w:rsidRDefault="00AC2131" w:rsidP="00AC2131">
                  <w:pPr>
                    <w:pStyle w:val="TableUnitsRow"/>
                    <w:spacing w:before="80"/>
                    <w:ind w:left="0" w:right="186" w:firstLine="6"/>
                    <w:rPr>
                      <w:i/>
                    </w:rPr>
                  </w:pPr>
                  <w:r>
                    <w:t>1.7</w:t>
                  </w:r>
                </w:p>
              </w:tc>
            </w:tr>
            <w:tr w:rsidR="00AC2131" w:rsidTr="00AC2131">
              <w:tc>
                <w:tcPr>
                  <w:tcW w:w="1700" w:type="dxa"/>
                </w:tcPr>
                <w:p w:rsidR="00AC2131" w:rsidRPr="000F38E8" w:rsidRDefault="00AC2131" w:rsidP="00AC2131">
                  <w:pPr>
                    <w:pStyle w:val="TableUnitsRow"/>
                    <w:spacing w:before="80"/>
                    <w:jc w:val="left"/>
                    <w:rPr>
                      <w:b/>
                    </w:rPr>
                  </w:pPr>
                  <w:r>
                    <w:rPr>
                      <w:b/>
                    </w:rPr>
                    <w:t>Value added</w:t>
                  </w:r>
                  <w:r w:rsidRPr="000F38E8">
                    <w:rPr>
                      <w:b/>
                    </w:rPr>
                    <w:t xml:space="preserve"> </w:t>
                  </w:r>
                  <w:r>
                    <w:rPr>
                      <w:b/>
                    </w:rPr>
                    <w:t xml:space="preserve">to </w:t>
                  </w:r>
                  <w:r w:rsidRPr="000F38E8">
                    <w:rPr>
                      <w:b/>
                    </w:rPr>
                    <w:t>exports (VAX)</w:t>
                  </w:r>
                </w:p>
              </w:tc>
              <w:tc>
                <w:tcPr>
                  <w:tcW w:w="850" w:type="dxa"/>
                </w:tcPr>
                <w:p w:rsidR="00AC2131" w:rsidRPr="000F38E8" w:rsidRDefault="00AC2131" w:rsidP="00AC2131">
                  <w:pPr>
                    <w:pStyle w:val="TableUnitsRow"/>
                    <w:spacing w:before="80"/>
                    <w:rPr>
                      <w:b/>
                      <w:i/>
                    </w:rPr>
                  </w:pPr>
                  <w:r w:rsidRPr="000F38E8">
                    <w:rPr>
                      <w:b/>
                    </w:rPr>
                    <w:t>88</w:t>
                  </w:r>
                </w:p>
              </w:tc>
              <w:tc>
                <w:tcPr>
                  <w:tcW w:w="851" w:type="dxa"/>
                </w:tcPr>
                <w:p w:rsidR="00AC2131" w:rsidRPr="000F38E8" w:rsidRDefault="00AC2131" w:rsidP="00AC2131">
                  <w:pPr>
                    <w:pStyle w:val="TableUnitsRow"/>
                    <w:spacing w:before="80"/>
                    <w:rPr>
                      <w:b/>
                      <w:i/>
                    </w:rPr>
                  </w:pPr>
                  <w:r w:rsidRPr="000F38E8">
                    <w:rPr>
                      <w:b/>
                    </w:rPr>
                    <w:t>74.2</w:t>
                  </w:r>
                </w:p>
              </w:tc>
              <w:tc>
                <w:tcPr>
                  <w:tcW w:w="263" w:type="dxa"/>
                </w:tcPr>
                <w:p w:rsidR="00AC2131" w:rsidRDefault="00AC2131" w:rsidP="00AC2131">
                  <w:pPr>
                    <w:pStyle w:val="TableUnitsRow"/>
                    <w:spacing w:before="80"/>
                    <w:ind w:right="28"/>
                    <w:jc w:val="left"/>
                  </w:pPr>
                </w:p>
              </w:tc>
              <w:tc>
                <w:tcPr>
                  <w:tcW w:w="2126" w:type="dxa"/>
                </w:tcPr>
                <w:p w:rsidR="00AC2131" w:rsidRDefault="00AC2131" w:rsidP="00AC2131">
                  <w:pPr>
                    <w:pStyle w:val="TableUnitsRow"/>
                    <w:spacing w:before="80"/>
                    <w:ind w:right="28"/>
                    <w:jc w:val="left"/>
                  </w:pPr>
                  <w:r>
                    <w:t>VAX/Gross Exports is an indicator of the degree of fragmentation of trade. VAX ratio declining over time. VAX ratios differ by country and industry.</w:t>
                  </w:r>
                </w:p>
              </w:tc>
              <w:tc>
                <w:tcPr>
                  <w:tcW w:w="729" w:type="dxa"/>
                </w:tcPr>
                <w:p w:rsidR="00AC2131" w:rsidRPr="000F38E8" w:rsidRDefault="00AC2131" w:rsidP="00AC2131">
                  <w:pPr>
                    <w:pStyle w:val="TableUnitsRow"/>
                    <w:spacing w:before="80"/>
                    <w:rPr>
                      <w:b/>
                      <w:i/>
                    </w:rPr>
                  </w:pPr>
                  <w:r w:rsidRPr="000F38E8">
                    <w:rPr>
                      <w:b/>
                    </w:rPr>
                    <w:t>74.6</w:t>
                  </w:r>
                </w:p>
              </w:tc>
              <w:tc>
                <w:tcPr>
                  <w:tcW w:w="851" w:type="dxa"/>
                </w:tcPr>
                <w:p w:rsidR="00AC2131" w:rsidRPr="000F38E8" w:rsidRDefault="00AC2131" w:rsidP="00AC2131">
                  <w:pPr>
                    <w:pStyle w:val="TableUnitsRow"/>
                    <w:spacing w:before="80"/>
                    <w:rPr>
                      <w:b/>
                      <w:i/>
                    </w:rPr>
                  </w:pPr>
                  <w:r w:rsidRPr="000F38E8">
                    <w:rPr>
                      <w:b/>
                    </w:rPr>
                    <w:t>84.1</w:t>
                  </w:r>
                </w:p>
              </w:tc>
              <w:tc>
                <w:tcPr>
                  <w:tcW w:w="1136" w:type="dxa"/>
                </w:tcPr>
                <w:p w:rsidR="00AC2131" w:rsidRPr="000F38E8" w:rsidRDefault="00AC2131" w:rsidP="00AC2131">
                  <w:pPr>
                    <w:pStyle w:val="TableUnitsRow"/>
                    <w:spacing w:before="80"/>
                    <w:ind w:right="186"/>
                    <w:rPr>
                      <w:b/>
                      <w:i/>
                    </w:rPr>
                  </w:pPr>
                  <w:r w:rsidRPr="00F53444">
                    <w:t>4</w:t>
                  </w:r>
                  <w:r w:rsidRPr="000F38E8">
                    <w:rPr>
                      <w:b/>
                    </w:rPr>
                    <w:t>3.1</w:t>
                  </w:r>
                </w:p>
              </w:tc>
            </w:tr>
            <w:tr w:rsidR="00AC2131" w:rsidTr="00AC2131">
              <w:tblPrEx>
                <w:tblBorders>
                  <w:top w:val="single" w:sz="6" w:space="0" w:color="BFBFBF"/>
                </w:tblBorders>
              </w:tblPrEx>
              <w:tc>
                <w:tcPr>
                  <w:tcW w:w="8506" w:type="dxa"/>
                  <w:gridSpan w:val="8"/>
                  <w:tcBorders>
                    <w:top w:val="nil"/>
                    <w:bottom w:val="nil"/>
                  </w:tcBorders>
                </w:tcPr>
                <w:p w:rsidR="00AC2131" w:rsidRDefault="00AC2131" w:rsidP="00AC2131">
                  <w:pPr>
                    <w:pStyle w:val="TableUnitsRow"/>
                    <w:spacing w:before="80" w:after="80"/>
                    <w:jc w:val="left"/>
                  </w:pPr>
                  <w:r w:rsidRPr="005F3DD3">
                    <w:rPr>
                      <w:i/>
                    </w:rPr>
                    <w:t>Components which cross borders more than once</w:t>
                  </w:r>
                </w:p>
              </w:tc>
            </w:tr>
            <w:tr w:rsidR="00AC2131" w:rsidTr="00AC2131">
              <w:tc>
                <w:tcPr>
                  <w:tcW w:w="1700" w:type="dxa"/>
                </w:tcPr>
                <w:p w:rsidR="00AC2131" w:rsidRPr="001E3105" w:rsidRDefault="00AC2131" w:rsidP="00AC2131">
                  <w:pPr>
                    <w:pStyle w:val="TableUnitsRow"/>
                    <w:spacing w:before="80"/>
                    <w:jc w:val="left"/>
                  </w:pPr>
                  <w:r w:rsidRPr="001E3105">
                    <w:t>Domestic VA returns home</w:t>
                  </w:r>
                </w:p>
              </w:tc>
              <w:tc>
                <w:tcPr>
                  <w:tcW w:w="850" w:type="dxa"/>
                </w:tcPr>
                <w:p w:rsidR="00AC2131" w:rsidRPr="001E3105" w:rsidRDefault="00AC2131" w:rsidP="00AC2131">
                  <w:pPr>
                    <w:pStyle w:val="TableUnitsRow"/>
                    <w:spacing w:before="80"/>
                    <w:rPr>
                      <w:i/>
                    </w:rPr>
                  </w:pPr>
                  <w:r w:rsidRPr="001E3105">
                    <w:t>0.2</w:t>
                  </w:r>
                  <w:r>
                    <w:t xml:space="preserve"> </w:t>
                  </w:r>
                  <w:r w:rsidRPr="001E3105">
                    <w:t>+ 0.2</w:t>
                  </w:r>
                </w:p>
              </w:tc>
              <w:tc>
                <w:tcPr>
                  <w:tcW w:w="851" w:type="dxa"/>
                </w:tcPr>
                <w:p w:rsidR="00AC2131" w:rsidRPr="001E3105" w:rsidRDefault="00AC2131" w:rsidP="00AC2131">
                  <w:pPr>
                    <w:pStyle w:val="TableUnitsRow"/>
                    <w:spacing w:before="80"/>
                    <w:rPr>
                      <w:i/>
                    </w:rPr>
                  </w:pPr>
                  <w:r w:rsidRPr="001E3105">
                    <w:t>1.9+1.5</w:t>
                  </w:r>
                </w:p>
              </w:tc>
              <w:tc>
                <w:tcPr>
                  <w:tcW w:w="263" w:type="dxa"/>
                </w:tcPr>
                <w:p w:rsidR="00AC2131" w:rsidRPr="001E3105" w:rsidRDefault="00AC2131" w:rsidP="00AC2131">
                  <w:pPr>
                    <w:pStyle w:val="TableUnitsRow"/>
                    <w:spacing w:before="80"/>
                    <w:ind w:right="28"/>
                    <w:jc w:val="left"/>
                  </w:pPr>
                </w:p>
              </w:tc>
              <w:tc>
                <w:tcPr>
                  <w:tcW w:w="2126" w:type="dxa"/>
                </w:tcPr>
                <w:p w:rsidR="00AC2131" w:rsidRPr="001E3105" w:rsidRDefault="00AC2131" w:rsidP="00AC2131">
                  <w:pPr>
                    <w:pStyle w:val="TableUnitsRow"/>
                    <w:spacing w:before="80"/>
                    <w:ind w:right="28"/>
                    <w:jc w:val="left"/>
                  </w:pPr>
                  <w:r w:rsidRPr="001E3105">
                    <w:t>Little of Australia’s exports return home. Contrast with USA.</w:t>
                  </w:r>
                </w:p>
              </w:tc>
              <w:tc>
                <w:tcPr>
                  <w:tcW w:w="729" w:type="dxa"/>
                </w:tcPr>
                <w:p w:rsidR="00AC2131" w:rsidRPr="001E3105" w:rsidRDefault="00AC2131" w:rsidP="00AC2131">
                  <w:pPr>
                    <w:pStyle w:val="TableUnitsRow"/>
                    <w:spacing w:before="80"/>
                    <w:ind w:right="28"/>
                    <w:rPr>
                      <w:i/>
                    </w:rPr>
                  </w:pPr>
                  <w:r w:rsidRPr="001E3105">
                    <w:t>11.3</w:t>
                  </w:r>
                </w:p>
              </w:tc>
              <w:tc>
                <w:tcPr>
                  <w:tcW w:w="851" w:type="dxa"/>
                </w:tcPr>
                <w:p w:rsidR="00AC2131" w:rsidRPr="001E3105" w:rsidRDefault="00AC2131" w:rsidP="00AC2131">
                  <w:pPr>
                    <w:pStyle w:val="TableUnitsRow"/>
                    <w:spacing w:before="80"/>
                    <w:ind w:right="28"/>
                    <w:rPr>
                      <w:i/>
                    </w:rPr>
                  </w:pPr>
                  <w:r w:rsidRPr="001E3105">
                    <w:t>1.1</w:t>
                  </w:r>
                </w:p>
              </w:tc>
              <w:tc>
                <w:tcPr>
                  <w:tcW w:w="1136" w:type="dxa"/>
                </w:tcPr>
                <w:p w:rsidR="00AC2131" w:rsidRPr="001E3105" w:rsidRDefault="00AC2131" w:rsidP="00AC2131">
                  <w:pPr>
                    <w:pStyle w:val="TableUnitsRow"/>
                    <w:spacing w:before="80"/>
                    <w:ind w:right="192"/>
                    <w:rPr>
                      <w:i/>
                    </w:rPr>
                  </w:pPr>
                  <w:r w:rsidRPr="001E3105">
                    <w:t>0.0</w:t>
                  </w:r>
                </w:p>
              </w:tc>
            </w:tr>
            <w:tr w:rsidR="00AC2131" w:rsidTr="00AC2131">
              <w:tc>
                <w:tcPr>
                  <w:tcW w:w="1700" w:type="dxa"/>
                </w:tcPr>
                <w:p w:rsidR="00AC2131" w:rsidRPr="001E3105" w:rsidRDefault="00AC2131" w:rsidP="00AC2131">
                  <w:pPr>
                    <w:pStyle w:val="TableUnitsRow"/>
                    <w:spacing w:before="80"/>
                    <w:jc w:val="left"/>
                  </w:pPr>
                  <w:r w:rsidRPr="001E3105">
                    <w:t>Foreign VA returned home</w:t>
                  </w:r>
                </w:p>
              </w:tc>
              <w:tc>
                <w:tcPr>
                  <w:tcW w:w="850" w:type="dxa"/>
                </w:tcPr>
                <w:p w:rsidR="00AC2131" w:rsidRPr="001E3105" w:rsidRDefault="00AC2131" w:rsidP="00AC2131">
                  <w:pPr>
                    <w:pStyle w:val="TableUnitsRow"/>
                    <w:spacing w:before="80"/>
                    <w:rPr>
                      <w:i/>
                    </w:rPr>
                  </w:pPr>
                  <w:r w:rsidRPr="001E3105">
                    <w:t>8.</w:t>
                  </w:r>
                  <w:r>
                    <w:t>8</w:t>
                  </w:r>
                </w:p>
              </w:tc>
              <w:tc>
                <w:tcPr>
                  <w:tcW w:w="851" w:type="dxa"/>
                </w:tcPr>
                <w:p w:rsidR="00AC2131" w:rsidRPr="001E3105" w:rsidRDefault="00AC2131" w:rsidP="00AC2131">
                  <w:pPr>
                    <w:pStyle w:val="TableUnitsRow"/>
                    <w:spacing w:before="80"/>
                    <w:rPr>
                      <w:i/>
                    </w:rPr>
                  </w:pPr>
                  <w:r w:rsidRPr="001E3105">
                    <w:t>16.7</w:t>
                  </w:r>
                </w:p>
              </w:tc>
              <w:tc>
                <w:tcPr>
                  <w:tcW w:w="263" w:type="dxa"/>
                </w:tcPr>
                <w:p w:rsidR="00AC2131" w:rsidRPr="001E3105" w:rsidRDefault="00AC2131" w:rsidP="00AC2131">
                  <w:pPr>
                    <w:pStyle w:val="TableUnitsRow"/>
                    <w:spacing w:before="80"/>
                    <w:ind w:right="28"/>
                    <w:jc w:val="left"/>
                  </w:pPr>
                </w:p>
              </w:tc>
              <w:tc>
                <w:tcPr>
                  <w:tcW w:w="2126" w:type="dxa"/>
                </w:tcPr>
                <w:p w:rsidR="00AC2131" w:rsidRPr="001E3105" w:rsidRDefault="00AC2131" w:rsidP="00AC2131">
                  <w:pPr>
                    <w:pStyle w:val="TableUnitsRow"/>
                    <w:spacing w:before="80"/>
                    <w:ind w:right="28"/>
                    <w:jc w:val="left"/>
                  </w:pPr>
                  <w:r w:rsidRPr="001E3105">
                    <w:t>Australia’s imported inputs go relatively more into domestic production and final consumption. Contrast with Chines</w:t>
                  </w:r>
                  <w:r>
                    <w:t>e</w:t>
                  </w:r>
                  <w:r w:rsidRPr="001E3105">
                    <w:t xml:space="preserve"> ‘processing’ sector</w:t>
                  </w:r>
                  <w:r>
                    <w:t>.</w:t>
                  </w:r>
                  <w:r w:rsidRPr="001E3105">
                    <w:t xml:space="preserve"> </w:t>
                  </w:r>
                </w:p>
              </w:tc>
              <w:tc>
                <w:tcPr>
                  <w:tcW w:w="729" w:type="dxa"/>
                </w:tcPr>
                <w:p w:rsidR="00AC2131" w:rsidRPr="001E3105" w:rsidRDefault="00AC2131" w:rsidP="00AC2131">
                  <w:pPr>
                    <w:pStyle w:val="TableUnitsRow"/>
                    <w:spacing w:before="80"/>
                    <w:ind w:right="28"/>
                    <w:rPr>
                      <w:i/>
                    </w:rPr>
                  </w:pPr>
                  <w:r w:rsidRPr="001E3105">
                    <w:t>9.0</w:t>
                  </w:r>
                </w:p>
              </w:tc>
              <w:tc>
                <w:tcPr>
                  <w:tcW w:w="851" w:type="dxa"/>
                </w:tcPr>
                <w:p w:rsidR="00AC2131" w:rsidRPr="001E3105" w:rsidRDefault="00AC2131" w:rsidP="00AC2131">
                  <w:pPr>
                    <w:pStyle w:val="TableUnitsRow"/>
                    <w:spacing w:before="80"/>
                    <w:ind w:right="28"/>
                    <w:rPr>
                      <w:i/>
                    </w:rPr>
                  </w:pPr>
                  <w:r w:rsidRPr="001E3105">
                    <w:t>12.0</w:t>
                  </w:r>
                </w:p>
              </w:tc>
              <w:tc>
                <w:tcPr>
                  <w:tcW w:w="1136" w:type="dxa"/>
                </w:tcPr>
                <w:p w:rsidR="00AC2131" w:rsidRPr="001E3105" w:rsidRDefault="00AC2131" w:rsidP="00AC2131">
                  <w:pPr>
                    <w:pStyle w:val="TableUnitsRow"/>
                    <w:spacing w:before="80"/>
                    <w:ind w:right="192"/>
                    <w:rPr>
                      <w:i/>
                    </w:rPr>
                  </w:pPr>
                  <w:r w:rsidRPr="001E3105">
                    <w:t>42.5</w:t>
                  </w:r>
                </w:p>
              </w:tc>
            </w:tr>
            <w:tr w:rsidR="00AC2131" w:rsidTr="00AC2131">
              <w:tc>
                <w:tcPr>
                  <w:tcW w:w="1700" w:type="dxa"/>
                </w:tcPr>
                <w:p w:rsidR="00AC2131" w:rsidRDefault="00AC2131" w:rsidP="00AC2131">
                  <w:pPr>
                    <w:pStyle w:val="TableUnitsRow"/>
                    <w:spacing w:before="80"/>
                    <w:jc w:val="left"/>
                  </w:pPr>
                  <w:r>
                    <w:t>Double counting abroad</w:t>
                  </w:r>
                </w:p>
              </w:tc>
              <w:tc>
                <w:tcPr>
                  <w:tcW w:w="850" w:type="dxa"/>
                </w:tcPr>
                <w:p w:rsidR="00AC2131" w:rsidRDefault="00AC2131" w:rsidP="00AC2131">
                  <w:pPr>
                    <w:pStyle w:val="TableUnitsRow"/>
                    <w:spacing w:before="80"/>
                    <w:rPr>
                      <w:i/>
                    </w:rPr>
                  </w:pPr>
                  <w:r>
                    <w:t>2.8</w:t>
                  </w:r>
                </w:p>
              </w:tc>
              <w:tc>
                <w:tcPr>
                  <w:tcW w:w="851" w:type="dxa"/>
                </w:tcPr>
                <w:p w:rsidR="00AC2131" w:rsidRDefault="00AC2131" w:rsidP="00AC2131">
                  <w:pPr>
                    <w:pStyle w:val="TableUnitsRow"/>
                    <w:spacing w:before="80"/>
                    <w:rPr>
                      <w:i/>
                    </w:rPr>
                  </w:pPr>
                  <w:r>
                    <w:t>5.1</w:t>
                  </w:r>
                </w:p>
              </w:tc>
              <w:tc>
                <w:tcPr>
                  <w:tcW w:w="263" w:type="dxa"/>
                </w:tcPr>
                <w:p w:rsidR="00AC2131" w:rsidRDefault="00AC2131" w:rsidP="00AC2131">
                  <w:pPr>
                    <w:pStyle w:val="TableUnitsRow"/>
                    <w:spacing w:before="80"/>
                    <w:ind w:right="28"/>
                    <w:jc w:val="left"/>
                  </w:pPr>
                </w:p>
              </w:tc>
              <w:tc>
                <w:tcPr>
                  <w:tcW w:w="2126" w:type="dxa"/>
                </w:tcPr>
                <w:p w:rsidR="00AC2131" w:rsidRDefault="00AC2131" w:rsidP="00AC2131">
                  <w:pPr>
                    <w:pStyle w:val="TableUnitsRow"/>
                    <w:spacing w:before="80"/>
                    <w:ind w:right="28"/>
                    <w:jc w:val="left"/>
                  </w:pPr>
                  <w:r>
                    <w:t xml:space="preserve">Lower second and third round, cross country, intermediate churning of Australia’s exports. Consistent with Australia’s high share exports of intermediate inputs staying within the direct trading partner (50.5% above) </w:t>
                  </w:r>
                </w:p>
              </w:tc>
              <w:tc>
                <w:tcPr>
                  <w:tcW w:w="729" w:type="dxa"/>
                </w:tcPr>
                <w:p w:rsidR="00AC2131" w:rsidRDefault="00AC2131" w:rsidP="00AC2131">
                  <w:pPr>
                    <w:pStyle w:val="TableUnitsRow"/>
                    <w:spacing w:before="80"/>
                    <w:ind w:right="28"/>
                    <w:rPr>
                      <w:i/>
                    </w:rPr>
                  </w:pPr>
                  <w:r>
                    <w:t>4.0</w:t>
                  </w:r>
                </w:p>
              </w:tc>
              <w:tc>
                <w:tcPr>
                  <w:tcW w:w="851" w:type="dxa"/>
                </w:tcPr>
                <w:p w:rsidR="00AC2131" w:rsidRDefault="00AC2131" w:rsidP="00AC2131">
                  <w:pPr>
                    <w:pStyle w:val="TableUnitsRow"/>
                    <w:spacing w:before="80"/>
                    <w:ind w:right="28"/>
                    <w:rPr>
                      <w:i/>
                    </w:rPr>
                  </w:pPr>
                  <w:r>
                    <w:t>2.7</w:t>
                  </w:r>
                </w:p>
              </w:tc>
              <w:tc>
                <w:tcPr>
                  <w:tcW w:w="1136" w:type="dxa"/>
                </w:tcPr>
                <w:p w:rsidR="00AC2131" w:rsidRDefault="00AC2131" w:rsidP="00AC2131">
                  <w:pPr>
                    <w:pStyle w:val="TableUnitsRow"/>
                    <w:spacing w:before="80"/>
                    <w:ind w:right="192"/>
                    <w:rPr>
                      <w:i/>
                    </w:rPr>
                  </w:pPr>
                  <w:r>
                    <w:t>10.1</w:t>
                  </w:r>
                </w:p>
              </w:tc>
            </w:tr>
            <w:tr w:rsidR="00AC2131" w:rsidTr="00AC2131">
              <w:tc>
                <w:tcPr>
                  <w:tcW w:w="1700" w:type="dxa"/>
                  <w:tcBorders>
                    <w:bottom w:val="single" w:sz="6" w:space="0" w:color="BFBFBF"/>
                  </w:tcBorders>
                </w:tcPr>
                <w:p w:rsidR="00AC2131" w:rsidRDefault="00AC2131" w:rsidP="00AC2131">
                  <w:pPr>
                    <w:pStyle w:val="TableUnitsRow"/>
                    <w:spacing w:before="80"/>
                    <w:jc w:val="left"/>
                  </w:pPr>
                  <w:r>
                    <w:t>Double counting home</w:t>
                  </w:r>
                </w:p>
              </w:tc>
              <w:tc>
                <w:tcPr>
                  <w:tcW w:w="850" w:type="dxa"/>
                  <w:tcBorders>
                    <w:bottom w:val="single" w:sz="6" w:space="0" w:color="BFBFBF"/>
                  </w:tcBorders>
                </w:tcPr>
                <w:p w:rsidR="00AC2131" w:rsidRDefault="00AC2131" w:rsidP="00AC2131">
                  <w:pPr>
                    <w:pStyle w:val="TableUnitsRow"/>
                    <w:spacing w:before="80"/>
                    <w:rPr>
                      <w:i/>
                    </w:rPr>
                  </w:pPr>
                  <w:r>
                    <w:t>0.1</w:t>
                  </w:r>
                </w:p>
              </w:tc>
              <w:tc>
                <w:tcPr>
                  <w:tcW w:w="851" w:type="dxa"/>
                  <w:tcBorders>
                    <w:bottom w:val="single" w:sz="6" w:space="0" w:color="BFBFBF"/>
                  </w:tcBorders>
                </w:tcPr>
                <w:p w:rsidR="00AC2131" w:rsidRDefault="00AC2131" w:rsidP="00AC2131">
                  <w:pPr>
                    <w:pStyle w:val="TableUnitsRow"/>
                    <w:spacing w:before="80"/>
                    <w:rPr>
                      <w:i/>
                    </w:rPr>
                  </w:pPr>
                  <w:r>
                    <w:t>0.6</w:t>
                  </w:r>
                </w:p>
              </w:tc>
              <w:tc>
                <w:tcPr>
                  <w:tcW w:w="263" w:type="dxa"/>
                  <w:tcBorders>
                    <w:bottom w:val="single" w:sz="6" w:space="0" w:color="BFBFBF"/>
                  </w:tcBorders>
                </w:tcPr>
                <w:p w:rsidR="00AC2131" w:rsidRDefault="00AC2131" w:rsidP="00AC2131">
                  <w:pPr>
                    <w:pStyle w:val="TableUnitsRow"/>
                    <w:spacing w:before="80"/>
                    <w:ind w:right="28"/>
                    <w:jc w:val="left"/>
                  </w:pPr>
                </w:p>
              </w:tc>
              <w:tc>
                <w:tcPr>
                  <w:tcW w:w="2126" w:type="dxa"/>
                  <w:tcBorders>
                    <w:bottom w:val="single" w:sz="6" w:space="0" w:color="BFBFBF"/>
                  </w:tcBorders>
                </w:tcPr>
                <w:p w:rsidR="00AC2131" w:rsidRDefault="00AC2131" w:rsidP="00AC2131">
                  <w:pPr>
                    <w:pStyle w:val="TableUnitsRow"/>
                    <w:spacing w:before="80"/>
                    <w:ind w:right="28"/>
                    <w:jc w:val="left"/>
                  </w:pPr>
                  <w:r>
                    <w:t>As above, lower second and third round intermediate churning of Australia’s exports and thus less flow back to Australia.</w:t>
                  </w:r>
                </w:p>
              </w:tc>
              <w:tc>
                <w:tcPr>
                  <w:tcW w:w="729" w:type="dxa"/>
                  <w:tcBorders>
                    <w:bottom w:val="single" w:sz="6" w:space="0" w:color="BFBFBF"/>
                  </w:tcBorders>
                </w:tcPr>
                <w:p w:rsidR="00AC2131" w:rsidRDefault="00AC2131" w:rsidP="00AC2131">
                  <w:pPr>
                    <w:pStyle w:val="TableUnitsRow"/>
                    <w:spacing w:before="80"/>
                    <w:ind w:right="28"/>
                    <w:rPr>
                      <w:i/>
                    </w:rPr>
                  </w:pPr>
                  <w:r>
                    <w:t>1.2</w:t>
                  </w:r>
                </w:p>
              </w:tc>
              <w:tc>
                <w:tcPr>
                  <w:tcW w:w="851" w:type="dxa"/>
                  <w:tcBorders>
                    <w:bottom w:val="single" w:sz="6" w:space="0" w:color="BFBFBF"/>
                  </w:tcBorders>
                </w:tcPr>
                <w:p w:rsidR="00AC2131" w:rsidRDefault="00AC2131" w:rsidP="00AC2131">
                  <w:pPr>
                    <w:pStyle w:val="TableUnitsRow"/>
                    <w:spacing w:before="80"/>
                    <w:ind w:right="28"/>
                    <w:rPr>
                      <w:i/>
                    </w:rPr>
                  </w:pPr>
                  <w:r>
                    <w:t>0.1</w:t>
                  </w:r>
                </w:p>
              </w:tc>
              <w:tc>
                <w:tcPr>
                  <w:tcW w:w="1136" w:type="dxa"/>
                  <w:tcBorders>
                    <w:bottom w:val="single" w:sz="6" w:space="0" w:color="BFBFBF"/>
                  </w:tcBorders>
                </w:tcPr>
                <w:p w:rsidR="00AC2131" w:rsidRDefault="00AC2131" w:rsidP="00AC2131">
                  <w:pPr>
                    <w:pStyle w:val="TableUnitsRow"/>
                    <w:spacing w:before="80"/>
                    <w:ind w:right="192"/>
                    <w:rPr>
                      <w:i/>
                    </w:rPr>
                  </w:pPr>
                  <w:r>
                    <w:t>0.3</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rsidRPr="00DF5B72">
              <w:t>Koopman et al</w:t>
            </w:r>
            <w:r>
              <w:t>. </w:t>
            </w:r>
            <w:r w:rsidRPr="00DF5B72">
              <w:t>(2014).</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r>
        <w:br w:type="page"/>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Default="00AC2131" w:rsidP="00AC2131">
            <w:pPr>
              <w:pStyle w:val="FigureTitle"/>
            </w:pPr>
            <w:r w:rsidRPr="00784A05">
              <w:rPr>
                <w:b w:val="0"/>
              </w:rPr>
              <w:t xml:space="preserve">Figure </w:t>
            </w:r>
            <w:r>
              <w:rPr>
                <w:b w:val="0"/>
              </w:rPr>
              <w:t>B.</w:t>
            </w:r>
            <w:r>
              <w:rPr>
                <w:b w:val="0"/>
                <w:noProof/>
              </w:rPr>
              <w:t>11</w:t>
            </w:r>
            <w:r>
              <w:tab/>
              <w:t>Value added decomposition of gross exports, 2004 and 2008</w:t>
            </w:r>
            <w:r w:rsidRPr="005B4DAD">
              <w:rPr>
                <w:rStyle w:val="NoteLabel"/>
                <w:b/>
              </w:rPr>
              <w:t>a</w:t>
            </w:r>
          </w:p>
          <w:p w:rsidR="00AC2131" w:rsidRPr="00176D3F" w:rsidRDefault="00AC2131" w:rsidP="00AC2131">
            <w:pPr>
              <w:pStyle w:val="Subtitle"/>
              <w:rPr>
                <w:i/>
              </w:rPr>
            </w:pPr>
            <w:r>
              <w:t>Australia and New Zealand combined, 2004; and Australia, 2008 [in square brackets]</w:t>
            </w:r>
          </w:p>
        </w:tc>
      </w:tr>
      <w:tr w:rsidR="00AC2131" w:rsidTr="00AC2131">
        <w:trPr>
          <w:trHeight w:val="9486"/>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trHeight w:val="9472"/>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650DFD7F" wp14:editId="64C2DD08">
                        <wp:extent cx="5399405" cy="5835015"/>
                        <wp:effectExtent l="0" t="0" r="0" b="0"/>
                        <wp:docPr id="43" name="Picture 43" descr="Figure B.11 presents a valued added decomposition of gross exports for 2004 and 2008 in text and numbers. It shows Australia and New Zealand combined for 2004; and Australia for 2008 [in square brackets].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399405" cy="5835015"/>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4974E1" w:rsidRDefault="00AC2131" w:rsidP="00AC2131">
            <w:pPr>
              <w:pStyle w:val="Note"/>
            </w:pPr>
            <w:r w:rsidRPr="004974E1">
              <w:rPr>
                <w:rStyle w:val="NoteLabel"/>
              </w:rPr>
              <w:t>a</w:t>
            </w:r>
            <w:r>
              <w:t> </w:t>
            </w:r>
            <w:r w:rsidRPr="004974E1">
              <w:t>Numbers in bold represent the domestic value</w:t>
            </w:r>
            <w:r>
              <w:t xml:space="preserve"> </w:t>
            </w:r>
            <w:r w:rsidRPr="004974E1">
              <w:t>added component of gross exports in 2004, thus, 77.5 + 10.5 = 88.0. The remaining 12</w:t>
            </w:r>
            <w:r>
              <w:t> </w:t>
            </w:r>
            <w:r w:rsidRPr="004974E1">
              <w:t>per</w:t>
            </w:r>
            <w:r>
              <w:t> </w:t>
            </w:r>
            <w:r w:rsidRPr="004974E1">
              <w:t>cent comprises foreign value added returned home (8.8</w:t>
            </w:r>
            <w:r>
              <w:t> per cent</w:t>
            </w:r>
            <w:r w:rsidRPr="004974E1">
              <w:t>) domestic value added that returns home (0.4</w:t>
            </w:r>
            <w:r>
              <w:t> per cent</w:t>
            </w:r>
            <w:r w:rsidRPr="004974E1">
              <w:t>) and intermediate exports to third countries (2.8</w:t>
            </w:r>
            <w:r>
              <w:t> per cent</w:t>
            </w:r>
            <w:r w:rsidRPr="004974E1">
              <w:t>).</w:t>
            </w:r>
            <w:r>
              <w:t xml:space="preserve"> </w:t>
            </w: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Pr>
                <w:i/>
              </w:rPr>
              <w:t>s</w:t>
            </w:r>
            <w:r w:rsidRPr="00176D3F">
              <w:t>:</w:t>
            </w:r>
            <w:r>
              <w:t xml:space="preserve"> Koopman et al. (2014</w:t>
            </w:r>
            <w:r w:rsidRPr="00BA5B85">
              <w:t>)</w:t>
            </w:r>
            <w:r>
              <w:t>, WTO (2013).</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In 2004, a further 10 per cent of Australian (and New Zealand) value-added was embodied in exports of intermediate goods and services which the immediate trading partner further processed and then exported the transformed product to third countries (table B.3, third cell in first row) (for example, Australian iron ore sold to China which is processed into steel for sale to the United States). A later study, by the WTO (2013), suggests that the share of Australian export value-added embodied in third country exports rose substantially, from 10 per cent in 2004 to over 30 per cent by 2008 (table B.4, third row in first column). Although the data sources are different, the increase is consistent with the growth of trade in intermediate goods and services and global value chains, and the significant increase in the volume and prices of Australian raw material exports.. The shift highlights the substantial changes that can occur over relatively short periods in the structure of the global economy as it affects Australia.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B.</w:t>
            </w:r>
            <w:r>
              <w:rPr>
                <w:b w:val="0"/>
                <w:noProof/>
              </w:rPr>
              <w:t>4</w:t>
            </w:r>
            <w:r>
              <w:tab/>
            </w:r>
            <w:r w:rsidRPr="00F844DD">
              <w:t xml:space="preserve">Simplified </w:t>
            </w:r>
            <w:r>
              <w:t>value-added</w:t>
            </w:r>
            <w:r w:rsidRPr="00F844DD">
              <w:t xml:space="preserve"> decomposition of gross exports, 2008</w:t>
            </w:r>
          </w:p>
        </w:tc>
      </w:tr>
      <w:tr w:rsidR="00AC2131" w:rsidTr="00AC2131">
        <w:trPr>
          <w:cantSplit/>
        </w:trPr>
        <w:tc>
          <w:tcPr>
            <w:tcW w:w="8771" w:type="dxa"/>
            <w:tcBorders>
              <w:top w:val="nil"/>
              <w:left w:val="nil"/>
              <w:bottom w:val="nil"/>
              <w:right w:val="nil"/>
            </w:tcBorders>
            <w:shd w:val="clear" w:color="auto" w:fill="auto"/>
          </w:tcPr>
          <w:tbl>
            <w:tblPr>
              <w:tblW w:w="4999" w:type="pct"/>
              <w:tblCellMar>
                <w:top w:w="28" w:type="dxa"/>
                <w:left w:w="0" w:type="dxa"/>
                <w:right w:w="0" w:type="dxa"/>
              </w:tblCellMar>
              <w:tblLook w:val="0000" w:firstRow="0" w:lastRow="0" w:firstColumn="0" w:lastColumn="0" w:noHBand="0" w:noVBand="0"/>
            </w:tblPr>
            <w:tblGrid>
              <w:gridCol w:w="2440"/>
              <w:gridCol w:w="1218"/>
              <w:gridCol w:w="1213"/>
              <w:gridCol w:w="1208"/>
              <w:gridCol w:w="1208"/>
              <w:gridCol w:w="1198"/>
            </w:tblGrid>
            <w:tr w:rsidR="00AC2131" w:rsidRPr="009E6F93" w:rsidTr="00AC2131">
              <w:tc>
                <w:tcPr>
                  <w:tcW w:w="1436" w:type="pct"/>
                  <w:tcBorders>
                    <w:top w:val="single" w:sz="6" w:space="0" w:color="BFBFBF"/>
                    <w:bottom w:val="single" w:sz="6" w:space="0" w:color="BFBFBF"/>
                  </w:tcBorders>
                  <w:shd w:val="clear" w:color="auto" w:fill="auto"/>
                  <w:tcMar>
                    <w:top w:w="28" w:type="dxa"/>
                  </w:tcMar>
                  <w:vAlign w:val="bottom"/>
                </w:tcPr>
                <w:p w:rsidR="00AC2131" w:rsidRPr="009E6F93" w:rsidRDefault="00AC2131" w:rsidP="00AC2131">
                  <w:pPr>
                    <w:pStyle w:val="TableColumnHeading"/>
                    <w:jc w:val="left"/>
                  </w:pPr>
                  <w:r w:rsidRPr="009E6F93">
                    <w:t>Components of gross exports</w:t>
                  </w:r>
                </w:p>
              </w:tc>
              <w:tc>
                <w:tcPr>
                  <w:tcW w:w="717" w:type="pct"/>
                  <w:tcBorders>
                    <w:top w:val="single" w:sz="6" w:space="0" w:color="BFBFBF"/>
                    <w:bottom w:val="single" w:sz="6" w:space="0" w:color="BFBFBF"/>
                  </w:tcBorders>
                  <w:vAlign w:val="bottom"/>
                </w:tcPr>
                <w:p w:rsidR="00AC2131" w:rsidRPr="009E6F93" w:rsidRDefault="00AC2131" w:rsidP="00AC2131">
                  <w:pPr>
                    <w:pStyle w:val="TableColumnHeading"/>
                  </w:pPr>
                  <w:r w:rsidRPr="009E6F93">
                    <w:t>Australia</w:t>
                  </w:r>
                </w:p>
              </w:tc>
              <w:tc>
                <w:tcPr>
                  <w:tcW w:w="715" w:type="pct"/>
                  <w:tcBorders>
                    <w:top w:val="single" w:sz="6" w:space="0" w:color="BFBFBF"/>
                    <w:bottom w:val="single" w:sz="6" w:space="0" w:color="BFBFBF"/>
                  </w:tcBorders>
                  <w:vAlign w:val="bottom"/>
                </w:tcPr>
                <w:p w:rsidR="00AC2131" w:rsidRPr="009E6F93" w:rsidRDefault="00AC2131" w:rsidP="00AC2131">
                  <w:pPr>
                    <w:pStyle w:val="TableColumnHeading"/>
                  </w:pPr>
                  <w:r w:rsidRPr="009E6F93">
                    <w:t xml:space="preserve">New Zealand </w:t>
                  </w:r>
                </w:p>
              </w:tc>
              <w:tc>
                <w:tcPr>
                  <w:tcW w:w="712" w:type="pct"/>
                  <w:tcBorders>
                    <w:top w:val="single" w:sz="6" w:space="0" w:color="BFBFBF"/>
                    <w:bottom w:val="single" w:sz="6" w:space="0" w:color="BFBFBF"/>
                  </w:tcBorders>
                  <w:vAlign w:val="bottom"/>
                </w:tcPr>
                <w:p w:rsidR="00AC2131" w:rsidRPr="009E6F93" w:rsidRDefault="00AC2131" w:rsidP="00AC2131">
                  <w:pPr>
                    <w:pStyle w:val="TableColumnHeading"/>
                  </w:pPr>
                  <w:r w:rsidRPr="009E6F93">
                    <w:t>World average</w:t>
                  </w:r>
                </w:p>
              </w:tc>
              <w:tc>
                <w:tcPr>
                  <w:tcW w:w="712" w:type="pct"/>
                  <w:tcBorders>
                    <w:top w:val="single" w:sz="6" w:space="0" w:color="BFBFBF"/>
                    <w:bottom w:val="single" w:sz="6" w:space="0" w:color="BFBFBF"/>
                  </w:tcBorders>
                  <w:vAlign w:val="bottom"/>
                </w:tcPr>
                <w:p w:rsidR="00AC2131" w:rsidRPr="009E6F93" w:rsidRDefault="00AC2131">
                  <w:pPr>
                    <w:pStyle w:val="TableColumnHeading"/>
                  </w:pPr>
                  <w:r w:rsidRPr="009E6F93">
                    <w:t>USA</w:t>
                  </w:r>
                </w:p>
              </w:tc>
              <w:tc>
                <w:tcPr>
                  <w:tcW w:w="706" w:type="pct"/>
                  <w:tcBorders>
                    <w:top w:val="single" w:sz="6" w:space="0" w:color="BFBFBF"/>
                    <w:bottom w:val="single" w:sz="6" w:space="0" w:color="BFBFBF"/>
                  </w:tcBorders>
                  <w:shd w:val="clear" w:color="auto" w:fill="auto"/>
                  <w:tcMar>
                    <w:top w:w="28" w:type="dxa"/>
                  </w:tcMar>
                  <w:vAlign w:val="bottom"/>
                </w:tcPr>
                <w:p w:rsidR="00AC2131" w:rsidRPr="009E6F93" w:rsidRDefault="00AC2131">
                  <w:pPr>
                    <w:pStyle w:val="TableColumnHeading"/>
                  </w:pPr>
                  <w:r w:rsidRPr="009E6F93">
                    <w:t>China</w:t>
                  </w:r>
                </w:p>
              </w:tc>
            </w:tr>
            <w:tr w:rsidR="00AC2131" w:rsidRPr="009E6F93" w:rsidTr="00AC2131">
              <w:tc>
                <w:tcPr>
                  <w:tcW w:w="1436" w:type="pct"/>
                  <w:tcBorders>
                    <w:top w:val="single" w:sz="6" w:space="0" w:color="BFBFBF"/>
                  </w:tcBorders>
                </w:tcPr>
                <w:p w:rsidR="00AC2131" w:rsidRPr="009E6F93" w:rsidRDefault="00AC2131" w:rsidP="00AC2131">
                  <w:pPr>
                    <w:pStyle w:val="TableUnitsRow"/>
                    <w:jc w:val="left"/>
                  </w:pPr>
                  <w:r w:rsidRPr="009E6F93">
                    <w:t>Direct to trading partner</w:t>
                  </w:r>
                </w:p>
              </w:tc>
              <w:tc>
                <w:tcPr>
                  <w:tcW w:w="717" w:type="pct"/>
                  <w:tcBorders>
                    <w:top w:val="single" w:sz="6" w:space="0" w:color="BFBFBF"/>
                  </w:tcBorders>
                </w:tcPr>
                <w:p w:rsidR="00AC2131" w:rsidRPr="009E6F93" w:rsidRDefault="00AC2131" w:rsidP="00AC2131">
                  <w:pPr>
                    <w:pStyle w:val="TableUnitsRow"/>
                  </w:pPr>
                  <w:r w:rsidRPr="009E6F93">
                    <w:t>52.1</w:t>
                  </w:r>
                </w:p>
              </w:tc>
              <w:tc>
                <w:tcPr>
                  <w:tcW w:w="715" w:type="pct"/>
                  <w:tcBorders>
                    <w:top w:val="single" w:sz="6" w:space="0" w:color="BFBFBF"/>
                  </w:tcBorders>
                </w:tcPr>
                <w:p w:rsidR="00AC2131" w:rsidRPr="009E6F93" w:rsidRDefault="00AC2131" w:rsidP="00AC2131">
                  <w:pPr>
                    <w:pStyle w:val="TableUnitsRow"/>
                  </w:pPr>
                  <w:r w:rsidRPr="009E6F93">
                    <w:t>38.1</w:t>
                  </w:r>
                </w:p>
              </w:tc>
              <w:tc>
                <w:tcPr>
                  <w:tcW w:w="712" w:type="pct"/>
                  <w:tcBorders>
                    <w:top w:val="single" w:sz="6" w:space="0" w:color="BFBFBF"/>
                  </w:tcBorders>
                </w:tcPr>
                <w:p w:rsidR="00AC2131" w:rsidRPr="009E6F93" w:rsidRDefault="00AC2131" w:rsidP="00AC2131">
                  <w:pPr>
                    <w:pStyle w:val="TableUnitsRow"/>
                  </w:pPr>
                  <w:r w:rsidRPr="009E6F93">
                    <w:t>42.0</w:t>
                  </w:r>
                </w:p>
              </w:tc>
              <w:tc>
                <w:tcPr>
                  <w:tcW w:w="712" w:type="pct"/>
                  <w:tcBorders>
                    <w:top w:val="single" w:sz="6" w:space="0" w:color="BFBFBF"/>
                  </w:tcBorders>
                </w:tcPr>
                <w:p w:rsidR="00AC2131" w:rsidRPr="009E6F93" w:rsidRDefault="00AC2131" w:rsidP="00AC2131">
                  <w:pPr>
                    <w:pStyle w:val="TableUnitsRow"/>
                  </w:pPr>
                  <w:r w:rsidRPr="009E6F93">
                    <w:t>48.8</w:t>
                  </w:r>
                </w:p>
              </w:tc>
              <w:tc>
                <w:tcPr>
                  <w:tcW w:w="706" w:type="pct"/>
                  <w:tcBorders>
                    <w:top w:val="single" w:sz="6" w:space="0" w:color="BFBFBF"/>
                  </w:tcBorders>
                </w:tcPr>
                <w:p w:rsidR="00AC2131" w:rsidRPr="009E6F93" w:rsidRDefault="00AC2131" w:rsidP="00AC2131">
                  <w:pPr>
                    <w:pStyle w:val="TableUnitsRow"/>
                  </w:pPr>
                  <w:r w:rsidRPr="009E6F93">
                    <w:t>24.7</w:t>
                  </w:r>
                </w:p>
              </w:tc>
            </w:tr>
            <w:tr w:rsidR="00AC2131" w:rsidRPr="009E6F93" w:rsidTr="00AC2131">
              <w:tc>
                <w:tcPr>
                  <w:tcW w:w="1436" w:type="pct"/>
                </w:tcPr>
                <w:p w:rsidR="00AC2131" w:rsidRPr="009E6F93" w:rsidRDefault="00AC2131" w:rsidP="00AC2131">
                  <w:pPr>
                    <w:pStyle w:val="TableUnitsRow"/>
                    <w:jc w:val="left"/>
                  </w:pPr>
                  <w:r w:rsidRPr="009E6F93">
                    <w:t xml:space="preserve">To third countries </w:t>
                  </w:r>
                </w:p>
              </w:tc>
              <w:tc>
                <w:tcPr>
                  <w:tcW w:w="717" w:type="pct"/>
                </w:tcPr>
                <w:p w:rsidR="00AC2131" w:rsidRPr="009E6F93" w:rsidRDefault="00AC2131" w:rsidP="00AC2131">
                  <w:pPr>
                    <w:pStyle w:val="TableUnitsRow"/>
                  </w:pPr>
                  <w:r w:rsidRPr="009E6F93">
                    <w:t>33.8</w:t>
                  </w:r>
                </w:p>
              </w:tc>
              <w:tc>
                <w:tcPr>
                  <w:tcW w:w="715" w:type="pct"/>
                </w:tcPr>
                <w:p w:rsidR="00AC2131" w:rsidRPr="009E6F93" w:rsidRDefault="00AC2131" w:rsidP="00AC2131">
                  <w:pPr>
                    <w:pStyle w:val="TableUnitsRow"/>
                  </w:pPr>
                  <w:r w:rsidRPr="009E6F93">
                    <w:t>40.4</w:t>
                  </w:r>
                </w:p>
              </w:tc>
              <w:tc>
                <w:tcPr>
                  <w:tcW w:w="712" w:type="pct"/>
                </w:tcPr>
                <w:p w:rsidR="00AC2131" w:rsidRPr="009E6F93" w:rsidRDefault="00AC2131" w:rsidP="00AC2131">
                  <w:pPr>
                    <w:pStyle w:val="TableUnitsRow"/>
                  </w:pPr>
                  <w:r w:rsidRPr="009E6F93">
                    <w:t>31.6</w:t>
                  </w:r>
                </w:p>
              </w:tc>
              <w:tc>
                <w:tcPr>
                  <w:tcW w:w="712" w:type="pct"/>
                </w:tcPr>
                <w:p w:rsidR="00AC2131" w:rsidRPr="009E6F93" w:rsidRDefault="00AC2131" w:rsidP="00AC2131">
                  <w:pPr>
                    <w:pStyle w:val="TableUnitsRow"/>
                  </w:pPr>
                  <w:r w:rsidRPr="009E6F93">
                    <w:t>35.8</w:t>
                  </w:r>
                </w:p>
              </w:tc>
              <w:tc>
                <w:tcPr>
                  <w:tcW w:w="706" w:type="pct"/>
                </w:tcPr>
                <w:p w:rsidR="00AC2131" w:rsidRPr="009E6F93" w:rsidRDefault="00AC2131" w:rsidP="00AC2131">
                  <w:pPr>
                    <w:pStyle w:val="TableUnitsRow"/>
                  </w:pPr>
                  <w:r w:rsidRPr="009E6F93">
                    <w:t>40.9</w:t>
                  </w:r>
                </w:p>
              </w:tc>
            </w:tr>
            <w:tr w:rsidR="00AC2131" w:rsidRPr="009E6F93" w:rsidTr="00AC2131">
              <w:tc>
                <w:tcPr>
                  <w:tcW w:w="1436" w:type="pct"/>
                </w:tcPr>
                <w:p w:rsidR="00AC2131" w:rsidRPr="009E6F93" w:rsidRDefault="00AC2131" w:rsidP="00AC2131">
                  <w:pPr>
                    <w:pStyle w:val="TableUnitsRow"/>
                    <w:jc w:val="left"/>
                    <w:rPr>
                      <w:b/>
                    </w:rPr>
                  </w:pPr>
                  <w:r w:rsidRPr="009E6F93">
                    <w:rPr>
                      <w:b/>
                    </w:rPr>
                    <w:t xml:space="preserve">= </w:t>
                  </w:r>
                  <w:r>
                    <w:rPr>
                      <w:b/>
                    </w:rPr>
                    <w:t>Value-added</w:t>
                  </w:r>
                  <w:r w:rsidRPr="009E6F93">
                    <w:rPr>
                      <w:b/>
                    </w:rPr>
                    <w:t xml:space="preserve"> exports </w:t>
                  </w:r>
                </w:p>
              </w:tc>
              <w:tc>
                <w:tcPr>
                  <w:tcW w:w="717" w:type="pct"/>
                </w:tcPr>
                <w:p w:rsidR="00AC2131" w:rsidRPr="009E6F93" w:rsidRDefault="00AC2131" w:rsidP="00AC2131">
                  <w:pPr>
                    <w:pStyle w:val="TableUnitsRow"/>
                    <w:rPr>
                      <w:b/>
                    </w:rPr>
                  </w:pPr>
                  <w:r w:rsidRPr="009E6F93">
                    <w:rPr>
                      <w:b/>
                    </w:rPr>
                    <w:t>85.9</w:t>
                  </w:r>
                </w:p>
              </w:tc>
              <w:tc>
                <w:tcPr>
                  <w:tcW w:w="715" w:type="pct"/>
                </w:tcPr>
                <w:p w:rsidR="00AC2131" w:rsidRPr="009E6F93" w:rsidRDefault="00AC2131" w:rsidP="00AC2131">
                  <w:pPr>
                    <w:pStyle w:val="TableUnitsRow"/>
                    <w:rPr>
                      <w:b/>
                    </w:rPr>
                  </w:pPr>
                  <w:r w:rsidRPr="009E6F93">
                    <w:rPr>
                      <w:b/>
                    </w:rPr>
                    <w:t>78.5</w:t>
                  </w:r>
                </w:p>
              </w:tc>
              <w:tc>
                <w:tcPr>
                  <w:tcW w:w="712" w:type="pct"/>
                </w:tcPr>
                <w:p w:rsidR="00AC2131" w:rsidRPr="009E6F93" w:rsidRDefault="00AC2131" w:rsidP="00AC2131">
                  <w:pPr>
                    <w:pStyle w:val="TableUnitsRow"/>
                    <w:rPr>
                      <w:b/>
                    </w:rPr>
                  </w:pPr>
                  <w:r w:rsidRPr="009E6F93">
                    <w:rPr>
                      <w:b/>
                    </w:rPr>
                    <w:t>73.6</w:t>
                  </w:r>
                </w:p>
              </w:tc>
              <w:tc>
                <w:tcPr>
                  <w:tcW w:w="712" w:type="pct"/>
                </w:tcPr>
                <w:p w:rsidR="00AC2131" w:rsidRPr="009E6F93" w:rsidRDefault="00AC2131" w:rsidP="00AC2131">
                  <w:pPr>
                    <w:pStyle w:val="TableUnitsRow"/>
                    <w:rPr>
                      <w:b/>
                    </w:rPr>
                  </w:pPr>
                  <w:r w:rsidRPr="009E6F93">
                    <w:rPr>
                      <w:b/>
                    </w:rPr>
                    <w:t>84.6</w:t>
                  </w:r>
                </w:p>
              </w:tc>
              <w:tc>
                <w:tcPr>
                  <w:tcW w:w="706" w:type="pct"/>
                </w:tcPr>
                <w:p w:rsidR="00AC2131" w:rsidRPr="009E6F93" w:rsidRDefault="00AC2131" w:rsidP="00AC2131">
                  <w:pPr>
                    <w:pStyle w:val="TableUnitsRow"/>
                    <w:rPr>
                      <w:b/>
                    </w:rPr>
                  </w:pPr>
                  <w:r w:rsidRPr="009E6F93">
                    <w:rPr>
                      <w:b/>
                    </w:rPr>
                    <w:t>65.6</w:t>
                  </w:r>
                </w:p>
              </w:tc>
            </w:tr>
            <w:tr w:rsidR="00AC2131" w:rsidRPr="009E6F93" w:rsidTr="00AC2131">
              <w:tc>
                <w:tcPr>
                  <w:tcW w:w="1436" w:type="pct"/>
                </w:tcPr>
                <w:p w:rsidR="00AC2131" w:rsidRPr="009E6F93" w:rsidRDefault="00AC2131" w:rsidP="00AC2131">
                  <w:pPr>
                    <w:pStyle w:val="TableUnitsRow"/>
                    <w:jc w:val="left"/>
                  </w:pPr>
                  <w:r w:rsidRPr="009E6F93">
                    <w:t>Re-imported</w:t>
                  </w:r>
                </w:p>
              </w:tc>
              <w:tc>
                <w:tcPr>
                  <w:tcW w:w="717" w:type="pct"/>
                </w:tcPr>
                <w:p w:rsidR="00AC2131" w:rsidRPr="009E6F93" w:rsidRDefault="00AC2131" w:rsidP="00AC2131">
                  <w:pPr>
                    <w:pStyle w:val="TableUnitsRow"/>
                  </w:pPr>
                  <w:r w:rsidRPr="009E6F93">
                    <w:t>0.2</w:t>
                  </w:r>
                </w:p>
              </w:tc>
              <w:tc>
                <w:tcPr>
                  <w:tcW w:w="715" w:type="pct"/>
                </w:tcPr>
                <w:p w:rsidR="00AC2131" w:rsidRPr="009E6F93" w:rsidRDefault="00AC2131" w:rsidP="00AC2131">
                  <w:pPr>
                    <w:pStyle w:val="TableUnitsRow"/>
                  </w:pPr>
                  <w:r w:rsidRPr="009E6F93">
                    <w:t>0.0</w:t>
                  </w:r>
                </w:p>
              </w:tc>
              <w:tc>
                <w:tcPr>
                  <w:tcW w:w="712" w:type="pct"/>
                </w:tcPr>
                <w:p w:rsidR="00AC2131" w:rsidRPr="009E6F93" w:rsidRDefault="00AC2131" w:rsidP="00AC2131">
                  <w:pPr>
                    <w:pStyle w:val="TableUnitsRow"/>
                  </w:pPr>
                  <w:r w:rsidRPr="009E6F93">
                    <w:t>0.5</w:t>
                  </w:r>
                </w:p>
              </w:tc>
              <w:tc>
                <w:tcPr>
                  <w:tcW w:w="712" w:type="pct"/>
                </w:tcPr>
                <w:p w:rsidR="00AC2131" w:rsidRPr="009E6F93" w:rsidRDefault="00AC2131" w:rsidP="00AC2131">
                  <w:pPr>
                    <w:pStyle w:val="TableUnitsRow"/>
                  </w:pPr>
                  <w:r w:rsidRPr="009E6F93">
                    <w:t>0.7</w:t>
                  </w:r>
                </w:p>
              </w:tc>
              <w:tc>
                <w:tcPr>
                  <w:tcW w:w="706" w:type="pct"/>
                </w:tcPr>
                <w:p w:rsidR="00AC2131" w:rsidRPr="009E6F93" w:rsidRDefault="00AC2131" w:rsidP="00AC2131">
                  <w:pPr>
                    <w:pStyle w:val="TableUnitsRow"/>
                  </w:pPr>
                  <w:r w:rsidRPr="009E6F93">
                    <w:t>1.1</w:t>
                  </w:r>
                </w:p>
              </w:tc>
            </w:tr>
            <w:tr w:rsidR="00AC2131" w:rsidRPr="009E6F93" w:rsidTr="00AC2131">
              <w:tc>
                <w:tcPr>
                  <w:tcW w:w="1436" w:type="pct"/>
                </w:tcPr>
                <w:p w:rsidR="00AC2131" w:rsidRPr="009E6F93" w:rsidRDefault="00AC2131" w:rsidP="00AC2131">
                  <w:pPr>
                    <w:pStyle w:val="TableUnitsRow"/>
                    <w:jc w:val="left"/>
                  </w:pPr>
                  <w:r w:rsidRPr="009E6F93">
                    <w:t xml:space="preserve">Foreign </w:t>
                  </w:r>
                  <w:r>
                    <w:t>value-added</w:t>
                  </w:r>
                </w:p>
              </w:tc>
              <w:tc>
                <w:tcPr>
                  <w:tcW w:w="717" w:type="pct"/>
                </w:tcPr>
                <w:p w:rsidR="00AC2131" w:rsidRPr="009E6F93" w:rsidRDefault="00AC2131" w:rsidP="00AC2131">
                  <w:pPr>
                    <w:pStyle w:val="TableUnitsRow"/>
                  </w:pPr>
                  <w:r w:rsidRPr="009E6F93">
                    <w:t>14.0</w:t>
                  </w:r>
                </w:p>
              </w:tc>
              <w:tc>
                <w:tcPr>
                  <w:tcW w:w="715" w:type="pct"/>
                </w:tcPr>
                <w:p w:rsidR="00AC2131" w:rsidRPr="009E6F93" w:rsidRDefault="00AC2131" w:rsidP="00AC2131">
                  <w:pPr>
                    <w:pStyle w:val="TableUnitsRow"/>
                  </w:pPr>
                  <w:r w:rsidRPr="009E6F93">
                    <w:t>21.0</w:t>
                  </w:r>
                </w:p>
              </w:tc>
              <w:tc>
                <w:tcPr>
                  <w:tcW w:w="712" w:type="pct"/>
                </w:tcPr>
                <w:p w:rsidR="00AC2131" w:rsidRPr="009E6F93" w:rsidRDefault="00AC2131" w:rsidP="00AC2131">
                  <w:pPr>
                    <w:pStyle w:val="TableUnitsRow"/>
                  </w:pPr>
                  <w:r w:rsidRPr="009E6F93">
                    <w:t>26.0</w:t>
                  </w:r>
                </w:p>
              </w:tc>
              <w:tc>
                <w:tcPr>
                  <w:tcW w:w="712" w:type="pct"/>
                </w:tcPr>
                <w:p w:rsidR="00AC2131" w:rsidRPr="009E6F93" w:rsidRDefault="00AC2131" w:rsidP="00AC2131">
                  <w:pPr>
                    <w:pStyle w:val="TableUnitsRow"/>
                  </w:pPr>
                  <w:r w:rsidRPr="009E6F93">
                    <w:t>15.0</w:t>
                  </w:r>
                </w:p>
              </w:tc>
              <w:tc>
                <w:tcPr>
                  <w:tcW w:w="706" w:type="pct"/>
                </w:tcPr>
                <w:p w:rsidR="00AC2131" w:rsidRPr="009E6F93" w:rsidRDefault="00AC2131" w:rsidP="00AC2131">
                  <w:pPr>
                    <w:pStyle w:val="TableUnitsRow"/>
                  </w:pPr>
                  <w:r w:rsidRPr="009E6F93">
                    <w:t>33.0</w:t>
                  </w:r>
                </w:p>
              </w:tc>
            </w:tr>
            <w:tr w:rsidR="00AC2131" w:rsidRPr="008F3EF5" w:rsidTr="00AC2131">
              <w:tc>
                <w:tcPr>
                  <w:tcW w:w="1436" w:type="pct"/>
                  <w:tcBorders>
                    <w:bottom w:val="single" w:sz="6" w:space="0" w:color="BFBFBF"/>
                  </w:tcBorders>
                  <w:shd w:val="clear" w:color="auto" w:fill="auto"/>
                </w:tcPr>
                <w:p w:rsidR="00AC2131" w:rsidRPr="00F62F4A" w:rsidRDefault="00AC2131" w:rsidP="00AC2131">
                  <w:pPr>
                    <w:pStyle w:val="TableBodyText"/>
                    <w:jc w:val="left"/>
                    <w:rPr>
                      <w:b/>
                    </w:rPr>
                  </w:pPr>
                  <w:r w:rsidRPr="00F62F4A">
                    <w:rPr>
                      <w:b/>
                    </w:rPr>
                    <w:t xml:space="preserve">Total </w:t>
                  </w:r>
                </w:p>
              </w:tc>
              <w:tc>
                <w:tcPr>
                  <w:tcW w:w="717" w:type="pct"/>
                  <w:tcBorders>
                    <w:bottom w:val="single" w:sz="6" w:space="0" w:color="BFBFBF"/>
                  </w:tcBorders>
                </w:tcPr>
                <w:p w:rsidR="00AC2131" w:rsidRPr="00F62F4A" w:rsidRDefault="00AC2131" w:rsidP="00AC2131">
                  <w:pPr>
                    <w:pStyle w:val="TableBodyText"/>
                    <w:rPr>
                      <w:b/>
                    </w:rPr>
                  </w:pPr>
                  <w:r>
                    <w:rPr>
                      <w:b/>
                    </w:rPr>
                    <w:t>100.0</w:t>
                  </w:r>
                </w:p>
              </w:tc>
              <w:tc>
                <w:tcPr>
                  <w:tcW w:w="715" w:type="pct"/>
                  <w:tcBorders>
                    <w:bottom w:val="single" w:sz="6" w:space="0" w:color="BFBFBF"/>
                  </w:tcBorders>
                </w:tcPr>
                <w:p w:rsidR="00AC2131" w:rsidRPr="00F62F4A" w:rsidRDefault="00AC2131" w:rsidP="00AC2131">
                  <w:pPr>
                    <w:pStyle w:val="TableBodyText"/>
                    <w:rPr>
                      <w:b/>
                    </w:rPr>
                  </w:pPr>
                  <w:r>
                    <w:rPr>
                      <w:b/>
                    </w:rPr>
                    <w:t>100.0</w:t>
                  </w:r>
                </w:p>
              </w:tc>
              <w:tc>
                <w:tcPr>
                  <w:tcW w:w="712" w:type="pct"/>
                  <w:tcBorders>
                    <w:bottom w:val="single" w:sz="6" w:space="0" w:color="BFBFBF"/>
                  </w:tcBorders>
                </w:tcPr>
                <w:p w:rsidR="00AC2131" w:rsidRPr="00F62F4A" w:rsidRDefault="00AC2131" w:rsidP="00AC2131">
                  <w:pPr>
                    <w:pStyle w:val="TableBodyText"/>
                    <w:rPr>
                      <w:b/>
                    </w:rPr>
                  </w:pPr>
                  <w:r>
                    <w:rPr>
                      <w:b/>
                    </w:rPr>
                    <w:t>100.0</w:t>
                  </w:r>
                </w:p>
              </w:tc>
              <w:tc>
                <w:tcPr>
                  <w:tcW w:w="712" w:type="pct"/>
                  <w:tcBorders>
                    <w:bottom w:val="single" w:sz="6" w:space="0" w:color="BFBFBF"/>
                  </w:tcBorders>
                </w:tcPr>
                <w:p w:rsidR="00AC2131" w:rsidRPr="00F62F4A" w:rsidRDefault="00AC2131" w:rsidP="00AC2131">
                  <w:pPr>
                    <w:pStyle w:val="TableBodyText"/>
                    <w:rPr>
                      <w:b/>
                    </w:rPr>
                  </w:pPr>
                  <w:r>
                    <w:rPr>
                      <w:b/>
                    </w:rPr>
                    <w:t>100.0</w:t>
                  </w:r>
                </w:p>
              </w:tc>
              <w:tc>
                <w:tcPr>
                  <w:tcW w:w="706" w:type="pct"/>
                  <w:tcBorders>
                    <w:bottom w:val="single" w:sz="6" w:space="0" w:color="BFBFBF"/>
                  </w:tcBorders>
                  <w:shd w:val="clear" w:color="auto" w:fill="auto"/>
                </w:tcPr>
                <w:p w:rsidR="00AC2131" w:rsidRPr="00F62F4A" w:rsidRDefault="00AC2131" w:rsidP="00AC2131">
                  <w:pPr>
                    <w:pStyle w:val="TableBodyText"/>
                    <w:rPr>
                      <w:b/>
                    </w:rPr>
                  </w:pPr>
                  <w:r>
                    <w:rPr>
                      <w:b/>
                    </w:rPr>
                    <w:t>100.0</w:t>
                  </w:r>
                </w:p>
              </w:tc>
            </w:tr>
          </w:tbl>
          <w:p w:rsidR="00AC2131" w:rsidRDefault="00AC2131" w:rsidP="00AC2131"/>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rsidRPr="00F844DD">
              <w:t>WTO (2013).</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Pr="004179FC" w:rsidRDefault="00AC2131" w:rsidP="00AC2131">
      <w:pPr>
        <w:pStyle w:val="Heading4"/>
      </w:pPr>
      <w:r>
        <w:t xml:space="preserve">Australia’s value-added trade pattern by sector and trading partner </w:t>
      </w:r>
    </w:p>
    <w:p w:rsidR="00AC2131" w:rsidRDefault="00AC2131" w:rsidP="00AC2131">
      <w:pPr>
        <w:pStyle w:val="BodyText"/>
      </w:pPr>
      <w:r>
        <w:t>Similar to the global aggregate pattern (above), manufacturing in Australia is relatively less important, and services relatively more important, when measured in value-added export terms, rather than conventional export sales statistics (figure B.12, left and right panels). Drawing on ABS input-output tables for 2008</w:t>
      </w:r>
      <w:r>
        <w:noBreakHyphen/>
        <w:t>09 for comparability with a number of other published studies on the value added composition of exports and a recent Australian study of global supply chains, the available data suggests that manufacturing exports from Australia historically have amounted to around 40 per cent of export sales –— an average of 38 per cent between 2002 and 2011 and 36 per cent in 2008</w:t>
      </w:r>
      <w:r>
        <w:noBreakHyphen/>
        <w:t>09. In value-added terms, Australian manufacturing comprised about 20 per cent on average over the period 2002 to 2011 with a lower value of around 14 per cent in 2008</w:t>
      </w:r>
      <w:r>
        <w:noBreakHyphen/>
        <w:t xml:space="preserve">09 alone. </w:t>
      </w:r>
    </w:p>
    <w:p w:rsidR="00AC2131" w:rsidRDefault="00AC2131" w:rsidP="00AC2131">
      <w:pPr>
        <w:pStyle w:val="BodyText"/>
      </w:pPr>
      <w:r>
        <w:t>In contrast, direct export sales of services comprised around 20 per cent of Australia’s exports, but in value-added terms represented over 40 per cent, both in average terms and for 2008</w:t>
      </w:r>
      <w:r>
        <w:noBreakHyphen/>
        <w:t xml:space="preserve">09. </w:t>
      </w:r>
    </w:p>
    <w:p w:rsidR="00AC2131" w:rsidRDefault="00AC2131" w:rsidP="00AC2131">
      <w:pPr>
        <w:pStyle w:val="BoxSpaceAbove"/>
      </w:pPr>
    </w:p>
    <w:tbl>
      <w:tblPr>
        <w:tblW w:w="8765"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400"/>
        <w:gridCol w:w="4365"/>
      </w:tblGrid>
      <w:tr w:rsidR="00AC2131" w:rsidTr="00AC2131">
        <w:tc>
          <w:tcPr>
            <w:tcW w:w="8765" w:type="dxa"/>
            <w:gridSpan w:val="2"/>
            <w:tcBorders>
              <w:top w:val="single" w:sz="6" w:space="0" w:color="78A22F"/>
              <w:left w:val="nil"/>
              <w:bottom w:val="nil"/>
              <w:right w:val="nil"/>
            </w:tcBorders>
          </w:tcPr>
          <w:p w:rsidR="00AC2131" w:rsidRDefault="00AC2131" w:rsidP="00AC2131">
            <w:pPr>
              <w:pStyle w:val="FigureTitle"/>
            </w:pPr>
            <w:r w:rsidRPr="00784A05">
              <w:rPr>
                <w:b w:val="0"/>
              </w:rPr>
              <w:t xml:space="preserve">Figure </w:t>
            </w:r>
            <w:r>
              <w:rPr>
                <w:b w:val="0"/>
              </w:rPr>
              <w:t>B.</w:t>
            </w:r>
            <w:r>
              <w:rPr>
                <w:b w:val="0"/>
                <w:noProof/>
              </w:rPr>
              <w:t>12</w:t>
            </w:r>
            <w:r>
              <w:tab/>
              <w:t xml:space="preserve">Australian exports in gross and value-added terms </w:t>
            </w:r>
          </w:p>
          <w:p w:rsidR="00AC2131" w:rsidRPr="00655E13" w:rsidRDefault="00AC2131" w:rsidP="00AC2131">
            <w:pPr>
              <w:pStyle w:val="Subtitle"/>
            </w:pPr>
            <w:r w:rsidRPr="00655E13">
              <w:t>per cent</w:t>
            </w:r>
          </w:p>
        </w:tc>
      </w:tr>
      <w:tr w:rsidR="00AC2131" w:rsidRPr="007B1C0D" w:rsidTr="00AC2131">
        <w:tc>
          <w:tcPr>
            <w:tcW w:w="4400" w:type="dxa"/>
            <w:tcBorders>
              <w:top w:val="nil"/>
              <w:left w:val="nil"/>
              <w:bottom w:val="nil"/>
              <w:right w:val="nil"/>
            </w:tcBorders>
          </w:tcPr>
          <w:p w:rsidR="00AC2131" w:rsidRPr="004B5676" w:rsidRDefault="00AC2131" w:rsidP="00AC2131">
            <w:pPr>
              <w:pStyle w:val="TableColumnHeading"/>
              <w:ind w:left="-57" w:right="-57"/>
              <w:jc w:val="center"/>
              <w:rPr>
                <w:b/>
                <w:noProof/>
              </w:rPr>
            </w:pPr>
            <w:r w:rsidRPr="004B5676">
              <w:rPr>
                <w:b/>
                <w:noProof/>
              </w:rPr>
              <w:t>Based on Australian input-output tables, 2008</w:t>
            </w:r>
            <w:r w:rsidRPr="004B5676">
              <w:rPr>
                <w:b/>
                <w:noProof/>
              </w:rPr>
              <w:noBreakHyphen/>
              <w:t>09</w:t>
            </w:r>
          </w:p>
        </w:tc>
        <w:tc>
          <w:tcPr>
            <w:tcW w:w="4365" w:type="dxa"/>
            <w:tcBorders>
              <w:top w:val="nil"/>
              <w:left w:val="nil"/>
              <w:bottom w:val="nil"/>
              <w:right w:val="nil"/>
            </w:tcBorders>
            <w:shd w:val="clear" w:color="auto" w:fill="auto"/>
            <w:tcMar>
              <w:top w:w="28" w:type="dxa"/>
              <w:bottom w:w="28" w:type="dxa"/>
            </w:tcMar>
          </w:tcPr>
          <w:p w:rsidR="00AC2131" w:rsidRPr="004B5676" w:rsidRDefault="00AC2131" w:rsidP="00AC2131">
            <w:pPr>
              <w:pStyle w:val="TableColumnHeading"/>
              <w:framePr w:w="2155" w:hSpace="227" w:vSpace="181" w:wrap="around" w:vAnchor="text" w:hAnchor="page" w:xAlign="outside" w:y="1"/>
              <w:jc w:val="center"/>
              <w:rPr>
                <w:b/>
                <w:noProof/>
              </w:rPr>
            </w:pPr>
            <w:r w:rsidRPr="004B5676">
              <w:rPr>
                <w:b/>
                <w:noProof/>
              </w:rPr>
              <w:t>Based on TiVA data base, average 2002</w:t>
            </w:r>
            <w:r w:rsidRPr="004B5676">
              <w:rPr>
                <w:b/>
                <w:noProof/>
              </w:rPr>
              <w:noBreakHyphen/>
              <w:t>2011</w:t>
            </w:r>
          </w:p>
        </w:tc>
      </w:tr>
      <w:tr w:rsidR="00AC2131" w:rsidTr="00AC2131">
        <w:tblPrEx>
          <w:tblCellMar>
            <w:left w:w="108" w:type="dxa"/>
            <w:right w:w="108" w:type="dxa"/>
          </w:tblCellMar>
        </w:tblPrEx>
        <w:tc>
          <w:tcPr>
            <w:tcW w:w="4400" w:type="dxa"/>
            <w:tcBorders>
              <w:top w:val="nil"/>
              <w:left w:val="nil"/>
              <w:bottom w:val="nil"/>
              <w:right w:val="nil"/>
            </w:tcBorders>
          </w:tcPr>
          <w:p w:rsidR="00AC2131" w:rsidRDefault="00A0540E" w:rsidP="00AC2131">
            <w:pPr>
              <w:pStyle w:val="Figure"/>
              <w:spacing w:before="0" w:after="0"/>
              <w:rPr>
                <w:noProof/>
              </w:rPr>
            </w:pPr>
            <w:r>
              <w:rPr>
                <w:noProof/>
              </w:rPr>
              <w:drawing>
                <wp:inline distT="0" distB="0" distL="0" distR="0" wp14:anchorId="22A66B54" wp14:editId="65702CD0">
                  <wp:extent cx="2656840" cy="3183255"/>
                  <wp:effectExtent l="0" t="0" r="0" b="0"/>
                  <wp:docPr id="51" name="Picture 51" descr="Figure B.12 presents Australian exports in gross and value added terms based on Australian input-output tables (2008-09, left panel) and TiVA database (average 2002-2011, right panel).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656840" cy="3183255"/>
                          </a:xfrm>
                          <a:prstGeom prst="rect">
                            <a:avLst/>
                          </a:prstGeom>
                          <a:noFill/>
                          <a:ln>
                            <a:noFill/>
                          </a:ln>
                        </pic:spPr>
                      </pic:pic>
                    </a:graphicData>
                  </a:graphic>
                </wp:inline>
              </w:drawing>
            </w:r>
          </w:p>
        </w:tc>
        <w:tc>
          <w:tcPr>
            <w:tcW w:w="4365" w:type="dxa"/>
            <w:tcBorders>
              <w:top w:val="nil"/>
              <w:left w:val="nil"/>
              <w:bottom w:val="nil"/>
              <w:right w:val="nil"/>
            </w:tcBorders>
            <w:shd w:val="clear" w:color="auto" w:fill="auto"/>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Default="00A0540E" w:rsidP="00AC2131">
                  <w:pPr>
                    <w:pStyle w:val="Figure"/>
                    <w:spacing w:before="0" w:after="0"/>
                  </w:pPr>
                  <w:r>
                    <w:rPr>
                      <w:noProof/>
                    </w:rPr>
                    <w:drawing>
                      <wp:inline distT="0" distB="0" distL="0" distR="0" wp14:anchorId="1B74035A" wp14:editId="4CB15ABA">
                        <wp:extent cx="2700020" cy="3234690"/>
                        <wp:effectExtent l="0" t="0" r="5080" b="3810"/>
                        <wp:docPr id="52" name="Picture 52" descr="Figure B.12 presents Australian exports in gross and value added terms based on Australian input-output tables and TiVA database.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700020" cy="3234690"/>
                                </a:xfrm>
                                <a:prstGeom prst="rect">
                                  <a:avLst/>
                                </a:prstGeom>
                                <a:noFill/>
                                <a:ln>
                                  <a:noFill/>
                                </a:ln>
                              </pic:spPr>
                            </pic:pic>
                          </a:graphicData>
                        </a:graphic>
                      </wp:inline>
                    </w:drawing>
                  </w:r>
                </w:p>
              </w:tc>
            </w:tr>
          </w:tbl>
          <w:p w:rsidR="00AC2131" w:rsidRDefault="00AC2131" w:rsidP="00AC2131">
            <w:pPr>
              <w:pStyle w:val="Figure"/>
              <w:spacing w:before="0" w:after="0"/>
            </w:pPr>
          </w:p>
        </w:tc>
      </w:tr>
      <w:tr w:rsidR="00AC2131" w:rsidRPr="00176D3F" w:rsidTr="00AC2131">
        <w:tc>
          <w:tcPr>
            <w:tcW w:w="8765" w:type="dxa"/>
            <w:gridSpan w:val="2"/>
            <w:tcBorders>
              <w:top w:val="nil"/>
              <w:left w:val="nil"/>
              <w:bottom w:val="nil"/>
              <w:right w:val="nil"/>
            </w:tcBorders>
          </w:tcPr>
          <w:p w:rsidR="00AC2131" w:rsidRPr="00176D3F" w:rsidRDefault="00AC2131" w:rsidP="00AC2131">
            <w:pPr>
              <w:pStyle w:val="Source"/>
            </w:pPr>
            <w:r w:rsidRPr="00B10B73">
              <w:rPr>
                <w:i/>
              </w:rPr>
              <w:t>Source</w:t>
            </w:r>
            <w:r>
              <w:rPr>
                <w:i/>
              </w:rPr>
              <w:t>s</w:t>
            </w:r>
            <w:r>
              <w:t xml:space="preserve">: </w:t>
            </w:r>
            <w:r w:rsidRPr="007956EC">
              <w:t xml:space="preserve">Commission estimates </w:t>
            </w:r>
            <w:r>
              <w:t>based on</w:t>
            </w:r>
            <w:r w:rsidRPr="007956EC">
              <w:t xml:space="preserve"> ABS </w:t>
            </w:r>
            <w:r>
              <w:t>(A</w:t>
            </w:r>
            <w:r w:rsidRPr="007956EC">
              <w:rPr>
                <w:i/>
              </w:rPr>
              <w:t>ustralian National Accounts: Input-Output Tables 200</w:t>
            </w:r>
            <w:r>
              <w:rPr>
                <w:i/>
              </w:rPr>
              <w:t>8</w:t>
            </w:r>
            <w:r>
              <w:rPr>
                <w:i/>
              </w:rPr>
              <w:noBreakHyphen/>
            </w:r>
            <w:r w:rsidRPr="007956EC">
              <w:rPr>
                <w:i/>
              </w:rPr>
              <w:t>0</w:t>
            </w:r>
            <w:r>
              <w:rPr>
                <w:i/>
              </w:rPr>
              <w:t>9</w:t>
            </w:r>
            <w:r w:rsidRPr="007956EC">
              <w:t xml:space="preserve">, </w:t>
            </w:r>
            <w:r>
              <w:t>issued September 2012</w:t>
            </w:r>
            <w:r w:rsidRPr="007956EC">
              <w:t>, Cat. no. 5209.0</w:t>
            </w:r>
            <w:r>
              <w:t xml:space="preserve">), Kelly and La Cava (2014). </w:t>
            </w:r>
          </w:p>
        </w:tc>
      </w:tr>
      <w:tr w:rsidR="00AC2131" w:rsidTr="00AC2131">
        <w:tc>
          <w:tcPr>
            <w:tcW w:w="4400" w:type="dxa"/>
            <w:tcBorders>
              <w:top w:val="nil"/>
              <w:left w:val="nil"/>
              <w:bottom w:val="single" w:sz="6" w:space="0" w:color="78A22F"/>
              <w:right w:val="nil"/>
            </w:tcBorders>
          </w:tcPr>
          <w:p w:rsidR="00AC2131" w:rsidRDefault="00AC2131" w:rsidP="00AC2131">
            <w:pPr>
              <w:pStyle w:val="Figurespace"/>
            </w:pPr>
          </w:p>
        </w:tc>
        <w:tc>
          <w:tcPr>
            <w:tcW w:w="4365"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65" w:type="dxa"/>
            <w:gridSpan w:val="2"/>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 xml:space="preserve">In terms of the destination of Australia’s exports, the main difference between Australia’s gross and value-added exports is the relative importance of emerging economies relative to advanced economies. Over the period 2002 to 2011, North America and Europe accounted for 23 per cent of Australia’s gross exports but about 32 per cent in value-added terms (figure B.13). This is because a proportion of exports to Asia (such as China, South Korea and Taiwan), especially of resources, are used as intermediate inputs to produce goods that are then re-exported to North America and Europe.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8E6502" w:rsidRDefault="00AC2131" w:rsidP="00AC2131">
            <w:pPr>
              <w:pStyle w:val="FigureTitle"/>
            </w:pPr>
            <w:r w:rsidRPr="00784A05">
              <w:rPr>
                <w:b w:val="0"/>
              </w:rPr>
              <w:t xml:space="preserve">Figure </w:t>
            </w:r>
            <w:r>
              <w:rPr>
                <w:b w:val="0"/>
              </w:rPr>
              <w:t>B.</w:t>
            </w:r>
            <w:r>
              <w:rPr>
                <w:b w:val="0"/>
                <w:noProof/>
              </w:rPr>
              <w:t>13</w:t>
            </w:r>
            <w:r>
              <w:tab/>
              <w:t>Australian value-added exports by country of destination, average 2002 to 2011</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C2131" w:rsidTr="00AC2131">
              <w:trPr>
                <w:jc w:val="center"/>
              </w:trPr>
              <w:tc>
                <w:tcPr>
                  <w:tcW w:w="5000" w:type="pct"/>
                  <w:tcBorders>
                    <w:top w:val="nil"/>
                    <w:bottom w:val="nil"/>
                  </w:tcBorders>
                </w:tcPr>
                <w:p w:rsidR="00AC2131" w:rsidRDefault="00AC2131" w:rsidP="00AC2131">
                  <w:pPr>
                    <w:pStyle w:val="Figure"/>
                    <w:spacing w:before="60" w:after="60"/>
                  </w:pPr>
                  <w:r>
                    <w:rPr>
                      <w:noProof/>
                    </w:rPr>
                    <w:drawing>
                      <wp:inline distT="0" distB="0" distL="0" distR="0" wp14:anchorId="4AF272E7" wp14:editId="522EDFE2">
                        <wp:extent cx="5400675" cy="2876550"/>
                        <wp:effectExtent l="0" t="0" r="9525" b="0"/>
                        <wp:docPr id="45" name="Picture 45" descr="Figure B.13 presents Australian gross and value added exports by country of destination, average from 2002 to 2011.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Kelly and La Cava (2014).</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Heading2"/>
      </w:pPr>
      <w:r>
        <w:t>B.</w:t>
      </w:r>
      <w:r>
        <w:rPr>
          <w:noProof/>
        </w:rPr>
        <w:t>4</w:t>
      </w:r>
      <w:r>
        <w:tab/>
        <w:t>Global patterns of value-added manufacturing production and factor income distribution</w:t>
      </w:r>
    </w:p>
    <w:p w:rsidR="00AC2131" w:rsidRDefault="00AC2131" w:rsidP="00AC2131">
      <w:pPr>
        <w:pStyle w:val="BodyText"/>
      </w:pPr>
      <w:r>
        <w:t xml:space="preserve">The newly available world input-output data also enables the links between increasing global production fragmentation and income distribution to be considered. A study of international manufacturing production chains for 14 industries and 40 countries between 1995 and 2008 estimated that the share of income for capital and high-skilled labour increased eight percentage points, whereas the income share for medium and low-skilled labour declined (figure B.14). That is not to say this pattern was observed in every value chain. For example, an increase in the share of value added by capital was observed for 64 per cent of manufacturing chains, whereas the increase in the labour income share for high-skilled labour was more pervasive, occurring in 92 per cent of chains. Decreases in labour income shares for medium and low-skilled labour occurred in, respectively, 56 per cent and 91 per cent of cases.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9D34CF" w:rsidRDefault="00AC2131" w:rsidP="00AC2131">
            <w:pPr>
              <w:pStyle w:val="FigureTitle"/>
            </w:pPr>
            <w:r w:rsidRPr="00784A05">
              <w:rPr>
                <w:b w:val="0"/>
              </w:rPr>
              <w:t xml:space="preserve">Figure </w:t>
            </w:r>
            <w:r>
              <w:rPr>
                <w:b w:val="0"/>
              </w:rPr>
              <w:t>B.</w:t>
            </w:r>
            <w:r>
              <w:rPr>
                <w:b w:val="0"/>
                <w:noProof/>
              </w:rPr>
              <w:t>14</w:t>
            </w:r>
            <w:r>
              <w:tab/>
              <w:t xml:space="preserve">Factor income shares across 14 manufacturing industries, 1995 to 2008 </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Default="00AC2131" w:rsidP="00AC2131">
                  <w:pPr>
                    <w:pStyle w:val="Figure"/>
                    <w:spacing w:before="60" w:after="60"/>
                  </w:pPr>
                  <w:r>
                    <w:rPr>
                      <w:noProof/>
                    </w:rPr>
                    <w:drawing>
                      <wp:inline distT="0" distB="0" distL="0" distR="0" wp14:anchorId="6B4FC461" wp14:editId="6E2DB0ED">
                        <wp:extent cx="5257800" cy="2819400"/>
                        <wp:effectExtent l="0" t="0" r="0" b="0"/>
                        <wp:docPr id="46" name="Picture 46" descr="Figure B.14 presents factor income shares across 14 manufacturing industries from 1995 to 2008.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257800" cy="2819400"/>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Pr="00176D3F" w:rsidRDefault="00AC2131" w:rsidP="00AC2131">
            <w:pPr>
              <w:pStyle w:val="Source"/>
            </w:pPr>
            <w:r>
              <w:rPr>
                <w:i/>
              </w:rPr>
              <w:t>S</w:t>
            </w:r>
            <w:r w:rsidRPr="00784A05">
              <w:rPr>
                <w:i/>
              </w:rPr>
              <w:t>ource</w:t>
            </w:r>
            <w:r w:rsidRPr="00176D3F">
              <w:t xml:space="preserve">: </w:t>
            </w:r>
            <w:r>
              <w:t>Timmer et al. (2014).</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r>
        <w:t>The estimated shift in value-added towards capital and high-skilled labour occurred for almost all advanced nations (table B.5). Nevertheless, for the United Kingdom and Italy there was a decline for capital and only for the United Kingdom, Italy, Spain and France is there an increase in the share of income accruing to medium-skilled workers. For Australia, the increase in the return to capital share is above the average, but below the average for high-skilled labour. The decline in the share of income attributed to low-skill workers in Australian manufacturing is greater than the estimated world average.</w:t>
      </w:r>
    </w:p>
    <w:p w:rsidR="00AC2131" w:rsidRDefault="00AC2131" w:rsidP="00AC2131">
      <w:pPr>
        <w:pStyle w:val="BodyText"/>
      </w:pPr>
      <w:r>
        <w:t xml:space="preserve">The shift towards capital and high-skilled labour is also evident for most of the emerging economies (with Brazil and Turkey being the main exceptions). Although there has been a significant relocation of manufacturing from developed countries to low-wage developing and emerging countries over the last two decades, the share of income in manufacturing in emerging countries is nonetheless estimated (for this dataset) to have increased in favour of capital and away from low-skilled labour. Timmer et al. (2014) suggest that this trend is consistent with mobile capital moving to locations with high rental-wage ratios for low skill labour. </w:t>
      </w:r>
    </w:p>
    <w:p w:rsidR="00AC2131" w:rsidRDefault="00AC2131" w:rsidP="00AC2131">
      <w:pPr>
        <w:pStyle w:val="BodyText"/>
      </w:pPr>
      <w:r>
        <w:t xml:space="preserve">Globally, the share of high-income countries in total value-added in the sample of manufacturing chains declined from 74 per cent in 1995 to 56 per cent in 2008. China is responsible for half of the 18 percentage point increase in income share for the emerging regions.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0"/>
      </w:tblGrid>
      <w:tr w:rsidR="00AC2131" w:rsidTr="00AC2131">
        <w:tc>
          <w:tcPr>
            <w:tcW w:w="8790" w:type="dxa"/>
            <w:tcBorders>
              <w:top w:val="single" w:sz="6" w:space="0" w:color="78A22F"/>
              <w:left w:val="nil"/>
              <w:bottom w:val="nil"/>
              <w:right w:val="nil"/>
            </w:tcBorders>
            <w:shd w:val="clear" w:color="auto" w:fill="auto"/>
          </w:tcPr>
          <w:p w:rsidR="00AC2131" w:rsidRPr="000A5774" w:rsidRDefault="00AC2131" w:rsidP="00AC2131">
            <w:pPr>
              <w:pStyle w:val="TableTitle"/>
            </w:pPr>
            <w:r>
              <w:rPr>
                <w:b w:val="0"/>
              </w:rPr>
              <w:t>Table B.</w:t>
            </w:r>
            <w:r>
              <w:rPr>
                <w:b w:val="0"/>
                <w:noProof/>
              </w:rPr>
              <w:t>5</w:t>
            </w:r>
            <w:r>
              <w:tab/>
              <w:t>Changes in factor shares from 1995 to 2008 in manufacturing global value chains, by economy</w:t>
            </w:r>
          </w:p>
          <w:p w:rsidR="00AC2131" w:rsidRPr="00784A05" w:rsidRDefault="00AC2131" w:rsidP="00AC2131">
            <w:pPr>
              <w:pStyle w:val="Subtitle"/>
            </w:pPr>
            <w:r>
              <w:t>(in percentage points)</w:t>
            </w:r>
          </w:p>
        </w:tc>
      </w:tr>
      <w:tr w:rsidR="00AC2131" w:rsidTr="00AC2131">
        <w:trPr>
          <w:cantSplit/>
        </w:trPr>
        <w:tc>
          <w:tcPr>
            <w:tcW w:w="8790" w:type="dxa"/>
            <w:tcBorders>
              <w:top w:val="nil"/>
              <w:left w:val="nil"/>
              <w:bottom w:val="nil"/>
              <w:right w:val="nil"/>
            </w:tcBorders>
            <w:shd w:val="clear" w:color="auto" w:fill="auto"/>
          </w:tcPr>
          <w:tbl>
            <w:tblPr>
              <w:tblW w:w="8506" w:type="dxa"/>
              <w:tblCellMar>
                <w:top w:w="28" w:type="dxa"/>
                <w:left w:w="0" w:type="dxa"/>
                <w:right w:w="0" w:type="dxa"/>
              </w:tblCellMar>
              <w:tblLook w:val="0000" w:firstRow="0" w:lastRow="0" w:firstColumn="0" w:lastColumn="0" w:noHBand="0" w:noVBand="0"/>
            </w:tblPr>
            <w:tblGrid>
              <w:gridCol w:w="2384"/>
              <w:gridCol w:w="1534"/>
              <w:gridCol w:w="1536"/>
              <w:gridCol w:w="1536"/>
              <w:gridCol w:w="1516"/>
            </w:tblGrid>
            <w:tr w:rsidR="00AC2131" w:rsidTr="00AC2131">
              <w:tc>
                <w:tcPr>
                  <w:tcW w:w="1401" w:type="pct"/>
                  <w:tcBorders>
                    <w:top w:val="single" w:sz="6" w:space="0" w:color="BFBFBF"/>
                    <w:bottom w:val="single" w:sz="6" w:space="0" w:color="BFBFBF"/>
                  </w:tcBorders>
                  <w:vAlign w:val="bottom"/>
                </w:tcPr>
                <w:p w:rsidR="00AC2131" w:rsidRDefault="00AC2131" w:rsidP="00AC2131">
                  <w:pPr>
                    <w:pStyle w:val="TableColumnHeading"/>
                    <w:jc w:val="left"/>
                  </w:pPr>
                  <w:r>
                    <w:t>Economy</w:t>
                  </w:r>
                </w:p>
              </w:tc>
              <w:tc>
                <w:tcPr>
                  <w:tcW w:w="902"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pPr>
                  <w:r>
                    <w:br/>
                    <w:t>Capital</w:t>
                  </w:r>
                </w:p>
              </w:tc>
              <w:tc>
                <w:tcPr>
                  <w:tcW w:w="903" w:type="pct"/>
                  <w:tcBorders>
                    <w:top w:val="single" w:sz="6" w:space="0" w:color="BFBFBF"/>
                    <w:bottom w:val="single" w:sz="6" w:space="0" w:color="BFBFBF"/>
                  </w:tcBorders>
                  <w:vAlign w:val="bottom"/>
                </w:tcPr>
                <w:p w:rsidR="00AC2131" w:rsidRDefault="00AC2131" w:rsidP="00AC2131">
                  <w:pPr>
                    <w:pStyle w:val="TableColumnHeading"/>
                  </w:pPr>
                  <w:r>
                    <w:t>High-skilled</w:t>
                  </w:r>
                  <w:r>
                    <w:br/>
                    <w:t>labour</w:t>
                  </w:r>
                </w:p>
              </w:tc>
              <w:tc>
                <w:tcPr>
                  <w:tcW w:w="903" w:type="pct"/>
                  <w:tcBorders>
                    <w:top w:val="single" w:sz="6" w:space="0" w:color="BFBFBF"/>
                    <w:bottom w:val="single" w:sz="6" w:space="0" w:color="BFBFBF"/>
                  </w:tcBorders>
                  <w:vAlign w:val="bottom"/>
                </w:tcPr>
                <w:p w:rsidR="00AC2131" w:rsidRDefault="00AC2131" w:rsidP="00AC2131">
                  <w:pPr>
                    <w:pStyle w:val="TableColumnHeading"/>
                  </w:pPr>
                  <w:r>
                    <w:t>Medium-skilled</w:t>
                  </w:r>
                  <w:r>
                    <w:br/>
                    <w:t>labour</w:t>
                  </w:r>
                </w:p>
              </w:tc>
              <w:tc>
                <w:tcPr>
                  <w:tcW w:w="891"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pPr>
                  <w:r>
                    <w:t>Low-skilled</w:t>
                  </w:r>
                  <w:r>
                    <w:br/>
                    <w:t>labour</w:t>
                  </w:r>
                </w:p>
              </w:tc>
            </w:tr>
            <w:tr w:rsidR="00AC2131" w:rsidTr="00AC2131">
              <w:tc>
                <w:tcPr>
                  <w:tcW w:w="1401" w:type="pct"/>
                </w:tcPr>
                <w:p w:rsidR="00AC2131" w:rsidRDefault="00AC2131" w:rsidP="00AC2131">
                  <w:pPr>
                    <w:pStyle w:val="TableBodyText"/>
                    <w:spacing w:before="40"/>
                    <w:jc w:val="left"/>
                  </w:pPr>
                  <w:r>
                    <w:t>United States</w:t>
                  </w:r>
                </w:p>
              </w:tc>
              <w:tc>
                <w:tcPr>
                  <w:tcW w:w="902" w:type="pct"/>
                  <w:shd w:val="clear" w:color="auto" w:fill="auto"/>
                  <w:vAlign w:val="bottom"/>
                </w:tcPr>
                <w:p w:rsidR="00AC2131" w:rsidRDefault="00AC2131" w:rsidP="00AC2131">
                  <w:pPr>
                    <w:pStyle w:val="TableBodyText"/>
                    <w:spacing w:before="40"/>
                    <w:rPr>
                      <w:i/>
                    </w:rPr>
                  </w:pPr>
                  <w:r>
                    <w:t>3.9</w:t>
                  </w:r>
                </w:p>
              </w:tc>
              <w:tc>
                <w:tcPr>
                  <w:tcW w:w="903" w:type="pct"/>
                  <w:vAlign w:val="bottom"/>
                </w:tcPr>
                <w:p w:rsidR="00AC2131" w:rsidRDefault="00AC2131" w:rsidP="00AC2131">
                  <w:pPr>
                    <w:pStyle w:val="TableBodyText"/>
                    <w:spacing w:before="40"/>
                    <w:rPr>
                      <w:i/>
                    </w:rPr>
                  </w:pPr>
                  <w:r>
                    <w:t>4.0</w:t>
                  </w:r>
                </w:p>
              </w:tc>
              <w:tc>
                <w:tcPr>
                  <w:tcW w:w="903" w:type="pct"/>
                  <w:vAlign w:val="bottom"/>
                </w:tcPr>
                <w:p w:rsidR="00AC2131" w:rsidRDefault="00AC2131" w:rsidP="00AC2131">
                  <w:pPr>
                    <w:pStyle w:val="TableBodyText"/>
                    <w:spacing w:before="40"/>
                    <w:rPr>
                      <w:i/>
                    </w:rPr>
                  </w:pPr>
                  <w:r>
                    <w:t>-5.9</w:t>
                  </w:r>
                </w:p>
              </w:tc>
              <w:tc>
                <w:tcPr>
                  <w:tcW w:w="891" w:type="pct"/>
                  <w:shd w:val="clear" w:color="auto" w:fill="auto"/>
                  <w:vAlign w:val="bottom"/>
                </w:tcPr>
                <w:p w:rsidR="00AC2131" w:rsidRDefault="00AC2131" w:rsidP="00AC2131">
                  <w:pPr>
                    <w:pStyle w:val="TableBodyText"/>
                    <w:spacing w:before="40"/>
                    <w:rPr>
                      <w:i/>
                    </w:rPr>
                  </w:pPr>
                  <w:r>
                    <w:t>-1.9</w:t>
                  </w:r>
                </w:p>
              </w:tc>
            </w:tr>
            <w:tr w:rsidR="00AC2131" w:rsidTr="00AC2131">
              <w:tc>
                <w:tcPr>
                  <w:tcW w:w="1401" w:type="pct"/>
                </w:tcPr>
                <w:p w:rsidR="00AC2131" w:rsidRDefault="00AC2131" w:rsidP="00AC2131">
                  <w:pPr>
                    <w:pStyle w:val="TableBodyText"/>
                    <w:jc w:val="left"/>
                  </w:pPr>
                  <w:r>
                    <w:t>Japan</w:t>
                  </w:r>
                </w:p>
              </w:tc>
              <w:tc>
                <w:tcPr>
                  <w:tcW w:w="902" w:type="pct"/>
                  <w:shd w:val="clear" w:color="auto" w:fill="auto"/>
                  <w:vAlign w:val="bottom"/>
                </w:tcPr>
                <w:p w:rsidR="00AC2131" w:rsidRDefault="00AC2131" w:rsidP="00AC2131">
                  <w:pPr>
                    <w:pStyle w:val="TableBodyText"/>
                    <w:rPr>
                      <w:i/>
                    </w:rPr>
                  </w:pPr>
                  <w:r>
                    <w:t>4.5</w:t>
                  </w:r>
                </w:p>
              </w:tc>
              <w:tc>
                <w:tcPr>
                  <w:tcW w:w="903" w:type="pct"/>
                  <w:vAlign w:val="bottom"/>
                </w:tcPr>
                <w:p w:rsidR="00AC2131" w:rsidRDefault="00AC2131" w:rsidP="00AC2131">
                  <w:pPr>
                    <w:pStyle w:val="TableBodyText"/>
                    <w:rPr>
                      <w:i/>
                    </w:rPr>
                  </w:pPr>
                  <w:r>
                    <w:t>3.1</w:t>
                  </w:r>
                </w:p>
              </w:tc>
              <w:tc>
                <w:tcPr>
                  <w:tcW w:w="903" w:type="pct"/>
                  <w:vAlign w:val="bottom"/>
                </w:tcPr>
                <w:p w:rsidR="00AC2131" w:rsidRDefault="00AC2131" w:rsidP="00AC2131">
                  <w:pPr>
                    <w:pStyle w:val="TableBodyText"/>
                    <w:rPr>
                      <w:i/>
                    </w:rPr>
                  </w:pPr>
                  <w:r>
                    <w:t>-2.1</w:t>
                  </w:r>
                </w:p>
              </w:tc>
              <w:tc>
                <w:tcPr>
                  <w:tcW w:w="891" w:type="pct"/>
                  <w:shd w:val="clear" w:color="auto" w:fill="auto"/>
                  <w:vAlign w:val="bottom"/>
                </w:tcPr>
                <w:p w:rsidR="00AC2131" w:rsidRDefault="00AC2131" w:rsidP="00AC2131">
                  <w:pPr>
                    <w:pStyle w:val="TableBodyText"/>
                    <w:rPr>
                      <w:i/>
                    </w:rPr>
                  </w:pPr>
                  <w:r>
                    <w:t>-5.4</w:t>
                  </w:r>
                </w:p>
              </w:tc>
            </w:tr>
            <w:tr w:rsidR="00AC2131" w:rsidTr="00AC2131">
              <w:tc>
                <w:tcPr>
                  <w:tcW w:w="1401" w:type="pct"/>
                </w:tcPr>
                <w:p w:rsidR="00AC2131" w:rsidRDefault="00AC2131" w:rsidP="00AC2131">
                  <w:pPr>
                    <w:pStyle w:val="TableBodyText"/>
                    <w:jc w:val="left"/>
                  </w:pPr>
                  <w:r>
                    <w:t>Germany</w:t>
                  </w:r>
                </w:p>
              </w:tc>
              <w:tc>
                <w:tcPr>
                  <w:tcW w:w="902" w:type="pct"/>
                  <w:shd w:val="clear" w:color="auto" w:fill="auto"/>
                  <w:vAlign w:val="bottom"/>
                </w:tcPr>
                <w:p w:rsidR="00AC2131" w:rsidRDefault="00AC2131" w:rsidP="00AC2131">
                  <w:pPr>
                    <w:pStyle w:val="TableBodyText"/>
                    <w:rPr>
                      <w:i/>
                    </w:rPr>
                  </w:pPr>
                  <w:r>
                    <w:t>6.8</w:t>
                  </w:r>
                </w:p>
              </w:tc>
              <w:tc>
                <w:tcPr>
                  <w:tcW w:w="903" w:type="pct"/>
                  <w:vAlign w:val="bottom"/>
                </w:tcPr>
                <w:p w:rsidR="00AC2131" w:rsidRDefault="00AC2131" w:rsidP="00AC2131">
                  <w:pPr>
                    <w:pStyle w:val="TableBodyText"/>
                    <w:rPr>
                      <w:i/>
                    </w:rPr>
                  </w:pPr>
                  <w:r>
                    <w:t>3.4</w:t>
                  </w:r>
                </w:p>
              </w:tc>
              <w:tc>
                <w:tcPr>
                  <w:tcW w:w="903" w:type="pct"/>
                  <w:vAlign w:val="bottom"/>
                </w:tcPr>
                <w:p w:rsidR="00AC2131" w:rsidRDefault="00AC2131" w:rsidP="00AC2131">
                  <w:pPr>
                    <w:pStyle w:val="TableBodyText"/>
                    <w:rPr>
                      <w:i/>
                    </w:rPr>
                  </w:pPr>
                  <w:r>
                    <w:t>-7.4</w:t>
                  </w:r>
                </w:p>
              </w:tc>
              <w:tc>
                <w:tcPr>
                  <w:tcW w:w="891" w:type="pct"/>
                  <w:shd w:val="clear" w:color="auto" w:fill="auto"/>
                  <w:vAlign w:val="bottom"/>
                </w:tcPr>
                <w:p w:rsidR="00AC2131" w:rsidRDefault="00AC2131" w:rsidP="00AC2131">
                  <w:pPr>
                    <w:pStyle w:val="TableBodyText"/>
                    <w:rPr>
                      <w:i/>
                    </w:rPr>
                  </w:pPr>
                  <w:r>
                    <w:t>-2.8</w:t>
                  </w:r>
                </w:p>
              </w:tc>
            </w:tr>
            <w:tr w:rsidR="00AC2131" w:rsidTr="00AC2131">
              <w:tc>
                <w:tcPr>
                  <w:tcW w:w="1401" w:type="pct"/>
                </w:tcPr>
                <w:p w:rsidR="00AC2131" w:rsidRDefault="00AC2131" w:rsidP="00AC2131">
                  <w:pPr>
                    <w:pStyle w:val="TableBodyText"/>
                    <w:jc w:val="left"/>
                  </w:pPr>
                  <w:r>
                    <w:t>France</w:t>
                  </w:r>
                </w:p>
              </w:tc>
              <w:tc>
                <w:tcPr>
                  <w:tcW w:w="902" w:type="pct"/>
                  <w:shd w:val="clear" w:color="auto" w:fill="auto"/>
                  <w:vAlign w:val="bottom"/>
                </w:tcPr>
                <w:p w:rsidR="00AC2131" w:rsidRDefault="00AC2131" w:rsidP="00AC2131">
                  <w:pPr>
                    <w:pStyle w:val="TableBodyText"/>
                    <w:rPr>
                      <w:i/>
                    </w:rPr>
                  </w:pPr>
                  <w:r>
                    <w:t>0.2</w:t>
                  </w:r>
                </w:p>
              </w:tc>
              <w:tc>
                <w:tcPr>
                  <w:tcW w:w="903" w:type="pct"/>
                  <w:vAlign w:val="bottom"/>
                </w:tcPr>
                <w:p w:rsidR="00AC2131" w:rsidRDefault="00AC2131" w:rsidP="00AC2131">
                  <w:pPr>
                    <w:pStyle w:val="TableBodyText"/>
                    <w:rPr>
                      <w:i/>
                    </w:rPr>
                  </w:pPr>
                  <w:r>
                    <w:t>8.4</w:t>
                  </w:r>
                </w:p>
              </w:tc>
              <w:tc>
                <w:tcPr>
                  <w:tcW w:w="903" w:type="pct"/>
                  <w:vAlign w:val="bottom"/>
                </w:tcPr>
                <w:p w:rsidR="00AC2131" w:rsidRDefault="00AC2131" w:rsidP="00AC2131">
                  <w:pPr>
                    <w:pStyle w:val="TableBodyText"/>
                    <w:rPr>
                      <w:i/>
                    </w:rPr>
                  </w:pPr>
                  <w:r>
                    <w:t>0.1</w:t>
                  </w:r>
                </w:p>
              </w:tc>
              <w:tc>
                <w:tcPr>
                  <w:tcW w:w="891" w:type="pct"/>
                  <w:shd w:val="clear" w:color="auto" w:fill="auto"/>
                  <w:vAlign w:val="bottom"/>
                </w:tcPr>
                <w:p w:rsidR="00AC2131" w:rsidRDefault="00AC2131" w:rsidP="00AC2131">
                  <w:pPr>
                    <w:pStyle w:val="TableBodyText"/>
                    <w:rPr>
                      <w:i/>
                    </w:rPr>
                  </w:pPr>
                  <w:r>
                    <w:t>-8.7</w:t>
                  </w:r>
                </w:p>
              </w:tc>
            </w:tr>
            <w:tr w:rsidR="00AC2131" w:rsidTr="00AC2131">
              <w:tc>
                <w:tcPr>
                  <w:tcW w:w="1401" w:type="pct"/>
                </w:tcPr>
                <w:p w:rsidR="00AC2131" w:rsidRDefault="00AC2131" w:rsidP="00AC2131">
                  <w:pPr>
                    <w:pStyle w:val="TableBodyText"/>
                    <w:jc w:val="left"/>
                  </w:pPr>
                  <w:r>
                    <w:t>United Kingdom</w:t>
                  </w:r>
                </w:p>
              </w:tc>
              <w:tc>
                <w:tcPr>
                  <w:tcW w:w="902" w:type="pct"/>
                  <w:shd w:val="clear" w:color="auto" w:fill="auto"/>
                  <w:vAlign w:val="bottom"/>
                </w:tcPr>
                <w:p w:rsidR="00AC2131" w:rsidRDefault="00AC2131" w:rsidP="00AC2131">
                  <w:pPr>
                    <w:pStyle w:val="TableBodyText"/>
                    <w:rPr>
                      <w:i/>
                    </w:rPr>
                  </w:pPr>
                  <w:r>
                    <w:t>-3.4</w:t>
                  </w:r>
                </w:p>
              </w:tc>
              <w:tc>
                <w:tcPr>
                  <w:tcW w:w="903" w:type="pct"/>
                  <w:vAlign w:val="bottom"/>
                </w:tcPr>
                <w:p w:rsidR="00AC2131" w:rsidRDefault="00AC2131" w:rsidP="00AC2131">
                  <w:pPr>
                    <w:pStyle w:val="TableBodyText"/>
                    <w:rPr>
                      <w:i/>
                    </w:rPr>
                  </w:pPr>
                  <w:r>
                    <w:t>10.2</w:t>
                  </w:r>
                </w:p>
              </w:tc>
              <w:tc>
                <w:tcPr>
                  <w:tcW w:w="903" w:type="pct"/>
                  <w:vAlign w:val="bottom"/>
                </w:tcPr>
                <w:p w:rsidR="00AC2131" w:rsidRDefault="00AC2131" w:rsidP="00AC2131">
                  <w:pPr>
                    <w:pStyle w:val="TableBodyText"/>
                    <w:rPr>
                      <w:i/>
                    </w:rPr>
                  </w:pPr>
                  <w:r>
                    <w:t>1.2</w:t>
                  </w:r>
                </w:p>
              </w:tc>
              <w:tc>
                <w:tcPr>
                  <w:tcW w:w="891" w:type="pct"/>
                  <w:shd w:val="clear" w:color="auto" w:fill="auto"/>
                  <w:vAlign w:val="bottom"/>
                </w:tcPr>
                <w:p w:rsidR="00AC2131" w:rsidRDefault="00AC2131" w:rsidP="00AC2131">
                  <w:pPr>
                    <w:pStyle w:val="TableBodyText"/>
                    <w:rPr>
                      <w:i/>
                    </w:rPr>
                  </w:pPr>
                  <w:r>
                    <w:t>-8.0</w:t>
                  </w:r>
                </w:p>
              </w:tc>
            </w:tr>
            <w:tr w:rsidR="00AC2131" w:rsidTr="00AC2131">
              <w:tc>
                <w:tcPr>
                  <w:tcW w:w="1401" w:type="pct"/>
                </w:tcPr>
                <w:p w:rsidR="00AC2131" w:rsidRDefault="00AC2131" w:rsidP="00AC2131">
                  <w:pPr>
                    <w:pStyle w:val="TableBodyText"/>
                    <w:jc w:val="left"/>
                  </w:pPr>
                  <w:r>
                    <w:t>Italy</w:t>
                  </w:r>
                </w:p>
              </w:tc>
              <w:tc>
                <w:tcPr>
                  <w:tcW w:w="902" w:type="pct"/>
                  <w:shd w:val="clear" w:color="auto" w:fill="auto"/>
                  <w:vAlign w:val="bottom"/>
                </w:tcPr>
                <w:p w:rsidR="00AC2131" w:rsidRDefault="00AC2131" w:rsidP="00AC2131">
                  <w:pPr>
                    <w:pStyle w:val="TableBodyText"/>
                    <w:rPr>
                      <w:i/>
                    </w:rPr>
                  </w:pPr>
                  <w:r>
                    <w:t>-1.1</w:t>
                  </w:r>
                </w:p>
              </w:tc>
              <w:tc>
                <w:tcPr>
                  <w:tcW w:w="903" w:type="pct"/>
                  <w:vAlign w:val="bottom"/>
                </w:tcPr>
                <w:p w:rsidR="00AC2131" w:rsidRDefault="00AC2131" w:rsidP="00AC2131">
                  <w:pPr>
                    <w:pStyle w:val="TableBodyText"/>
                    <w:rPr>
                      <w:i/>
                    </w:rPr>
                  </w:pPr>
                  <w:r>
                    <w:t>5.5</w:t>
                  </w:r>
                </w:p>
              </w:tc>
              <w:tc>
                <w:tcPr>
                  <w:tcW w:w="903" w:type="pct"/>
                  <w:vAlign w:val="bottom"/>
                </w:tcPr>
                <w:p w:rsidR="00AC2131" w:rsidRDefault="00AC2131" w:rsidP="00AC2131">
                  <w:pPr>
                    <w:pStyle w:val="TableBodyText"/>
                    <w:rPr>
                      <w:i/>
                    </w:rPr>
                  </w:pPr>
                  <w:r>
                    <w:t>10.4</w:t>
                  </w:r>
                </w:p>
              </w:tc>
              <w:tc>
                <w:tcPr>
                  <w:tcW w:w="891" w:type="pct"/>
                  <w:shd w:val="clear" w:color="auto" w:fill="auto"/>
                  <w:vAlign w:val="bottom"/>
                </w:tcPr>
                <w:p w:rsidR="00AC2131" w:rsidRDefault="00AC2131" w:rsidP="00AC2131">
                  <w:pPr>
                    <w:pStyle w:val="TableBodyText"/>
                    <w:rPr>
                      <w:i/>
                    </w:rPr>
                  </w:pPr>
                  <w:r>
                    <w:t>-14.8</w:t>
                  </w:r>
                </w:p>
              </w:tc>
            </w:tr>
            <w:tr w:rsidR="00AC2131" w:rsidTr="00AC2131">
              <w:tc>
                <w:tcPr>
                  <w:tcW w:w="1401" w:type="pct"/>
                </w:tcPr>
                <w:p w:rsidR="00AC2131" w:rsidRDefault="00AC2131" w:rsidP="00AC2131">
                  <w:pPr>
                    <w:pStyle w:val="TableBodyText"/>
                    <w:jc w:val="left"/>
                  </w:pPr>
                  <w:r>
                    <w:t>Spain</w:t>
                  </w:r>
                </w:p>
              </w:tc>
              <w:tc>
                <w:tcPr>
                  <w:tcW w:w="902" w:type="pct"/>
                  <w:shd w:val="clear" w:color="auto" w:fill="auto"/>
                  <w:vAlign w:val="bottom"/>
                </w:tcPr>
                <w:p w:rsidR="00AC2131" w:rsidRDefault="00AC2131" w:rsidP="00AC2131">
                  <w:pPr>
                    <w:pStyle w:val="TableBodyText"/>
                    <w:rPr>
                      <w:i/>
                    </w:rPr>
                  </w:pPr>
                  <w:r>
                    <w:t>0.1</w:t>
                  </w:r>
                </w:p>
              </w:tc>
              <w:tc>
                <w:tcPr>
                  <w:tcW w:w="903" w:type="pct"/>
                  <w:vAlign w:val="bottom"/>
                </w:tcPr>
                <w:p w:rsidR="00AC2131" w:rsidRDefault="00AC2131" w:rsidP="00AC2131">
                  <w:pPr>
                    <w:pStyle w:val="TableBodyText"/>
                    <w:rPr>
                      <w:i/>
                    </w:rPr>
                  </w:pPr>
                  <w:r>
                    <w:t>8.1</w:t>
                  </w:r>
                </w:p>
              </w:tc>
              <w:tc>
                <w:tcPr>
                  <w:tcW w:w="903" w:type="pct"/>
                  <w:vAlign w:val="bottom"/>
                </w:tcPr>
                <w:p w:rsidR="00AC2131" w:rsidRDefault="00AC2131" w:rsidP="00AC2131">
                  <w:pPr>
                    <w:pStyle w:val="TableBodyText"/>
                    <w:rPr>
                      <w:i/>
                    </w:rPr>
                  </w:pPr>
                  <w:r>
                    <w:t>4.7</w:t>
                  </w:r>
                </w:p>
              </w:tc>
              <w:tc>
                <w:tcPr>
                  <w:tcW w:w="891" w:type="pct"/>
                  <w:shd w:val="clear" w:color="auto" w:fill="auto"/>
                  <w:vAlign w:val="bottom"/>
                </w:tcPr>
                <w:p w:rsidR="00AC2131" w:rsidRDefault="00AC2131" w:rsidP="00AC2131">
                  <w:pPr>
                    <w:pStyle w:val="TableBodyText"/>
                    <w:rPr>
                      <w:i/>
                    </w:rPr>
                  </w:pPr>
                  <w:r>
                    <w:t>-12.9</w:t>
                  </w:r>
                </w:p>
              </w:tc>
            </w:tr>
            <w:tr w:rsidR="00AC2131" w:rsidTr="00AC2131">
              <w:tc>
                <w:tcPr>
                  <w:tcW w:w="1401" w:type="pct"/>
                </w:tcPr>
                <w:p w:rsidR="00AC2131" w:rsidRDefault="00AC2131" w:rsidP="00AC2131">
                  <w:pPr>
                    <w:pStyle w:val="TableBodyText"/>
                    <w:jc w:val="left"/>
                  </w:pPr>
                  <w:r>
                    <w:t>Canada</w:t>
                  </w:r>
                </w:p>
              </w:tc>
              <w:tc>
                <w:tcPr>
                  <w:tcW w:w="902" w:type="pct"/>
                  <w:shd w:val="clear" w:color="auto" w:fill="auto"/>
                  <w:vAlign w:val="bottom"/>
                </w:tcPr>
                <w:p w:rsidR="00AC2131" w:rsidRDefault="00AC2131" w:rsidP="00AC2131">
                  <w:pPr>
                    <w:pStyle w:val="TableBodyText"/>
                    <w:rPr>
                      <w:i/>
                    </w:rPr>
                  </w:pPr>
                  <w:r>
                    <w:t>1.8</w:t>
                  </w:r>
                </w:p>
              </w:tc>
              <w:tc>
                <w:tcPr>
                  <w:tcW w:w="903" w:type="pct"/>
                  <w:vAlign w:val="bottom"/>
                </w:tcPr>
                <w:p w:rsidR="00AC2131" w:rsidRDefault="00AC2131" w:rsidP="00AC2131">
                  <w:pPr>
                    <w:pStyle w:val="TableBodyText"/>
                    <w:rPr>
                      <w:i/>
                    </w:rPr>
                  </w:pPr>
                  <w:r>
                    <w:t>4.8</w:t>
                  </w:r>
                </w:p>
              </w:tc>
              <w:tc>
                <w:tcPr>
                  <w:tcW w:w="903" w:type="pct"/>
                  <w:vAlign w:val="bottom"/>
                </w:tcPr>
                <w:p w:rsidR="00AC2131" w:rsidRDefault="00AC2131" w:rsidP="00AC2131">
                  <w:pPr>
                    <w:pStyle w:val="TableBodyText"/>
                    <w:rPr>
                      <w:i/>
                    </w:rPr>
                  </w:pPr>
                  <w:r>
                    <w:t>-4.6</w:t>
                  </w:r>
                </w:p>
              </w:tc>
              <w:tc>
                <w:tcPr>
                  <w:tcW w:w="891" w:type="pct"/>
                  <w:shd w:val="clear" w:color="auto" w:fill="auto"/>
                  <w:vAlign w:val="bottom"/>
                </w:tcPr>
                <w:p w:rsidR="00AC2131" w:rsidRDefault="00AC2131" w:rsidP="00AC2131">
                  <w:pPr>
                    <w:pStyle w:val="TableBodyText"/>
                    <w:rPr>
                      <w:i/>
                    </w:rPr>
                  </w:pPr>
                  <w:r>
                    <w:t>-2.0</w:t>
                  </w:r>
                </w:p>
              </w:tc>
            </w:tr>
            <w:tr w:rsidR="00AC2131" w:rsidTr="00AC2131">
              <w:tc>
                <w:tcPr>
                  <w:tcW w:w="1401" w:type="pct"/>
                </w:tcPr>
                <w:p w:rsidR="00AC2131" w:rsidRPr="008A1DBC" w:rsidRDefault="00AC2131" w:rsidP="00AC2131">
                  <w:pPr>
                    <w:pStyle w:val="TableBodyText"/>
                    <w:jc w:val="left"/>
                    <w:rPr>
                      <w:b/>
                    </w:rPr>
                  </w:pPr>
                  <w:r w:rsidRPr="008A1DBC">
                    <w:rPr>
                      <w:b/>
                    </w:rPr>
                    <w:t>Australia</w:t>
                  </w:r>
                </w:p>
              </w:tc>
              <w:tc>
                <w:tcPr>
                  <w:tcW w:w="902" w:type="pct"/>
                  <w:shd w:val="clear" w:color="auto" w:fill="auto"/>
                  <w:vAlign w:val="bottom"/>
                </w:tcPr>
                <w:p w:rsidR="00AC2131" w:rsidRPr="008A1DBC" w:rsidRDefault="00AC2131" w:rsidP="00AC2131">
                  <w:pPr>
                    <w:pStyle w:val="TableBodyText"/>
                    <w:rPr>
                      <w:b/>
                      <w:i/>
                    </w:rPr>
                  </w:pPr>
                  <w:r w:rsidRPr="008A1DBC">
                    <w:rPr>
                      <w:b/>
                    </w:rPr>
                    <w:t>6.0</w:t>
                  </w:r>
                </w:p>
              </w:tc>
              <w:tc>
                <w:tcPr>
                  <w:tcW w:w="903" w:type="pct"/>
                  <w:vAlign w:val="bottom"/>
                </w:tcPr>
                <w:p w:rsidR="00AC2131" w:rsidRPr="008A1DBC" w:rsidRDefault="00AC2131" w:rsidP="00AC2131">
                  <w:pPr>
                    <w:pStyle w:val="TableBodyText"/>
                    <w:rPr>
                      <w:b/>
                      <w:i/>
                    </w:rPr>
                  </w:pPr>
                  <w:r w:rsidRPr="008A1DBC">
                    <w:rPr>
                      <w:b/>
                    </w:rPr>
                    <w:t>3.3</w:t>
                  </w:r>
                </w:p>
              </w:tc>
              <w:tc>
                <w:tcPr>
                  <w:tcW w:w="903" w:type="pct"/>
                  <w:vAlign w:val="bottom"/>
                </w:tcPr>
                <w:p w:rsidR="00AC2131" w:rsidRPr="008A1DBC" w:rsidRDefault="00AC2131" w:rsidP="00AC2131">
                  <w:pPr>
                    <w:pStyle w:val="TableBodyText"/>
                    <w:rPr>
                      <w:b/>
                      <w:i/>
                    </w:rPr>
                  </w:pPr>
                  <w:r w:rsidRPr="008A1DBC">
                    <w:rPr>
                      <w:b/>
                    </w:rPr>
                    <w:t>-0.9</w:t>
                  </w:r>
                </w:p>
              </w:tc>
              <w:tc>
                <w:tcPr>
                  <w:tcW w:w="891" w:type="pct"/>
                  <w:shd w:val="clear" w:color="auto" w:fill="auto"/>
                  <w:vAlign w:val="bottom"/>
                </w:tcPr>
                <w:p w:rsidR="00AC2131" w:rsidRPr="008A1DBC" w:rsidRDefault="00AC2131" w:rsidP="00AC2131">
                  <w:pPr>
                    <w:pStyle w:val="TableBodyText"/>
                    <w:rPr>
                      <w:b/>
                      <w:i/>
                    </w:rPr>
                  </w:pPr>
                  <w:r w:rsidRPr="008A1DBC">
                    <w:rPr>
                      <w:b/>
                    </w:rPr>
                    <w:t>-8.4</w:t>
                  </w:r>
                </w:p>
              </w:tc>
            </w:tr>
            <w:tr w:rsidR="00AC2131" w:rsidTr="00AC2131">
              <w:tc>
                <w:tcPr>
                  <w:tcW w:w="1401" w:type="pct"/>
                </w:tcPr>
                <w:p w:rsidR="00AC2131" w:rsidRDefault="00AC2131" w:rsidP="00AC2131">
                  <w:pPr>
                    <w:pStyle w:val="TableBodyText"/>
                    <w:jc w:val="left"/>
                  </w:pPr>
                  <w:r>
                    <w:t>South Korea</w:t>
                  </w:r>
                </w:p>
              </w:tc>
              <w:tc>
                <w:tcPr>
                  <w:tcW w:w="902" w:type="pct"/>
                  <w:shd w:val="clear" w:color="auto" w:fill="auto"/>
                  <w:vAlign w:val="bottom"/>
                </w:tcPr>
                <w:p w:rsidR="00AC2131" w:rsidRDefault="00AC2131" w:rsidP="00AC2131">
                  <w:pPr>
                    <w:pStyle w:val="TableBodyText"/>
                    <w:rPr>
                      <w:i/>
                    </w:rPr>
                  </w:pPr>
                  <w:r>
                    <w:t>9.3</w:t>
                  </w:r>
                </w:p>
              </w:tc>
              <w:tc>
                <w:tcPr>
                  <w:tcW w:w="903" w:type="pct"/>
                  <w:vAlign w:val="bottom"/>
                </w:tcPr>
                <w:p w:rsidR="00AC2131" w:rsidRDefault="00AC2131" w:rsidP="00AC2131">
                  <w:pPr>
                    <w:pStyle w:val="TableBodyText"/>
                    <w:rPr>
                      <w:i/>
                    </w:rPr>
                  </w:pPr>
                  <w:r>
                    <w:t>8.0</w:t>
                  </w:r>
                </w:p>
              </w:tc>
              <w:tc>
                <w:tcPr>
                  <w:tcW w:w="903" w:type="pct"/>
                  <w:vAlign w:val="bottom"/>
                </w:tcPr>
                <w:p w:rsidR="00AC2131" w:rsidRDefault="00AC2131" w:rsidP="00AC2131">
                  <w:pPr>
                    <w:pStyle w:val="TableBodyText"/>
                    <w:rPr>
                      <w:i/>
                    </w:rPr>
                  </w:pPr>
                  <w:r>
                    <w:t>-5.6</w:t>
                  </w:r>
                </w:p>
              </w:tc>
              <w:tc>
                <w:tcPr>
                  <w:tcW w:w="891" w:type="pct"/>
                  <w:shd w:val="clear" w:color="auto" w:fill="auto"/>
                  <w:vAlign w:val="bottom"/>
                </w:tcPr>
                <w:p w:rsidR="00AC2131" w:rsidRDefault="00AC2131" w:rsidP="00AC2131">
                  <w:pPr>
                    <w:pStyle w:val="TableBodyText"/>
                    <w:rPr>
                      <w:i/>
                    </w:rPr>
                  </w:pPr>
                  <w:r>
                    <w:t>-11.6</w:t>
                  </w:r>
                </w:p>
              </w:tc>
            </w:tr>
            <w:tr w:rsidR="00AC2131" w:rsidTr="00AC2131">
              <w:tc>
                <w:tcPr>
                  <w:tcW w:w="1401" w:type="pct"/>
                </w:tcPr>
                <w:p w:rsidR="00AC2131" w:rsidRDefault="00AC2131" w:rsidP="00AC2131">
                  <w:pPr>
                    <w:pStyle w:val="TableBodyText"/>
                    <w:jc w:val="left"/>
                  </w:pPr>
                  <w:r>
                    <w:t>Netherlands</w:t>
                  </w:r>
                </w:p>
              </w:tc>
              <w:tc>
                <w:tcPr>
                  <w:tcW w:w="902" w:type="pct"/>
                  <w:shd w:val="clear" w:color="auto" w:fill="auto"/>
                  <w:vAlign w:val="bottom"/>
                </w:tcPr>
                <w:p w:rsidR="00AC2131" w:rsidRDefault="00AC2131" w:rsidP="00AC2131">
                  <w:pPr>
                    <w:pStyle w:val="TableBodyText"/>
                    <w:rPr>
                      <w:i/>
                    </w:rPr>
                  </w:pPr>
                  <w:r>
                    <w:t>5.5</w:t>
                  </w:r>
                </w:p>
              </w:tc>
              <w:tc>
                <w:tcPr>
                  <w:tcW w:w="903" w:type="pct"/>
                  <w:vAlign w:val="bottom"/>
                </w:tcPr>
                <w:p w:rsidR="00AC2131" w:rsidRDefault="00AC2131" w:rsidP="00AC2131">
                  <w:pPr>
                    <w:pStyle w:val="TableBodyText"/>
                    <w:rPr>
                      <w:i/>
                    </w:rPr>
                  </w:pPr>
                  <w:r>
                    <w:t>8.9</w:t>
                  </w:r>
                </w:p>
              </w:tc>
              <w:tc>
                <w:tcPr>
                  <w:tcW w:w="903" w:type="pct"/>
                  <w:vAlign w:val="bottom"/>
                </w:tcPr>
                <w:p w:rsidR="00AC2131" w:rsidRDefault="00AC2131" w:rsidP="00AC2131">
                  <w:pPr>
                    <w:pStyle w:val="TableBodyText"/>
                    <w:rPr>
                      <w:i/>
                    </w:rPr>
                  </w:pPr>
                  <w:r>
                    <w:t>-7.1</w:t>
                  </w:r>
                </w:p>
              </w:tc>
              <w:tc>
                <w:tcPr>
                  <w:tcW w:w="891" w:type="pct"/>
                  <w:shd w:val="clear" w:color="auto" w:fill="auto"/>
                  <w:vAlign w:val="bottom"/>
                </w:tcPr>
                <w:p w:rsidR="00AC2131" w:rsidRDefault="00AC2131" w:rsidP="00AC2131">
                  <w:pPr>
                    <w:pStyle w:val="TableBodyText"/>
                    <w:rPr>
                      <w:i/>
                    </w:rPr>
                  </w:pPr>
                  <w:r>
                    <w:t>-7.3</w:t>
                  </w:r>
                </w:p>
              </w:tc>
            </w:tr>
            <w:tr w:rsidR="00AC2131" w:rsidTr="00AC2131">
              <w:tc>
                <w:tcPr>
                  <w:tcW w:w="1401" w:type="pct"/>
                </w:tcPr>
                <w:p w:rsidR="00AC2131" w:rsidRPr="000A5774" w:rsidRDefault="00AC2131" w:rsidP="00AC2131">
                  <w:pPr>
                    <w:pStyle w:val="TableBodyText"/>
                    <w:jc w:val="left"/>
                    <w:rPr>
                      <w:b/>
                    </w:rPr>
                  </w:pPr>
                  <w:r w:rsidRPr="000A5774">
                    <w:rPr>
                      <w:b/>
                    </w:rPr>
                    <w:t>Total all high-income</w:t>
                  </w:r>
                </w:p>
              </w:tc>
              <w:tc>
                <w:tcPr>
                  <w:tcW w:w="902" w:type="pct"/>
                  <w:shd w:val="clear" w:color="auto" w:fill="auto"/>
                  <w:vAlign w:val="bottom"/>
                </w:tcPr>
                <w:p w:rsidR="00AC2131" w:rsidRPr="00F34067" w:rsidRDefault="00AC2131" w:rsidP="00AC2131">
                  <w:pPr>
                    <w:pStyle w:val="TableBodyText"/>
                    <w:rPr>
                      <w:b/>
                      <w:i/>
                    </w:rPr>
                  </w:pPr>
                  <w:r w:rsidRPr="00F34067">
                    <w:rPr>
                      <w:b/>
                    </w:rPr>
                    <w:t>2.9</w:t>
                  </w:r>
                </w:p>
              </w:tc>
              <w:tc>
                <w:tcPr>
                  <w:tcW w:w="903" w:type="pct"/>
                  <w:vAlign w:val="bottom"/>
                </w:tcPr>
                <w:p w:rsidR="00AC2131" w:rsidRPr="00F34067" w:rsidRDefault="00AC2131" w:rsidP="00AC2131">
                  <w:pPr>
                    <w:pStyle w:val="TableBodyText"/>
                    <w:rPr>
                      <w:b/>
                      <w:i/>
                    </w:rPr>
                  </w:pPr>
                  <w:r w:rsidRPr="00F34067">
                    <w:rPr>
                      <w:b/>
                    </w:rPr>
                    <w:t>5.0</w:t>
                  </w:r>
                </w:p>
              </w:tc>
              <w:tc>
                <w:tcPr>
                  <w:tcW w:w="903" w:type="pct"/>
                  <w:vAlign w:val="bottom"/>
                </w:tcPr>
                <w:p w:rsidR="00AC2131" w:rsidRPr="00F34067" w:rsidRDefault="00AC2131" w:rsidP="00AC2131">
                  <w:pPr>
                    <w:pStyle w:val="TableBodyText"/>
                    <w:rPr>
                      <w:b/>
                      <w:i/>
                    </w:rPr>
                  </w:pPr>
                  <w:r w:rsidRPr="00F34067">
                    <w:rPr>
                      <w:b/>
                    </w:rPr>
                    <w:t>-3.0</w:t>
                  </w:r>
                </w:p>
              </w:tc>
              <w:tc>
                <w:tcPr>
                  <w:tcW w:w="891" w:type="pct"/>
                  <w:shd w:val="clear" w:color="auto" w:fill="auto"/>
                  <w:vAlign w:val="bottom"/>
                </w:tcPr>
                <w:p w:rsidR="00AC2131" w:rsidRPr="00F34067" w:rsidRDefault="00AC2131" w:rsidP="00AC2131">
                  <w:pPr>
                    <w:pStyle w:val="TableBodyText"/>
                    <w:rPr>
                      <w:b/>
                      <w:i/>
                    </w:rPr>
                  </w:pPr>
                  <w:r w:rsidRPr="00F34067">
                    <w:rPr>
                      <w:b/>
                    </w:rPr>
                    <w:t>-4.9</w:t>
                  </w:r>
                </w:p>
              </w:tc>
            </w:tr>
            <w:tr w:rsidR="00AC2131" w:rsidTr="00AC2131">
              <w:tc>
                <w:tcPr>
                  <w:tcW w:w="1401" w:type="pct"/>
                </w:tcPr>
                <w:p w:rsidR="00AC2131" w:rsidRDefault="00AC2131" w:rsidP="00AC2131">
                  <w:pPr>
                    <w:pStyle w:val="TableBodyText"/>
                    <w:spacing w:before="120"/>
                    <w:jc w:val="left"/>
                  </w:pPr>
                  <w:r>
                    <w:t>China</w:t>
                  </w:r>
                </w:p>
              </w:tc>
              <w:tc>
                <w:tcPr>
                  <w:tcW w:w="902" w:type="pct"/>
                  <w:shd w:val="clear" w:color="auto" w:fill="auto"/>
                  <w:vAlign w:val="bottom"/>
                </w:tcPr>
                <w:p w:rsidR="00AC2131" w:rsidRDefault="00AC2131" w:rsidP="00AC2131">
                  <w:pPr>
                    <w:pStyle w:val="TableBodyText"/>
                    <w:spacing w:before="120"/>
                    <w:rPr>
                      <w:i/>
                    </w:rPr>
                  </w:pPr>
                  <w:r>
                    <w:t>9.3</w:t>
                  </w:r>
                </w:p>
              </w:tc>
              <w:tc>
                <w:tcPr>
                  <w:tcW w:w="903" w:type="pct"/>
                  <w:vAlign w:val="bottom"/>
                </w:tcPr>
                <w:p w:rsidR="00AC2131" w:rsidRDefault="00AC2131" w:rsidP="00AC2131">
                  <w:pPr>
                    <w:pStyle w:val="TableBodyText"/>
                    <w:spacing w:before="120"/>
                    <w:rPr>
                      <w:i/>
                    </w:rPr>
                  </w:pPr>
                  <w:r>
                    <w:t>2.0</w:t>
                  </w:r>
                </w:p>
              </w:tc>
              <w:tc>
                <w:tcPr>
                  <w:tcW w:w="903" w:type="pct"/>
                  <w:vAlign w:val="bottom"/>
                </w:tcPr>
                <w:p w:rsidR="00AC2131" w:rsidRDefault="00AC2131" w:rsidP="00AC2131">
                  <w:pPr>
                    <w:pStyle w:val="TableBodyText"/>
                    <w:spacing w:before="120"/>
                    <w:rPr>
                      <w:i/>
                    </w:rPr>
                  </w:pPr>
                  <w:r>
                    <w:t>-2.1</w:t>
                  </w:r>
                </w:p>
              </w:tc>
              <w:tc>
                <w:tcPr>
                  <w:tcW w:w="891" w:type="pct"/>
                  <w:shd w:val="clear" w:color="auto" w:fill="auto"/>
                  <w:vAlign w:val="bottom"/>
                </w:tcPr>
                <w:p w:rsidR="00AC2131" w:rsidRDefault="00AC2131" w:rsidP="00AC2131">
                  <w:pPr>
                    <w:pStyle w:val="TableBodyText"/>
                    <w:spacing w:before="120"/>
                    <w:rPr>
                      <w:i/>
                    </w:rPr>
                  </w:pPr>
                  <w:r>
                    <w:t>-9.3</w:t>
                  </w:r>
                </w:p>
              </w:tc>
            </w:tr>
            <w:tr w:rsidR="00AC2131" w:rsidTr="00AC2131">
              <w:tc>
                <w:tcPr>
                  <w:tcW w:w="1401" w:type="pct"/>
                </w:tcPr>
                <w:p w:rsidR="00AC2131" w:rsidRDefault="00AC2131" w:rsidP="00AC2131">
                  <w:pPr>
                    <w:pStyle w:val="TableBodyText"/>
                    <w:jc w:val="left"/>
                  </w:pPr>
                  <w:r>
                    <w:t>Russian Federation</w:t>
                  </w:r>
                </w:p>
              </w:tc>
              <w:tc>
                <w:tcPr>
                  <w:tcW w:w="902" w:type="pct"/>
                  <w:shd w:val="clear" w:color="auto" w:fill="auto"/>
                  <w:vAlign w:val="bottom"/>
                </w:tcPr>
                <w:p w:rsidR="00AC2131" w:rsidRDefault="00AC2131" w:rsidP="00AC2131">
                  <w:pPr>
                    <w:pStyle w:val="TableBodyText"/>
                    <w:rPr>
                      <w:i/>
                    </w:rPr>
                  </w:pPr>
                  <w:r>
                    <w:t>1.1</w:t>
                  </w:r>
                </w:p>
              </w:tc>
              <w:tc>
                <w:tcPr>
                  <w:tcW w:w="903" w:type="pct"/>
                  <w:vAlign w:val="bottom"/>
                </w:tcPr>
                <w:p w:rsidR="00AC2131" w:rsidRDefault="00AC2131" w:rsidP="00AC2131">
                  <w:pPr>
                    <w:pStyle w:val="TableBodyText"/>
                    <w:rPr>
                      <w:i/>
                    </w:rPr>
                  </w:pPr>
                  <w:r>
                    <w:t>2.8</w:t>
                  </w:r>
                </w:p>
              </w:tc>
              <w:tc>
                <w:tcPr>
                  <w:tcW w:w="903" w:type="pct"/>
                  <w:vAlign w:val="bottom"/>
                </w:tcPr>
                <w:p w:rsidR="00AC2131" w:rsidRDefault="00AC2131" w:rsidP="00AC2131">
                  <w:pPr>
                    <w:pStyle w:val="TableBodyText"/>
                    <w:rPr>
                      <w:i/>
                    </w:rPr>
                  </w:pPr>
                  <w:r>
                    <w:t>-2.4</w:t>
                  </w:r>
                </w:p>
              </w:tc>
              <w:tc>
                <w:tcPr>
                  <w:tcW w:w="891" w:type="pct"/>
                  <w:shd w:val="clear" w:color="auto" w:fill="auto"/>
                  <w:vAlign w:val="bottom"/>
                </w:tcPr>
                <w:p w:rsidR="00AC2131" w:rsidRDefault="00AC2131" w:rsidP="00AC2131">
                  <w:pPr>
                    <w:pStyle w:val="TableBodyText"/>
                    <w:rPr>
                      <w:i/>
                    </w:rPr>
                  </w:pPr>
                  <w:r>
                    <w:t>-1.6</w:t>
                  </w:r>
                </w:p>
              </w:tc>
            </w:tr>
            <w:tr w:rsidR="00AC2131" w:rsidTr="00AC2131">
              <w:tc>
                <w:tcPr>
                  <w:tcW w:w="1401" w:type="pct"/>
                </w:tcPr>
                <w:p w:rsidR="00AC2131" w:rsidRDefault="00AC2131" w:rsidP="00AC2131">
                  <w:pPr>
                    <w:pStyle w:val="TableBodyText"/>
                    <w:jc w:val="left"/>
                  </w:pPr>
                  <w:r>
                    <w:t>Brazil</w:t>
                  </w:r>
                </w:p>
              </w:tc>
              <w:tc>
                <w:tcPr>
                  <w:tcW w:w="902" w:type="pct"/>
                  <w:shd w:val="clear" w:color="auto" w:fill="auto"/>
                  <w:vAlign w:val="bottom"/>
                </w:tcPr>
                <w:p w:rsidR="00AC2131" w:rsidRDefault="00AC2131" w:rsidP="00AC2131">
                  <w:pPr>
                    <w:pStyle w:val="TableBodyText"/>
                    <w:rPr>
                      <w:i/>
                    </w:rPr>
                  </w:pPr>
                  <w:r>
                    <w:t>-6.7</w:t>
                  </w:r>
                </w:p>
              </w:tc>
              <w:tc>
                <w:tcPr>
                  <w:tcW w:w="903" w:type="pct"/>
                  <w:vAlign w:val="bottom"/>
                </w:tcPr>
                <w:p w:rsidR="00AC2131" w:rsidRDefault="00AC2131" w:rsidP="00AC2131">
                  <w:pPr>
                    <w:pStyle w:val="TableBodyText"/>
                    <w:rPr>
                      <w:i/>
                    </w:rPr>
                  </w:pPr>
                  <w:r>
                    <w:t>4.0</w:t>
                  </w:r>
                </w:p>
              </w:tc>
              <w:tc>
                <w:tcPr>
                  <w:tcW w:w="903" w:type="pct"/>
                  <w:vAlign w:val="bottom"/>
                </w:tcPr>
                <w:p w:rsidR="00AC2131" w:rsidRDefault="00AC2131" w:rsidP="00AC2131">
                  <w:pPr>
                    <w:pStyle w:val="TableBodyText"/>
                    <w:rPr>
                      <w:i/>
                    </w:rPr>
                  </w:pPr>
                  <w:r>
                    <w:t>7.5</w:t>
                  </w:r>
                </w:p>
              </w:tc>
              <w:tc>
                <w:tcPr>
                  <w:tcW w:w="891" w:type="pct"/>
                  <w:shd w:val="clear" w:color="auto" w:fill="auto"/>
                  <w:vAlign w:val="bottom"/>
                </w:tcPr>
                <w:p w:rsidR="00AC2131" w:rsidRDefault="00AC2131" w:rsidP="00AC2131">
                  <w:pPr>
                    <w:pStyle w:val="TableBodyText"/>
                    <w:rPr>
                      <w:i/>
                    </w:rPr>
                  </w:pPr>
                  <w:r>
                    <w:t>-4.8</w:t>
                  </w:r>
                </w:p>
              </w:tc>
            </w:tr>
            <w:tr w:rsidR="00AC2131" w:rsidTr="00AC2131">
              <w:tc>
                <w:tcPr>
                  <w:tcW w:w="1401" w:type="pct"/>
                </w:tcPr>
                <w:p w:rsidR="00AC2131" w:rsidRDefault="00AC2131" w:rsidP="00AC2131">
                  <w:pPr>
                    <w:pStyle w:val="TableBodyText"/>
                    <w:jc w:val="left"/>
                  </w:pPr>
                  <w:r>
                    <w:t>India</w:t>
                  </w:r>
                </w:p>
              </w:tc>
              <w:tc>
                <w:tcPr>
                  <w:tcW w:w="902" w:type="pct"/>
                  <w:shd w:val="clear" w:color="auto" w:fill="auto"/>
                  <w:vAlign w:val="bottom"/>
                </w:tcPr>
                <w:p w:rsidR="00AC2131" w:rsidRDefault="00AC2131" w:rsidP="00AC2131">
                  <w:pPr>
                    <w:pStyle w:val="TableBodyText"/>
                    <w:rPr>
                      <w:i/>
                    </w:rPr>
                  </w:pPr>
                  <w:r>
                    <w:t>4.5</w:t>
                  </w:r>
                </w:p>
              </w:tc>
              <w:tc>
                <w:tcPr>
                  <w:tcW w:w="903" w:type="pct"/>
                  <w:vAlign w:val="bottom"/>
                </w:tcPr>
                <w:p w:rsidR="00AC2131" w:rsidRDefault="00AC2131" w:rsidP="00AC2131">
                  <w:pPr>
                    <w:pStyle w:val="TableBodyText"/>
                    <w:rPr>
                      <w:i/>
                    </w:rPr>
                  </w:pPr>
                  <w:r>
                    <w:t>3.1</w:t>
                  </w:r>
                </w:p>
              </w:tc>
              <w:tc>
                <w:tcPr>
                  <w:tcW w:w="903" w:type="pct"/>
                  <w:vAlign w:val="bottom"/>
                </w:tcPr>
                <w:p w:rsidR="00AC2131" w:rsidRDefault="00AC2131" w:rsidP="00AC2131">
                  <w:pPr>
                    <w:pStyle w:val="TableBodyText"/>
                    <w:rPr>
                      <w:i/>
                    </w:rPr>
                  </w:pPr>
                  <w:r>
                    <w:t>-1.7</w:t>
                  </w:r>
                </w:p>
              </w:tc>
              <w:tc>
                <w:tcPr>
                  <w:tcW w:w="891" w:type="pct"/>
                  <w:shd w:val="clear" w:color="auto" w:fill="auto"/>
                  <w:vAlign w:val="bottom"/>
                </w:tcPr>
                <w:p w:rsidR="00AC2131" w:rsidRDefault="00AC2131" w:rsidP="00AC2131">
                  <w:pPr>
                    <w:pStyle w:val="TableBodyText"/>
                    <w:rPr>
                      <w:i/>
                    </w:rPr>
                  </w:pPr>
                  <w:r>
                    <w:t>-5.9</w:t>
                  </w:r>
                </w:p>
              </w:tc>
            </w:tr>
            <w:tr w:rsidR="00AC2131" w:rsidTr="00AC2131">
              <w:tc>
                <w:tcPr>
                  <w:tcW w:w="1401" w:type="pct"/>
                </w:tcPr>
                <w:p w:rsidR="00AC2131" w:rsidRDefault="00AC2131" w:rsidP="00AC2131">
                  <w:pPr>
                    <w:pStyle w:val="TableBodyText"/>
                    <w:jc w:val="left"/>
                  </w:pPr>
                  <w:r>
                    <w:t>Mexico</w:t>
                  </w:r>
                </w:p>
              </w:tc>
              <w:tc>
                <w:tcPr>
                  <w:tcW w:w="902" w:type="pct"/>
                  <w:shd w:val="clear" w:color="auto" w:fill="auto"/>
                  <w:vAlign w:val="bottom"/>
                </w:tcPr>
                <w:p w:rsidR="00AC2131" w:rsidRDefault="00AC2131" w:rsidP="00AC2131">
                  <w:pPr>
                    <w:pStyle w:val="TableBodyText"/>
                    <w:rPr>
                      <w:i/>
                    </w:rPr>
                  </w:pPr>
                  <w:r>
                    <w:t>6.4</w:t>
                  </w:r>
                </w:p>
              </w:tc>
              <w:tc>
                <w:tcPr>
                  <w:tcW w:w="903" w:type="pct"/>
                  <w:vAlign w:val="bottom"/>
                </w:tcPr>
                <w:p w:rsidR="00AC2131" w:rsidRDefault="00AC2131" w:rsidP="00AC2131">
                  <w:pPr>
                    <w:pStyle w:val="TableBodyText"/>
                    <w:rPr>
                      <w:i/>
                    </w:rPr>
                  </w:pPr>
                  <w:r>
                    <w:t>-1.7</w:t>
                  </w:r>
                </w:p>
              </w:tc>
              <w:tc>
                <w:tcPr>
                  <w:tcW w:w="903" w:type="pct"/>
                  <w:vAlign w:val="bottom"/>
                </w:tcPr>
                <w:p w:rsidR="00AC2131" w:rsidRDefault="00AC2131" w:rsidP="00AC2131">
                  <w:pPr>
                    <w:pStyle w:val="TableBodyText"/>
                    <w:rPr>
                      <w:i/>
                    </w:rPr>
                  </w:pPr>
                  <w:r>
                    <w:t>-0.5</w:t>
                  </w:r>
                </w:p>
              </w:tc>
              <w:tc>
                <w:tcPr>
                  <w:tcW w:w="891" w:type="pct"/>
                  <w:shd w:val="clear" w:color="auto" w:fill="auto"/>
                  <w:vAlign w:val="bottom"/>
                </w:tcPr>
                <w:p w:rsidR="00AC2131" w:rsidRDefault="00AC2131" w:rsidP="00AC2131">
                  <w:pPr>
                    <w:pStyle w:val="TableBodyText"/>
                    <w:rPr>
                      <w:i/>
                    </w:rPr>
                  </w:pPr>
                  <w:r>
                    <w:t>-4.2</w:t>
                  </w:r>
                </w:p>
              </w:tc>
            </w:tr>
            <w:tr w:rsidR="00AC2131" w:rsidTr="00AC2131">
              <w:tc>
                <w:tcPr>
                  <w:tcW w:w="1401" w:type="pct"/>
                </w:tcPr>
                <w:p w:rsidR="00AC2131" w:rsidRDefault="00AC2131" w:rsidP="00AC2131">
                  <w:pPr>
                    <w:pStyle w:val="TableBodyText"/>
                    <w:jc w:val="left"/>
                  </w:pPr>
                  <w:r>
                    <w:t>Turkey</w:t>
                  </w:r>
                </w:p>
              </w:tc>
              <w:tc>
                <w:tcPr>
                  <w:tcW w:w="902" w:type="pct"/>
                  <w:shd w:val="clear" w:color="auto" w:fill="auto"/>
                  <w:vAlign w:val="bottom"/>
                </w:tcPr>
                <w:p w:rsidR="00AC2131" w:rsidRDefault="00AC2131" w:rsidP="00AC2131">
                  <w:pPr>
                    <w:pStyle w:val="TableBodyText"/>
                    <w:rPr>
                      <w:i/>
                    </w:rPr>
                  </w:pPr>
                  <w:r>
                    <w:t>-12.7</w:t>
                  </w:r>
                </w:p>
              </w:tc>
              <w:tc>
                <w:tcPr>
                  <w:tcW w:w="903" w:type="pct"/>
                  <w:vAlign w:val="bottom"/>
                </w:tcPr>
                <w:p w:rsidR="00AC2131" w:rsidRDefault="00AC2131" w:rsidP="00AC2131">
                  <w:pPr>
                    <w:pStyle w:val="TableBodyText"/>
                    <w:rPr>
                      <w:i/>
                    </w:rPr>
                  </w:pPr>
                  <w:r>
                    <w:t>3.1</w:t>
                  </w:r>
                </w:p>
              </w:tc>
              <w:tc>
                <w:tcPr>
                  <w:tcW w:w="903" w:type="pct"/>
                  <w:vAlign w:val="bottom"/>
                </w:tcPr>
                <w:p w:rsidR="00AC2131" w:rsidRDefault="00AC2131" w:rsidP="00AC2131">
                  <w:pPr>
                    <w:pStyle w:val="TableBodyText"/>
                    <w:rPr>
                      <w:i/>
                    </w:rPr>
                  </w:pPr>
                  <w:r>
                    <w:t>5.2</w:t>
                  </w:r>
                </w:p>
              </w:tc>
              <w:tc>
                <w:tcPr>
                  <w:tcW w:w="891" w:type="pct"/>
                  <w:shd w:val="clear" w:color="auto" w:fill="auto"/>
                  <w:vAlign w:val="bottom"/>
                </w:tcPr>
                <w:p w:rsidR="00AC2131" w:rsidRDefault="00AC2131" w:rsidP="00AC2131">
                  <w:pPr>
                    <w:pStyle w:val="TableBodyText"/>
                    <w:rPr>
                      <w:i/>
                    </w:rPr>
                  </w:pPr>
                  <w:r>
                    <w:t>4.5</w:t>
                  </w:r>
                </w:p>
              </w:tc>
            </w:tr>
            <w:tr w:rsidR="00AC2131" w:rsidTr="00AC2131">
              <w:tc>
                <w:tcPr>
                  <w:tcW w:w="1401" w:type="pct"/>
                </w:tcPr>
                <w:p w:rsidR="00AC2131" w:rsidRDefault="00AC2131" w:rsidP="00AC2131">
                  <w:pPr>
                    <w:pStyle w:val="TableBodyText"/>
                    <w:jc w:val="left"/>
                  </w:pPr>
                  <w:r>
                    <w:t>Indonesia</w:t>
                  </w:r>
                </w:p>
              </w:tc>
              <w:tc>
                <w:tcPr>
                  <w:tcW w:w="902" w:type="pct"/>
                  <w:shd w:val="clear" w:color="auto" w:fill="auto"/>
                  <w:vAlign w:val="bottom"/>
                </w:tcPr>
                <w:p w:rsidR="00AC2131" w:rsidRDefault="00AC2131" w:rsidP="00AC2131">
                  <w:pPr>
                    <w:pStyle w:val="TableBodyText"/>
                    <w:rPr>
                      <w:i/>
                    </w:rPr>
                  </w:pPr>
                  <w:r>
                    <w:t>5.3</w:t>
                  </w:r>
                </w:p>
              </w:tc>
              <w:tc>
                <w:tcPr>
                  <w:tcW w:w="903" w:type="pct"/>
                  <w:vAlign w:val="bottom"/>
                </w:tcPr>
                <w:p w:rsidR="00AC2131" w:rsidRDefault="00AC2131" w:rsidP="00AC2131">
                  <w:pPr>
                    <w:pStyle w:val="TableBodyText"/>
                    <w:rPr>
                      <w:i/>
                    </w:rPr>
                  </w:pPr>
                  <w:r>
                    <w:t>1.6</w:t>
                  </w:r>
                </w:p>
              </w:tc>
              <w:tc>
                <w:tcPr>
                  <w:tcW w:w="903" w:type="pct"/>
                  <w:vAlign w:val="bottom"/>
                </w:tcPr>
                <w:p w:rsidR="00AC2131" w:rsidRDefault="00AC2131" w:rsidP="00AC2131">
                  <w:pPr>
                    <w:pStyle w:val="TableBodyText"/>
                    <w:rPr>
                      <w:i/>
                    </w:rPr>
                  </w:pPr>
                  <w:r>
                    <w:t>1.3</w:t>
                  </w:r>
                </w:p>
              </w:tc>
              <w:tc>
                <w:tcPr>
                  <w:tcW w:w="891" w:type="pct"/>
                  <w:shd w:val="clear" w:color="auto" w:fill="auto"/>
                  <w:vAlign w:val="bottom"/>
                </w:tcPr>
                <w:p w:rsidR="00AC2131" w:rsidRDefault="00AC2131" w:rsidP="00AC2131">
                  <w:pPr>
                    <w:pStyle w:val="TableBodyText"/>
                    <w:rPr>
                      <w:i/>
                    </w:rPr>
                  </w:pPr>
                  <w:r>
                    <w:t>-8.1</w:t>
                  </w:r>
                </w:p>
              </w:tc>
            </w:tr>
            <w:tr w:rsidR="00AC2131" w:rsidTr="00AC2131">
              <w:tc>
                <w:tcPr>
                  <w:tcW w:w="1401" w:type="pct"/>
                </w:tcPr>
                <w:p w:rsidR="00AC2131" w:rsidRPr="000A5774" w:rsidRDefault="00AC2131" w:rsidP="00AC2131">
                  <w:pPr>
                    <w:pStyle w:val="TableBodyText"/>
                    <w:jc w:val="left"/>
                    <w:rPr>
                      <w:b/>
                    </w:rPr>
                  </w:pPr>
                  <w:r w:rsidRPr="000A5774">
                    <w:rPr>
                      <w:b/>
                    </w:rPr>
                    <w:t>World minus all high-income</w:t>
                  </w:r>
                </w:p>
              </w:tc>
              <w:tc>
                <w:tcPr>
                  <w:tcW w:w="902" w:type="pct"/>
                  <w:shd w:val="clear" w:color="auto" w:fill="auto"/>
                  <w:vAlign w:val="bottom"/>
                </w:tcPr>
                <w:p w:rsidR="00AC2131" w:rsidRPr="00F34067" w:rsidRDefault="00AC2131" w:rsidP="00AC2131">
                  <w:pPr>
                    <w:pStyle w:val="TableBodyText"/>
                    <w:rPr>
                      <w:b/>
                      <w:i/>
                    </w:rPr>
                  </w:pPr>
                  <w:r w:rsidRPr="00F34067">
                    <w:rPr>
                      <w:b/>
                    </w:rPr>
                    <w:t>3.2</w:t>
                  </w:r>
                </w:p>
              </w:tc>
              <w:tc>
                <w:tcPr>
                  <w:tcW w:w="903" w:type="pct"/>
                  <w:vAlign w:val="bottom"/>
                </w:tcPr>
                <w:p w:rsidR="00AC2131" w:rsidRPr="00F34067" w:rsidRDefault="00AC2131" w:rsidP="00AC2131">
                  <w:pPr>
                    <w:pStyle w:val="TableBodyText"/>
                    <w:rPr>
                      <w:b/>
                      <w:i/>
                    </w:rPr>
                  </w:pPr>
                  <w:r w:rsidRPr="00F34067">
                    <w:rPr>
                      <w:b/>
                    </w:rPr>
                    <w:t>1.7</w:t>
                  </w:r>
                </w:p>
              </w:tc>
              <w:tc>
                <w:tcPr>
                  <w:tcW w:w="903" w:type="pct"/>
                  <w:vAlign w:val="bottom"/>
                </w:tcPr>
                <w:p w:rsidR="00AC2131" w:rsidRPr="00F34067" w:rsidRDefault="00AC2131" w:rsidP="00AC2131">
                  <w:pPr>
                    <w:pStyle w:val="TableBodyText"/>
                    <w:rPr>
                      <w:b/>
                      <w:i/>
                    </w:rPr>
                  </w:pPr>
                  <w:r w:rsidRPr="00F34067">
                    <w:rPr>
                      <w:b/>
                    </w:rPr>
                    <w:t>1.4</w:t>
                  </w:r>
                </w:p>
              </w:tc>
              <w:tc>
                <w:tcPr>
                  <w:tcW w:w="891" w:type="pct"/>
                  <w:shd w:val="clear" w:color="auto" w:fill="auto"/>
                  <w:vAlign w:val="bottom"/>
                </w:tcPr>
                <w:p w:rsidR="00AC2131" w:rsidRPr="00F34067" w:rsidRDefault="00AC2131" w:rsidP="00AC2131">
                  <w:pPr>
                    <w:pStyle w:val="TableBodyText"/>
                    <w:rPr>
                      <w:b/>
                      <w:i/>
                    </w:rPr>
                  </w:pPr>
                  <w:r w:rsidRPr="00F34067">
                    <w:rPr>
                      <w:b/>
                    </w:rPr>
                    <w:t>-6.3</w:t>
                  </w:r>
                </w:p>
              </w:tc>
            </w:tr>
            <w:tr w:rsidR="00AC2131" w:rsidTr="00AC2131">
              <w:tc>
                <w:tcPr>
                  <w:tcW w:w="1401" w:type="pct"/>
                  <w:tcBorders>
                    <w:bottom w:val="single" w:sz="6" w:space="0" w:color="BFBFBF"/>
                  </w:tcBorders>
                </w:tcPr>
                <w:p w:rsidR="00AC2131" w:rsidRPr="000A5774" w:rsidRDefault="00AC2131" w:rsidP="00AC2131">
                  <w:pPr>
                    <w:pStyle w:val="TableBodyText"/>
                    <w:spacing w:before="120"/>
                    <w:jc w:val="left"/>
                    <w:rPr>
                      <w:b/>
                    </w:rPr>
                  </w:pPr>
                  <w:r w:rsidRPr="000A5774">
                    <w:rPr>
                      <w:b/>
                    </w:rPr>
                    <w:t>World</w:t>
                  </w:r>
                </w:p>
              </w:tc>
              <w:tc>
                <w:tcPr>
                  <w:tcW w:w="902" w:type="pct"/>
                  <w:tcBorders>
                    <w:bottom w:val="single" w:sz="6" w:space="0" w:color="BFBFBF"/>
                  </w:tcBorders>
                  <w:shd w:val="clear" w:color="auto" w:fill="auto"/>
                  <w:vAlign w:val="bottom"/>
                </w:tcPr>
                <w:p w:rsidR="00AC2131" w:rsidRPr="00F34067" w:rsidRDefault="00AC2131" w:rsidP="00AC2131">
                  <w:pPr>
                    <w:pStyle w:val="TableBodyText"/>
                    <w:spacing w:before="120"/>
                    <w:rPr>
                      <w:b/>
                      <w:i/>
                    </w:rPr>
                  </w:pPr>
                  <w:r w:rsidRPr="00F34067">
                    <w:rPr>
                      <w:b/>
                    </w:rPr>
                    <w:t>6.5</w:t>
                  </w:r>
                </w:p>
              </w:tc>
              <w:tc>
                <w:tcPr>
                  <w:tcW w:w="903" w:type="pct"/>
                  <w:tcBorders>
                    <w:bottom w:val="single" w:sz="6" w:space="0" w:color="BFBFBF"/>
                  </w:tcBorders>
                  <w:vAlign w:val="bottom"/>
                </w:tcPr>
                <w:p w:rsidR="00AC2131" w:rsidRPr="00F34067" w:rsidRDefault="00AC2131" w:rsidP="00AC2131">
                  <w:pPr>
                    <w:pStyle w:val="TableBodyText"/>
                    <w:spacing w:before="120"/>
                    <w:rPr>
                      <w:b/>
                      <w:i/>
                    </w:rPr>
                  </w:pPr>
                  <w:r w:rsidRPr="00F34067">
                    <w:rPr>
                      <w:b/>
                    </w:rPr>
                    <w:t>1.5</w:t>
                  </w:r>
                </w:p>
              </w:tc>
              <w:tc>
                <w:tcPr>
                  <w:tcW w:w="903" w:type="pct"/>
                  <w:tcBorders>
                    <w:bottom w:val="single" w:sz="6" w:space="0" w:color="BFBFBF"/>
                  </w:tcBorders>
                  <w:vAlign w:val="bottom"/>
                </w:tcPr>
                <w:p w:rsidR="00AC2131" w:rsidRPr="00F34067" w:rsidRDefault="00AC2131" w:rsidP="00AC2131">
                  <w:pPr>
                    <w:pStyle w:val="TableBodyText"/>
                    <w:spacing w:before="120"/>
                    <w:rPr>
                      <w:b/>
                      <w:i/>
                    </w:rPr>
                  </w:pPr>
                  <w:r w:rsidRPr="00F34067">
                    <w:rPr>
                      <w:b/>
                    </w:rPr>
                    <w:t>-4.2</w:t>
                  </w:r>
                </w:p>
              </w:tc>
              <w:tc>
                <w:tcPr>
                  <w:tcW w:w="891" w:type="pct"/>
                  <w:tcBorders>
                    <w:bottom w:val="single" w:sz="6" w:space="0" w:color="BFBFBF"/>
                  </w:tcBorders>
                  <w:shd w:val="clear" w:color="auto" w:fill="auto"/>
                  <w:vAlign w:val="bottom"/>
                </w:tcPr>
                <w:p w:rsidR="00AC2131" w:rsidRPr="00F34067" w:rsidRDefault="00AC2131" w:rsidP="00AC2131">
                  <w:pPr>
                    <w:pStyle w:val="TableBodyText"/>
                    <w:spacing w:before="120"/>
                    <w:rPr>
                      <w:b/>
                      <w:i/>
                    </w:rPr>
                  </w:pPr>
                  <w:r w:rsidRPr="00F34067">
                    <w:rPr>
                      <w:b/>
                    </w:rPr>
                    <w:t>-3.8</w:t>
                  </w:r>
                </w:p>
              </w:tc>
            </w:tr>
          </w:tbl>
          <w:p w:rsidR="00AC2131" w:rsidRDefault="00AC2131" w:rsidP="00AC2131">
            <w:pPr>
              <w:pStyle w:val="Box"/>
            </w:pPr>
          </w:p>
        </w:tc>
      </w:tr>
      <w:tr w:rsidR="00AC2131" w:rsidTr="00AC2131">
        <w:trPr>
          <w:cantSplit/>
        </w:trPr>
        <w:tc>
          <w:tcPr>
            <w:tcW w:w="8790"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Timmer et al. (2014).</w:t>
            </w:r>
          </w:p>
        </w:tc>
      </w:tr>
      <w:tr w:rsidR="00AC2131" w:rsidTr="00AC2131">
        <w:trPr>
          <w:cantSplit/>
        </w:trPr>
        <w:tc>
          <w:tcPr>
            <w:tcW w:w="879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90"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r>
        <w:t>Beltramello et al. (2012) noted that a generalisation that emerging economies made significant gains in world export market shares mainly in low-technology industries, while OECD countries maintained an advantage in high technology products, is not representative of all components of trade, as emerging countries gained large shares of world exports over 1995 to 2007 in high and medium-high technology parts and components.</w:t>
      </w:r>
    </w:p>
    <w:p w:rsidR="00AC2131" w:rsidRDefault="00AC2131" w:rsidP="00AC2131">
      <w:pPr>
        <w:sectPr w:rsidR="00AC2131" w:rsidSect="00AC2131">
          <w:headerReference w:type="even" r:id="rId99"/>
          <w:headerReference w:type="default" r:id="rId100"/>
          <w:footerReference w:type="even" r:id="rId101"/>
          <w:footerReference w:type="default" r:id="rId102"/>
          <w:type w:val="oddPage"/>
          <w:pgSz w:w="11907" w:h="16840" w:code="9"/>
          <w:pgMar w:top="1985" w:right="1304" w:bottom="1247" w:left="1814" w:header="1701" w:footer="397" w:gutter="0"/>
          <w:pgNumType w:chapSep="period"/>
          <w:cols w:space="720"/>
          <w:docGrid w:linePitch="326"/>
        </w:sectPr>
      </w:pPr>
    </w:p>
    <w:p w:rsidR="00AC2131" w:rsidRDefault="00AC2131" w:rsidP="00AC2131">
      <w:pPr>
        <w:pStyle w:val="Heading1"/>
      </w:pPr>
      <w:r>
        <w:t>C</w:t>
      </w:r>
      <w:r>
        <w:tab/>
        <w:t>Recent co-investment grant proposals</w:t>
      </w:r>
    </w:p>
    <w:p w:rsidR="00AC2131" w:rsidRDefault="00AC2131" w:rsidP="00AC2131">
      <w:pPr>
        <w:pStyle w:val="BodyText"/>
      </w:pPr>
      <w:r>
        <w:t>This appendix summarises the main features and stated objectives of individual co-investment proposals reported in chapter 3.</w:t>
      </w:r>
    </w:p>
    <w:p w:rsidR="00AC2131" w:rsidRDefault="00AC2131" w:rsidP="00AC2131">
      <w:pPr>
        <w:pStyle w:val="Heading2"/>
      </w:pPr>
      <w:r>
        <w:t>CSL Limited</w:t>
      </w:r>
    </w:p>
    <w:p w:rsidR="00AC2131" w:rsidRDefault="00AC2131" w:rsidP="00AC2131">
      <w:pPr>
        <w:pStyle w:val="BodyText"/>
      </w:pPr>
      <w:r>
        <w:t>In 2010, the Australian Government announced that it would contribute $30 million to increase Australia’s research and development infrastructure capacity and strengthen the ability to protect Australians from disease through CSL Limited. The grant would support the building of a new $235 million recombinant biotechnology (cell culture) facility in Melbourne. The project was expected to result in over 333 ongoing, highly-skilled jobs and an average 320 fulltime jobs in the construction and commissioning phases.</w:t>
      </w:r>
    </w:p>
    <w:p w:rsidR="00AC2131" w:rsidRDefault="00AC2131" w:rsidP="00AC2131">
      <w:pPr>
        <w:pStyle w:val="BodyText"/>
      </w:pPr>
      <w:r>
        <w:t>In making the funding announcement, the then Minister for Innovation, Industry, Science and Research said:</w:t>
      </w:r>
    </w:p>
    <w:p w:rsidR="00AC2131" w:rsidRPr="002B0523" w:rsidRDefault="00AC2131" w:rsidP="00AC2131">
      <w:pPr>
        <w:pStyle w:val="Quote"/>
      </w:pPr>
      <w:r>
        <w:t>The project will deliver a major expansion in R&amp;D capacity at CSL Limited’s facility in Broadmeadows, Victoria. It will help ensure that CSL can do medical research that will help save livers, provide lasting benefits to the community, and increase Australia’s readiness to tackle future health threats. (Carr and Thomson 2010)</w:t>
      </w:r>
    </w:p>
    <w:p w:rsidR="00AC2131" w:rsidRDefault="00AC2131" w:rsidP="00AC2131">
      <w:pPr>
        <w:pStyle w:val="Heading2"/>
      </w:pPr>
      <w:r>
        <w:t>Simplot Australia</w:t>
      </w:r>
    </w:p>
    <w:p w:rsidR="00AC2131" w:rsidRDefault="00AC2131" w:rsidP="00AC2131">
      <w:pPr>
        <w:pStyle w:val="BodyText"/>
      </w:pPr>
      <w:r w:rsidRPr="00B626EF">
        <w:t xml:space="preserve">In 2011, the Australian Government announced it would provide a $3 million grant to Simplot Australia Pty Ltd to support a $15.6 million investment by the company to convert its coal-fired boilers to natural gas at its Ulverstone plant in Northern Tasmania. </w:t>
      </w:r>
      <w:r>
        <w:t xml:space="preserve">The Tasmanian Government also provided $1 million in funding for the project. </w:t>
      </w:r>
      <w:r w:rsidRPr="00B626EF">
        <w:t xml:space="preserve">The investment was intended to reduce the plant’s energy costs and cut annual carbon </w:t>
      </w:r>
      <w:r>
        <w:t xml:space="preserve">dioxide </w:t>
      </w:r>
      <w:r w:rsidRPr="00B626EF">
        <w:t>emis</w:t>
      </w:r>
      <w:r>
        <w:t>sions by around 50 per cent. (Simplot Australia 2012)</w:t>
      </w:r>
    </w:p>
    <w:p w:rsidR="00AC2131" w:rsidRDefault="00AC2131" w:rsidP="00AC2131">
      <w:pPr>
        <w:pStyle w:val="BodyText"/>
      </w:pPr>
      <w:r>
        <w:t>According to Simplot:</w:t>
      </w:r>
    </w:p>
    <w:p w:rsidR="00AC2131" w:rsidRPr="00B626EF" w:rsidRDefault="00AC2131" w:rsidP="00AC2131">
      <w:pPr>
        <w:pStyle w:val="Quote"/>
      </w:pPr>
      <w:r>
        <w:t>This project has also had important benefits to the community by ensuring the future of our operations that help support the hundreds of farmers, contractors and service providers that service Simplot’s business. It is also further confirmation of Simplot’s commitment to Tasmania as a source for its potatoes. (Simplot Australia 2012, p. 1)</w:t>
      </w:r>
    </w:p>
    <w:p w:rsidR="00AC2131" w:rsidRPr="00FE2F37" w:rsidRDefault="00AC2131" w:rsidP="00AC2131">
      <w:pPr>
        <w:pStyle w:val="Heading2"/>
      </w:pPr>
      <w:r>
        <w:t>General Motors Holden</w:t>
      </w:r>
    </w:p>
    <w:p w:rsidR="00AC2131" w:rsidRPr="00B626EF" w:rsidRDefault="00AC2131" w:rsidP="00AC2131">
      <w:pPr>
        <w:pStyle w:val="BodyText"/>
      </w:pPr>
      <w:r w:rsidRPr="00B626EF">
        <w:t>In 2012, a combined $275 million assistance package for GM Holden was announced aimed at maintaining automotive manufacturing in Australia</w:t>
      </w:r>
      <w:r w:rsidRPr="00B626EF" w:rsidDel="003B4E9C">
        <w:t xml:space="preserve"> </w:t>
      </w:r>
      <w:r w:rsidRPr="00B626EF">
        <w:t>This was to be part of an investment worth in excess of $1 billion by GM Holden. The package was announced in the following terms:</w:t>
      </w:r>
    </w:p>
    <w:p w:rsidR="00AC2131" w:rsidRPr="00FE2F37" w:rsidRDefault="00AC2131" w:rsidP="00AC2131">
      <w:pPr>
        <w:pStyle w:val="Quote"/>
      </w:pPr>
      <w:r w:rsidRPr="00FE2F37">
        <w:t>Holden will be here in Australia producing cars for at least the next 10 years. That's great news. And it's as a result of a more than $1</w:t>
      </w:r>
      <w:r>
        <w:t> </w:t>
      </w:r>
      <w:r w:rsidRPr="00FE2F37">
        <w:t>billion co-investment between the Federal Government, the South Australian Government, the Victorian Government and of course Holden, which is investing strongly in the future of manufacturing Holden cars here in Australia.</w:t>
      </w:r>
    </w:p>
    <w:p w:rsidR="00AC2131" w:rsidRPr="00FE2F37" w:rsidRDefault="00AC2131" w:rsidP="00AC2131">
      <w:pPr>
        <w:pStyle w:val="Quote"/>
      </w:pPr>
      <w:r w:rsidRPr="00FE2F37">
        <w:t>This is a co-investment in every sense of the word. Between the Federal, South Australian and Victorian Governments, we are making an investment of $275</w:t>
      </w:r>
      <w:r>
        <w:t> </w:t>
      </w:r>
      <w:r w:rsidRPr="00FE2F37">
        <w:t>million. That joins with a more than billion-dollar investment from Holden to secure the future and because of the multiplier effect of making cars in this country, Holden's estimate is that that will generate more than $4</w:t>
      </w:r>
      <w:r>
        <w:t> </w:t>
      </w:r>
      <w:r w:rsidRPr="00FE2F37">
        <w:t>billion of value to the Australian economy. (</w:t>
      </w:r>
      <w:r>
        <w:t>Gillard </w:t>
      </w:r>
      <w:r w:rsidRPr="00FE2F37">
        <w:t>2012)</w:t>
      </w:r>
    </w:p>
    <w:p w:rsidR="00AC2131" w:rsidRPr="009458EB" w:rsidRDefault="00AC2131" w:rsidP="00AC2131">
      <w:pPr>
        <w:pStyle w:val="BodyText"/>
        <w:rPr>
          <w:i/>
        </w:rPr>
      </w:pPr>
      <w:r w:rsidRPr="009458EB">
        <w:rPr>
          <w:i/>
        </w:rPr>
        <w:t>In December 2013, GM Holden announced the closure of manufacturing operations in Australia in 2017. The co-investment funding offer was withdrawn.</w:t>
      </w:r>
    </w:p>
    <w:p w:rsidR="00AC2131" w:rsidRDefault="00AC2131" w:rsidP="00AC2131">
      <w:pPr>
        <w:pStyle w:val="Heading2"/>
      </w:pPr>
      <w:r>
        <w:t>Ford Australia</w:t>
      </w:r>
    </w:p>
    <w:p w:rsidR="00AC2131" w:rsidRDefault="00AC2131" w:rsidP="00AC2131">
      <w:pPr>
        <w:pStyle w:val="BodyText"/>
      </w:pPr>
      <w:r w:rsidRPr="001F3349">
        <w:t>In January 2012, the Australian and Victorian Governments announced new funding for Ford Australia (Gillard, Carr, Ryan and Dalla-Riva</w:t>
      </w:r>
      <w:r>
        <w:t> </w:t>
      </w:r>
      <w:r w:rsidRPr="001F3349">
        <w:t xml:space="preserve">2012). The Australian Government contributed $34 million </w:t>
      </w:r>
      <w:r>
        <w:t xml:space="preserve">out </w:t>
      </w:r>
      <w:r w:rsidRPr="001F3349">
        <w:t xml:space="preserve">of a total outlay of $103 million intended to help improve the fuel efficiency and emissions performance of the Ford Falcon and Ford Territory motor vehicles. </w:t>
      </w:r>
      <w:r>
        <w:t xml:space="preserve">The Victorian Government’s contribution was not disclosed. </w:t>
      </w:r>
    </w:p>
    <w:p w:rsidR="00AC2131" w:rsidRDefault="00AC2131" w:rsidP="00AC2131">
      <w:pPr>
        <w:pStyle w:val="BodyText"/>
      </w:pPr>
      <w:r>
        <w:t>The basis for the provision of the funding included:</w:t>
      </w:r>
    </w:p>
    <w:p w:rsidR="00AC2131" w:rsidRDefault="00AC2131" w:rsidP="00AC2131">
      <w:pPr>
        <w:pStyle w:val="Quote"/>
      </w:pPr>
      <w:r>
        <w:t>With a rising dollar and fierce competition from other countries in our region, we need to be investing in manufacturing products that are innovative and competitive.</w:t>
      </w:r>
    </w:p>
    <w:p w:rsidR="00AC2131" w:rsidRPr="00174960" w:rsidRDefault="00AC2131" w:rsidP="00AC2131">
      <w:pPr>
        <w:pStyle w:val="Quote"/>
      </w:pPr>
      <w:r>
        <w:t>This is exactly the type of investment we identified at the Future Jobs Forum and the PM’s manufacturing taskforce to help shore up the future of our manufacturing sector.</w:t>
      </w:r>
    </w:p>
    <w:p w:rsidR="00AC2131" w:rsidRDefault="00AC2131" w:rsidP="00AC2131">
      <w:pPr>
        <w:pStyle w:val="Quote"/>
      </w:pPr>
      <w:r>
        <w:t>Its smart, its competitive and best of all it will secure jobs, not only in Victoria but also across the nation. (Gillard et al. 2012)</w:t>
      </w:r>
    </w:p>
    <w:p w:rsidR="00AC2131" w:rsidRPr="009458EB" w:rsidRDefault="00AC2131" w:rsidP="00AC2131">
      <w:pPr>
        <w:pStyle w:val="BodyText"/>
        <w:rPr>
          <w:i/>
        </w:rPr>
      </w:pPr>
      <w:r w:rsidRPr="009458EB">
        <w:rPr>
          <w:i/>
        </w:rPr>
        <w:t xml:space="preserve">In May 2013, Ford Australia announced that it would stop manufacturing </w:t>
      </w:r>
      <w:r>
        <w:rPr>
          <w:i/>
        </w:rPr>
        <w:t>vehicles</w:t>
      </w:r>
      <w:r w:rsidRPr="009458EB">
        <w:rPr>
          <w:i/>
        </w:rPr>
        <w:t xml:space="preserve"> in Australia in 2016.</w:t>
      </w:r>
    </w:p>
    <w:p w:rsidR="00AC2131" w:rsidRPr="00C75F66" w:rsidRDefault="00AC2131" w:rsidP="00AC2131">
      <w:pPr>
        <w:pStyle w:val="Heading2"/>
        <w:rPr>
          <w:sz w:val="28"/>
        </w:rPr>
      </w:pPr>
      <w:r>
        <w:t>Alcoa Australia</w:t>
      </w:r>
    </w:p>
    <w:p w:rsidR="00AC2131" w:rsidRPr="00FE2F37" w:rsidRDefault="00AC2131" w:rsidP="00AC2131">
      <w:pPr>
        <w:pStyle w:val="BodyText"/>
      </w:pPr>
      <w:r w:rsidRPr="00FE2F37">
        <w:t>In June</w:t>
      </w:r>
      <w:r>
        <w:t> </w:t>
      </w:r>
      <w:r w:rsidRPr="00FE2F37">
        <w:t xml:space="preserve">2012, the Australian and Victorian Governments announced funding for </w:t>
      </w:r>
      <w:r>
        <w:t xml:space="preserve">the </w:t>
      </w:r>
      <w:r w:rsidRPr="00FE2F37">
        <w:t>restructuring of Alcoa’s Point Henry aluminium smelter in Geelong. The Australian Government’s commitment of $40</w:t>
      </w:r>
      <w:r>
        <w:t> </w:t>
      </w:r>
      <w:r w:rsidRPr="00FE2F37">
        <w:t>million in new funding was aimed at ensuring economic sustainability and supporting 500 local jobs. The announcement was supported on the following basis:</w:t>
      </w:r>
    </w:p>
    <w:p w:rsidR="00AC2131" w:rsidRPr="00FE2F37" w:rsidRDefault="00AC2131" w:rsidP="00AC2131">
      <w:pPr>
        <w:pStyle w:val="Quote"/>
        <w:rPr>
          <w:szCs w:val="24"/>
        </w:rPr>
      </w:pPr>
      <w:r w:rsidRPr="00FE2F37">
        <w:t>The Minister for Industry and Innovation, Greg Combet, said the $40</w:t>
      </w:r>
      <w:r>
        <w:t> </w:t>
      </w:r>
      <w:r w:rsidRPr="00FE2F37">
        <w:t>million in Federal funding recognised the challenges to the aluminium sector from the high Australian dollar and low world aluminium prices. “The aluminium industry is under significant pressure due to a substantial decline in world aluminium prices and the high value of the Australia dollar,” Mr Combet said. (Combet, Baillieu and Napthine 2012</w:t>
      </w:r>
      <w:r>
        <w:t>b</w:t>
      </w:r>
      <w:r w:rsidRPr="00FE2F37">
        <w:t>)</w:t>
      </w:r>
    </w:p>
    <w:p w:rsidR="00AC2131" w:rsidRPr="009458EB" w:rsidRDefault="00AC2131" w:rsidP="00AC2131">
      <w:pPr>
        <w:pStyle w:val="BodyText"/>
        <w:rPr>
          <w:i/>
        </w:rPr>
      </w:pPr>
      <w:r w:rsidRPr="009458EB">
        <w:rPr>
          <w:i/>
        </w:rPr>
        <w:t xml:space="preserve">Alcoa announced the closure of the Point Henry smelter in </w:t>
      </w:r>
      <w:r>
        <w:rPr>
          <w:i/>
        </w:rPr>
        <w:t>August </w:t>
      </w:r>
      <w:r w:rsidRPr="009458EB">
        <w:rPr>
          <w:i/>
        </w:rPr>
        <w:t>2014.</w:t>
      </w:r>
    </w:p>
    <w:p w:rsidR="00AC2131" w:rsidRDefault="00AC2131" w:rsidP="00AC2131">
      <w:pPr>
        <w:pStyle w:val="Heading2"/>
      </w:pPr>
      <w:r>
        <w:t>Lion Dairy and Drinks</w:t>
      </w:r>
    </w:p>
    <w:p w:rsidR="00AC2131" w:rsidRDefault="00AC2131" w:rsidP="00AC2131">
      <w:pPr>
        <w:pStyle w:val="BodyText"/>
      </w:pPr>
      <w:r w:rsidRPr="00BA542E">
        <w:t>In June 2012, the Australian and Tasmanian Governments announced a $4.</w:t>
      </w:r>
      <w:r>
        <w:t>25</w:t>
      </w:r>
      <w:r w:rsidRPr="00BA542E">
        <w:t xml:space="preserve"> million </w:t>
      </w:r>
      <w:r>
        <w:t xml:space="preserve">Federal Government </w:t>
      </w:r>
      <w:r w:rsidRPr="00BA542E">
        <w:t>grant to Lion Dairy and Drinks company in Burnie, Tasmania (Crean, Green and Sidebottom</w:t>
      </w:r>
      <w:r>
        <w:t> </w:t>
      </w:r>
      <w:r w:rsidRPr="00BA542E">
        <w:t>2012). The grant was intended to assist the company in upgrading its stormwater infrastructure. The announcement also stated th</w:t>
      </w:r>
      <w:r>
        <w:t>at the company would invest $142</w:t>
      </w:r>
      <w:r w:rsidRPr="00BA542E">
        <w:t> million towards expanding its cheese production facilities.</w:t>
      </w:r>
      <w:r>
        <w:t xml:space="preserve"> The Tasmanian Government also contributed $1.5 million to the project.</w:t>
      </w:r>
    </w:p>
    <w:p w:rsidR="00AC2131" w:rsidRDefault="00AC2131" w:rsidP="00AC2131">
      <w:pPr>
        <w:pStyle w:val="BodyText"/>
      </w:pPr>
      <w:r>
        <w:t>The stated benefits associated with the project included the creation of:</w:t>
      </w:r>
    </w:p>
    <w:p w:rsidR="00AC2131" w:rsidRDefault="00AC2131" w:rsidP="00AC2131">
      <w:pPr>
        <w:pStyle w:val="Quote"/>
      </w:pPr>
      <w:r>
        <w:t>… 80 full-time jobs during construction, and support the retention of 220 full-time staff when operational. (Tasmanian Government 2012)</w:t>
      </w:r>
    </w:p>
    <w:p w:rsidR="00AC2131" w:rsidRPr="00BB4751" w:rsidRDefault="00AC2131" w:rsidP="00AC2131">
      <w:pPr>
        <w:pStyle w:val="Heading2"/>
      </w:pPr>
      <w:r>
        <w:t>Norske Skog</w:t>
      </w:r>
    </w:p>
    <w:p w:rsidR="00AC2131" w:rsidRDefault="00AC2131" w:rsidP="00AC2131">
      <w:pPr>
        <w:pStyle w:val="BodyText"/>
      </w:pPr>
      <w:r>
        <w:t>In September 2012, Norske Skog announced an $84 million investment to enable the conversion of a newsprint machine to the production of coated paper suitable for catalogues at the company’s Boyer Mill in Tasmania. The Australian Government contributed $28 million in grants to the project while the Tasmanian Government provided a $13 million loan. At the time, all catalogue paper used in Australia was sourced from imports. In making the announcement, the regional president of Norske Skog said:</w:t>
      </w:r>
    </w:p>
    <w:p w:rsidR="00AC2131" w:rsidRPr="00313CB0" w:rsidRDefault="00AC2131" w:rsidP="00AC2131">
      <w:pPr>
        <w:pStyle w:val="Quote"/>
      </w:pPr>
      <w:r>
        <w:t>This project will support Boyer’s current 330 direct and 900 indirect jobs, with 8-10 additional jobs being created in the coating operation and in the mining and transportation of fillers. It will improve Australia’s Balance of Trade by around $130 million per annum and create 100 construction jobs. (Leighton 2012)</w:t>
      </w:r>
    </w:p>
    <w:p w:rsidR="00AC2131" w:rsidRDefault="00AC2131" w:rsidP="00AC2131">
      <w:pPr>
        <w:pStyle w:val="Heading2"/>
      </w:pPr>
      <w:r>
        <w:t>Australian Paper</w:t>
      </w:r>
    </w:p>
    <w:p w:rsidR="00AC2131" w:rsidRPr="00FE2F37" w:rsidRDefault="00AC2131" w:rsidP="00AC2131">
      <w:pPr>
        <w:pStyle w:val="BodyText"/>
      </w:pPr>
      <w:r w:rsidRPr="00FE2F37">
        <w:t>In October 2012, the Australia Government announced it would contribute $9.5 million towards a $90 mil</w:t>
      </w:r>
      <w:r>
        <w:t>lion project to construct a de-</w:t>
      </w:r>
      <w:r w:rsidRPr="00FE2F37">
        <w:t>inked pulp plant at Australian Paper’s pulp and paper mill at Maryvale in Victoria’s Latrobe Valley</w:t>
      </w:r>
      <w:r>
        <w:t>.</w:t>
      </w:r>
      <w:r w:rsidRPr="00FE2F37">
        <w:t xml:space="preserve"> The project was expected to create 140 construction jobs in its initial phase to directly support the jobs of around 900 workers w</w:t>
      </w:r>
      <w:r>
        <w:t>hen initial production commenced</w:t>
      </w:r>
      <w:r w:rsidRPr="00FE2F37">
        <w:t xml:space="preserve"> in 2014, and</w:t>
      </w:r>
      <w:r w:rsidRPr="00FE2F37">
        <w:rPr>
          <w:sz w:val="26"/>
          <w:szCs w:val="26"/>
        </w:rPr>
        <w:t xml:space="preserve"> </w:t>
      </w:r>
      <w:r w:rsidRPr="00FE2F37">
        <w:t xml:space="preserve">support over 4000 indirect jobs connected to the mill’s operations. The Victorian Government also contributed an unspecified amount to the </w:t>
      </w:r>
      <w:r>
        <w:t>project. In announcing the funding:</w:t>
      </w:r>
    </w:p>
    <w:p w:rsidR="00AC2131" w:rsidRPr="00FE2F37" w:rsidRDefault="00AC2131" w:rsidP="00AC2131">
      <w:pPr>
        <w:pStyle w:val="Quote"/>
      </w:pPr>
      <w:r w:rsidRPr="00FE2F37">
        <w:t>Federal Minister for Industry and Innovation, Greg Combet, said the Government was pleased to support this project which will create new jobs and skills and help secure Australian Paper’s operations in the Latrobe Valley.</w:t>
      </w:r>
    </w:p>
    <w:p w:rsidR="00AC2131" w:rsidRDefault="00AC2131" w:rsidP="00AC2131">
      <w:pPr>
        <w:pStyle w:val="Quote"/>
      </w:pPr>
      <w:r w:rsidRPr="00FE2F37">
        <w:t xml:space="preserve">“Australian Papers decision to install this plant demonstrates a commitment to cleaner manufacturing and will provide Australians with greater access to recycled </w:t>
      </w:r>
      <w:r>
        <w:t>paper,” Mr Combet said. (Combet,</w:t>
      </w:r>
      <w:r w:rsidRPr="00FE2F37">
        <w:t xml:space="preserve"> Ryan, Della-Riva</w:t>
      </w:r>
      <w:r>
        <w:t> </w:t>
      </w:r>
      <w:r w:rsidRPr="00FE2F37">
        <w:t>2012</w:t>
      </w:r>
      <w:r>
        <w:t>a</w:t>
      </w:r>
      <w:r w:rsidRPr="00FE2F37">
        <w:t>)</w:t>
      </w:r>
    </w:p>
    <w:p w:rsidR="00AC2131" w:rsidRPr="00B42C31" w:rsidRDefault="00AC2131" w:rsidP="00AC2131">
      <w:pPr>
        <w:pStyle w:val="Heading2"/>
      </w:pPr>
      <w:r>
        <w:t>Hobart Airport</w:t>
      </w:r>
    </w:p>
    <w:p w:rsidR="00AC2131" w:rsidRDefault="00AC2131" w:rsidP="00AC2131">
      <w:pPr>
        <w:pStyle w:val="BodyText"/>
      </w:pPr>
      <w:r w:rsidRPr="00B626EF">
        <w:t>In 2013, the Australian Government announced it would provide $38 million to assist in upgrading the Hobart Airport (owned and operated by a Macquarie Bank managed syndicate)</w:t>
      </w:r>
      <w:r>
        <w:t xml:space="preserve"> including through extension of the existing runway by 500 metres</w:t>
      </w:r>
      <w:r w:rsidRPr="00B626EF">
        <w:t>.</w:t>
      </w:r>
      <w:r>
        <w:t xml:space="preserve"> The potential benefits of the project were described in the following way:</w:t>
      </w:r>
    </w:p>
    <w:p w:rsidR="00AC2131" w:rsidRDefault="00AC2131" w:rsidP="00AC2131">
      <w:pPr>
        <w:pStyle w:val="Quote"/>
      </w:pPr>
      <w:r>
        <w:t>Hobart International Airport is regarded as a gateway to Antarctica and the improvement of the runway will further cement that status.</w:t>
      </w:r>
    </w:p>
    <w:p w:rsidR="00AC2131" w:rsidRPr="00B626EF" w:rsidRDefault="00AC2131" w:rsidP="00AC2131">
      <w:pPr>
        <w:pStyle w:val="Quote"/>
      </w:pPr>
      <w:r>
        <w:t>This project could bring significant international investment from countries with growing Antarctic programmes, including the United States, China and India. (Abetz 2015)</w:t>
      </w:r>
    </w:p>
    <w:p w:rsidR="00AC2131" w:rsidRPr="00C26101" w:rsidRDefault="00AC2131" w:rsidP="00AC2131">
      <w:pPr>
        <w:pStyle w:val="Heading2"/>
      </w:pPr>
      <w:r>
        <w:t>Toyota Camry</w:t>
      </w:r>
    </w:p>
    <w:p w:rsidR="00AC2131" w:rsidRDefault="00AC2131" w:rsidP="00AC2131">
      <w:pPr>
        <w:pStyle w:val="BodyText"/>
      </w:pPr>
      <w:r w:rsidRPr="00B626EF">
        <w:t xml:space="preserve">In 2013, the </w:t>
      </w:r>
      <w:r>
        <w:t xml:space="preserve">then </w:t>
      </w:r>
      <w:r w:rsidRPr="00B626EF">
        <w:t>Australian Gover</w:t>
      </w:r>
      <w:r>
        <w:t>nment announced it would provide</w:t>
      </w:r>
      <w:r w:rsidRPr="00B626EF">
        <w:t xml:space="preserve"> $28.6</w:t>
      </w:r>
      <w:r>
        <w:t> </w:t>
      </w:r>
      <w:r w:rsidRPr="00B626EF">
        <w:t>million towards a $123</w:t>
      </w:r>
      <w:r>
        <w:t> </w:t>
      </w:r>
      <w:r w:rsidRPr="00B626EF">
        <w:t xml:space="preserve">million ‘facelift’ upgrade for the Toyota Camry 2015 model year and the expansion of the company’s supplier development program. The Victorian Government also contributed an undisclosed amount. </w:t>
      </w:r>
      <w:r>
        <w:t>The aims of the funding were described in the following terms:</w:t>
      </w:r>
    </w:p>
    <w:p w:rsidR="00AC2131" w:rsidRDefault="00AC2131" w:rsidP="00AC2131">
      <w:pPr>
        <w:pStyle w:val="Quote"/>
      </w:pPr>
      <w:r>
        <w:t>Toyota Australia’s investment is part of a long term strategy to secure and strengthen its manufacturing presence in Australia, including its supplier base.</w:t>
      </w:r>
    </w:p>
    <w:p w:rsidR="00AC2131" w:rsidRDefault="00AC2131" w:rsidP="00AC2131">
      <w:pPr>
        <w:pStyle w:val="Quote"/>
      </w:pPr>
      <w:r>
        <w:t>The Government’s contribution is a vital part of Toyota Australia’s ongoing investment into its future operations.</w:t>
      </w:r>
    </w:p>
    <w:p w:rsidR="00AC2131" w:rsidRPr="00B626EF" w:rsidRDefault="00AC2131" w:rsidP="00AC2131">
      <w:pPr>
        <w:pStyle w:val="Quote"/>
      </w:pPr>
      <w:r>
        <w:t>Australia is one of only 13 countries that can make a motor car from start to finish. The Labor Government wants to retain the expertise, the investment, the cutting-edge technology and the high-skill jobs this industry attracts for generations to come. (Carr and Hodgett 2013)</w:t>
      </w:r>
    </w:p>
    <w:p w:rsidR="00AC2131" w:rsidRPr="009458EB" w:rsidRDefault="00AC2131" w:rsidP="00AC2131">
      <w:pPr>
        <w:pStyle w:val="BodyText"/>
        <w:rPr>
          <w:i/>
        </w:rPr>
      </w:pPr>
      <w:r w:rsidRPr="009458EB">
        <w:rPr>
          <w:i/>
        </w:rPr>
        <w:t xml:space="preserve">In February 2014, Toyota announced it would cease </w:t>
      </w:r>
      <w:r>
        <w:rPr>
          <w:i/>
        </w:rPr>
        <w:t xml:space="preserve">vehicle </w:t>
      </w:r>
      <w:r w:rsidRPr="009458EB">
        <w:rPr>
          <w:i/>
        </w:rPr>
        <w:t>manufacturing operations in Australia in 2017.</w:t>
      </w:r>
    </w:p>
    <w:p w:rsidR="00AC2131" w:rsidRDefault="00AC2131" w:rsidP="00AC2131">
      <w:pPr>
        <w:pStyle w:val="Heading2"/>
      </w:pPr>
      <w:r>
        <w:t>Cadbury</w:t>
      </w:r>
    </w:p>
    <w:p w:rsidR="00AC2131" w:rsidRPr="0014783C" w:rsidRDefault="00AC2131" w:rsidP="00AC2131">
      <w:pPr>
        <w:pStyle w:val="BodyText"/>
      </w:pPr>
      <w:r w:rsidRPr="0014783C">
        <w:t>In August</w:t>
      </w:r>
      <w:r>
        <w:t> </w:t>
      </w:r>
      <w:r w:rsidRPr="0014783C">
        <w:t>2013, the then Opposition announced a $16</w:t>
      </w:r>
      <w:r>
        <w:t> </w:t>
      </w:r>
      <w:r w:rsidRPr="0014783C">
        <w:t>million contribution toward a $66</w:t>
      </w:r>
      <w:r>
        <w:t> </w:t>
      </w:r>
      <w:r w:rsidRPr="0014783C">
        <w:t>million upgrade of the Cadbury Chocolate factory in Claremont, Tasmania. The benefits associated with public funding were described in the following way:</w:t>
      </w:r>
    </w:p>
    <w:p w:rsidR="00AC2131" w:rsidRDefault="00AC2131" w:rsidP="00AC2131">
      <w:pPr>
        <w:pStyle w:val="Quote"/>
      </w:pPr>
      <w:r w:rsidRPr="0014783C">
        <w:t>Our commitment is aimed at boosting tourism and innovation, as well as to boost the export competitiveness of export-oriented businesses located in Tasmania and follows the release of the Coalition’s Economic Growth Plan for Tasmania. (Abetz</w:t>
      </w:r>
      <w:r>
        <w:t> </w:t>
      </w:r>
      <w:r w:rsidRPr="0014783C">
        <w:t>2013)</w:t>
      </w:r>
    </w:p>
    <w:p w:rsidR="00AC2131" w:rsidRPr="009458EB" w:rsidRDefault="00AC2131" w:rsidP="00AC2131">
      <w:pPr>
        <w:pStyle w:val="BodyText"/>
        <w:rPr>
          <w:i/>
        </w:rPr>
      </w:pPr>
      <w:r w:rsidRPr="009458EB">
        <w:rPr>
          <w:i/>
        </w:rPr>
        <w:t xml:space="preserve">The application for funding was withdrawn in March 2015 on the basis that the proposal did not meet Australian Government production and export volume commitment requirements. </w:t>
      </w:r>
    </w:p>
    <w:p w:rsidR="00AC2131" w:rsidRPr="00FE2F37" w:rsidRDefault="00AC2131" w:rsidP="00AC2131">
      <w:pPr>
        <w:pStyle w:val="Heading2"/>
      </w:pPr>
      <w:r>
        <w:t>SPC Ardmona</w:t>
      </w:r>
    </w:p>
    <w:p w:rsidR="00AC2131" w:rsidRPr="0014783C" w:rsidRDefault="00AC2131" w:rsidP="00AC2131">
      <w:pPr>
        <w:pStyle w:val="BodyText"/>
      </w:pPr>
      <w:r w:rsidRPr="0014783C">
        <w:t>In 2014, the Victorian Government announced a $22 million contribution to a $100</w:t>
      </w:r>
      <w:r>
        <w:t> </w:t>
      </w:r>
      <w:r w:rsidRPr="0014783C">
        <w:t>million co-investment by SPC Ardmona (a subsidiary of Coca</w:t>
      </w:r>
      <w:r>
        <w:t>-</w:t>
      </w:r>
      <w:r w:rsidRPr="0014783C">
        <w:t>Cola Amatil) to upgrade the operations of its processing plant in Shepparton, Victoria. Under the agreement, SPC Ardmona guaranteed full-time employment for around 500 employees at the plant and agreed to repay any funding received from the Victorian Government should SPC Ardmona cease operations.</w:t>
      </w:r>
      <w:r>
        <w:t xml:space="preserve"> The contribution by the Victorian Government was justified in the following terms:</w:t>
      </w:r>
    </w:p>
    <w:p w:rsidR="00AC2131" w:rsidRPr="0014783C" w:rsidRDefault="00AC2131" w:rsidP="00AC2131">
      <w:pPr>
        <w:pStyle w:val="Quote"/>
      </w:pPr>
      <w:r w:rsidRPr="0014783C">
        <w:t>Premier Denis Napthine, together with Deputy Premier and Minister for Regional and Rural Development Peter Ryan, today announced the Victorian Coalition Government had committed $22</w:t>
      </w:r>
      <w:r>
        <w:t> </w:t>
      </w:r>
      <w:r w:rsidRPr="0014783C">
        <w:t>million towards a $100</w:t>
      </w:r>
      <w:r>
        <w:t> </w:t>
      </w:r>
      <w:r w:rsidRPr="0014783C">
        <w:t>million co-investment in the Shepparton company.</w:t>
      </w:r>
    </w:p>
    <w:p w:rsidR="00AC2131" w:rsidRPr="00C1778C" w:rsidRDefault="00AC2131" w:rsidP="00AC2131">
      <w:pPr>
        <w:pStyle w:val="Quote"/>
      </w:pPr>
      <w:r>
        <w:t>“</w:t>
      </w:r>
      <w:r w:rsidRPr="0014783C">
        <w:t>Up to 2,700 jobs in the Goulburn Valley depend on SPC Ardmona and this co-investment secures these jobs which are vital to the region’s economy,” Dr Napthine said. (Napthine and Ryan 2014)</w:t>
      </w:r>
    </w:p>
    <w:p w:rsidR="00AC2131" w:rsidRDefault="00AC2131" w:rsidP="00AC2131">
      <w:pPr>
        <w:pStyle w:val="BodyText"/>
        <w:rPr>
          <w:i/>
        </w:rPr>
      </w:pPr>
      <w:r w:rsidRPr="009458EB">
        <w:rPr>
          <w:i/>
        </w:rPr>
        <w:t>SPC Ardmona also sought a $25</w:t>
      </w:r>
      <w:r>
        <w:rPr>
          <w:i/>
        </w:rPr>
        <w:t> </w:t>
      </w:r>
      <w:r w:rsidRPr="009458EB">
        <w:rPr>
          <w:i/>
        </w:rPr>
        <w:t>million contribution from the Australian Government but this request was rejected on the grounds that Coca</w:t>
      </w:r>
      <w:r>
        <w:rPr>
          <w:i/>
        </w:rPr>
        <w:t>-</w:t>
      </w:r>
      <w:r w:rsidRPr="009458EB">
        <w:rPr>
          <w:i/>
        </w:rPr>
        <w:t>Cola Amatil had the financial capacity to fund the project.</w:t>
      </w:r>
    </w:p>
    <w:p w:rsidR="00AC2131" w:rsidRDefault="00AC2131" w:rsidP="00AC2131">
      <w:pPr>
        <w:sectPr w:rsidR="00AC2131" w:rsidSect="00AC2131">
          <w:headerReference w:type="even" r:id="rId103"/>
          <w:headerReference w:type="default" r:id="rId104"/>
          <w:footerReference w:type="even" r:id="rId105"/>
          <w:footerReference w:type="default" r:id="rId106"/>
          <w:type w:val="oddPage"/>
          <w:pgSz w:w="11907" w:h="16840" w:code="9"/>
          <w:pgMar w:top="1985" w:right="1304" w:bottom="1247" w:left="1814" w:header="1701" w:footer="397" w:gutter="0"/>
          <w:pgNumType w:chapSep="period"/>
          <w:cols w:space="720"/>
          <w:docGrid w:linePitch="326"/>
        </w:sectPr>
      </w:pPr>
    </w:p>
    <w:p w:rsidR="00AC2131" w:rsidRDefault="00AC2131" w:rsidP="00AC2131">
      <w:pPr>
        <w:pStyle w:val="Heading1"/>
      </w:pPr>
      <w:bookmarkStart w:id="21" w:name="_AppendixNotByChapter"/>
      <w:bookmarkEnd w:id="21"/>
      <w:r>
        <w:t>D</w:t>
      </w:r>
      <w:r>
        <w:tab/>
        <w:t>Services commitments in the ASEAN-Australia-New Zealand trade agreement</w:t>
      </w:r>
    </w:p>
    <w:p w:rsidR="00AC2131" w:rsidRDefault="00AC2131" w:rsidP="00120072">
      <w:pPr>
        <w:pStyle w:val="BodyText"/>
      </w:pPr>
      <w:r w:rsidRPr="00252791">
        <w:t>The following table presents information on the services commitments made by members of the ASEAN-Australia-New Zealand preferential trade agreement which entered into force in 2010. A feature of that agreement was a requirement by parties to the agreement to list market access commitments in services (using a positive list approach) according to a common template. These commitments relate to limits on market access or national treatment in relation to cross-border supply, consumption abroad and commercial presence. This format facilitates, to some extent, comparisons of services commitments across countries on a consistent basis. As noted in chapter 4, most other preferential agreements to which Australia is a Party have adopted a negative list approach whereby only specified services activities are excluded from the commitments made in the agreement. The information presented in table D.1 is sourced from the Department of Foreign Affairs and Trade and is available at</w:t>
      </w:r>
      <w:r>
        <w:t xml:space="preserve"> </w:t>
      </w:r>
      <w:r w:rsidRPr="00C4459B">
        <w:t>http://dfat.gov.au/trade/agreements/aanzfta/official-documents/</w:t>
      </w:r>
      <w:r>
        <w:br/>
      </w:r>
      <w:r w:rsidRPr="00C4459B">
        <w:t>Pages/annex-3-schedules-of-specific-services-commitments.aspx.</w:t>
      </w:r>
      <w:r>
        <w:t xml:space="preserve"> </w:t>
      </w:r>
    </w:p>
    <w:p w:rsidR="00AC2131" w:rsidRDefault="00AC2131" w:rsidP="00AC2131">
      <w:pPr>
        <w:pStyle w:val="Heading2"/>
      </w:pPr>
      <w:r>
        <w:t>K</w:t>
      </w:r>
      <w:r w:rsidRPr="005F5900">
        <w:t>ey</w:t>
      </w:r>
      <w:r w:rsidRPr="00252791">
        <w:t xml:space="preserve"> to the symbols used in table</w:t>
      </w:r>
      <w:r>
        <w:t xml:space="preserve"> D.1</w:t>
      </w:r>
    </w:p>
    <w:p w:rsidR="00AC2131" w:rsidRDefault="00AC2131" w:rsidP="00120072">
      <w:pPr>
        <w:pStyle w:val="BodyText"/>
      </w:pPr>
      <w:r w:rsidRPr="004760D9">
        <w:rPr>
          <w:rFonts w:cs="Arial"/>
        </w:rPr>
        <w:t>●</w:t>
      </w:r>
      <w:r>
        <w:rPr>
          <w:rFonts w:cs="Arial"/>
        </w:rPr>
        <w:t xml:space="preserve"> — </w:t>
      </w:r>
      <w:r w:rsidRPr="00252791">
        <w:t xml:space="preserve">shaded dots represent unrestricted access and national treatment; </w:t>
      </w:r>
    </w:p>
    <w:p w:rsidR="00AC2131" w:rsidRDefault="00AC2131" w:rsidP="00120072">
      <w:pPr>
        <w:pStyle w:val="BodyText"/>
      </w:pPr>
      <w:r>
        <w:rPr>
          <w:rFonts w:ascii="Tahoma" w:hAnsi="Tahoma" w:cs="Tahoma"/>
          <w:cs/>
          <w:lang w:bidi="th-TH"/>
        </w:rPr>
        <w:t xml:space="preserve">๐ — </w:t>
      </w:r>
      <w:r w:rsidRPr="00252791">
        <w:t xml:space="preserve">unshaded dots represent restrictions on access or national treatment, </w:t>
      </w:r>
    </w:p>
    <w:p w:rsidR="00AC2131" w:rsidRDefault="00AC2131" w:rsidP="00120072">
      <w:pPr>
        <w:pStyle w:val="BodyText"/>
      </w:pPr>
      <w:r w:rsidRPr="0047728F">
        <w:rPr>
          <w:rFonts w:cs="Arial"/>
          <w:position w:val="-6"/>
        </w:rPr>
        <w:t>*</w:t>
      </w:r>
      <w:r>
        <w:rPr>
          <w:rFonts w:cs="Arial"/>
          <w:position w:val="-6"/>
        </w:rPr>
        <w:t xml:space="preserve"> — </w:t>
      </w:r>
      <w:r w:rsidRPr="00252791">
        <w:t>asterisks represent a service activity that is not specifically mentioned in a country’s schedule of commitments.</w:t>
      </w:r>
    </w:p>
    <w:p w:rsidR="00AC2131" w:rsidRDefault="00AC2131">
      <w:pPr>
        <w:pStyle w:val="BodyText"/>
      </w:pPr>
      <w:r>
        <w:br w:type="page"/>
      </w:r>
    </w:p>
    <w:p w:rsidR="00AC2131" w:rsidRDefault="00AC2131">
      <w:pPr>
        <w:pStyle w:val="BodyText"/>
        <w:sectPr w:rsidR="00AC2131" w:rsidSect="00AC2131">
          <w:headerReference w:type="even" r:id="rId107"/>
          <w:headerReference w:type="default" r:id="rId108"/>
          <w:footerReference w:type="even" r:id="rId109"/>
          <w:footerReference w:type="default" r:id="rId110"/>
          <w:type w:val="oddPage"/>
          <w:pgSz w:w="11907" w:h="16840" w:code="9"/>
          <w:pgMar w:top="1985" w:right="1304" w:bottom="1247" w:left="1814" w:header="1701" w:footer="397" w:gutter="0"/>
          <w:pgNumType w:chapSep="period"/>
          <w:cols w:space="720"/>
          <w:docGrid w:linePitch="326"/>
        </w:sectPr>
      </w:pPr>
    </w:p>
    <w:p w:rsidR="00AC2131" w:rsidRDefault="00AC2131" w:rsidP="00AC2131">
      <w:pPr>
        <w:pStyle w:val="BoxSpaceAbove"/>
      </w:pPr>
    </w:p>
    <w:tbl>
      <w:tblPr>
        <w:tblW w:w="13870"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70"/>
      </w:tblGrid>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w:t>
            </w:r>
            <w:r>
              <w:rPr>
                <w:b w:val="0"/>
                <w:noProof/>
              </w:rPr>
              <w:t>1</w:t>
            </w:r>
            <w:r>
              <w:tab/>
            </w:r>
            <w:r w:rsidRPr="00252791">
              <w:t>Services commitments in the ASEAN-Australia-New Zealand preferential trade agreement</w:t>
            </w:r>
            <w:r w:rsidRPr="00252791">
              <w:rPr>
                <w:rStyle w:val="NoteLabel"/>
                <w:b/>
              </w:rPr>
              <w:t>a</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45"/>
              <w:gridCol w:w="784"/>
              <w:gridCol w:w="848"/>
              <w:gridCol w:w="904"/>
              <w:gridCol w:w="795"/>
              <w:gridCol w:w="851"/>
              <w:gridCol w:w="864"/>
              <w:gridCol w:w="845"/>
              <w:gridCol w:w="857"/>
              <w:gridCol w:w="857"/>
              <w:gridCol w:w="904"/>
              <w:gridCol w:w="954"/>
              <w:gridCol w:w="778"/>
            </w:tblGrid>
            <w:tr w:rsidR="00AC2131" w:rsidTr="00AC2131">
              <w:trPr>
                <w:trHeight w:val="354"/>
              </w:trPr>
              <w:tc>
                <w:tcPr>
                  <w:tcW w:w="1244"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171"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2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26"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26"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311"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252791" w:rsidRDefault="00AC2131" w:rsidP="00AC2131">
                  <w:pPr>
                    <w:pStyle w:val="TableBodyText"/>
                    <w:jc w:val="left"/>
                    <w:rPr>
                      <w:b/>
                    </w:rPr>
                  </w:pPr>
                  <w:r w:rsidRPr="00252791">
                    <w:rPr>
                      <w:b/>
                    </w:rPr>
                    <w:t>BUSINESS SERVICES</w:t>
                  </w:r>
                </w:p>
              </w:tc>
              <w:tc>
                <w:tcPr>
                  <w:tcW w:w="171"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5"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33"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6"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6"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33"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9"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1" w:type="pct"/>
                  <w:tcBorders>
                    <w:top w:val="single" w:sz="6" w:space="0" w:color="BFBFBF"/>
                    <w:bottom w:val="single" w:sz="6" w:space="0" w:color="BFBFBF"/>
                  </w:tcBorders>
                  <w:shd w:val="clear" w:color="auto" w:fill="auto"/>
                </w:tcPr>
                <w:p w:rsidR="00AC2131" w:rsidRDefault="00AC2131" w:rsidP="00AC2131">
                  <w:pPr>
                    <w:pStyle w:val="TableBodyText"/>
                    <w:jc w:val="center"/>
                  </w:pP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252791" w:rsidRDefault="00AC2131" w:rsidP="00AC2131">
                  <w:pPr>
                    <w:pStyle w:val="TableBodyText"/>
                    <w:jc w:val="left"/>
                    <w:rPr>
                      <w:b/>
                    </w:rPr>
                  </w:pPr>
                  <w:r w:rsidRPr="00252791">
                    <w:rPr>
                      <w:b/>
                    </w:rPr>
                    <w:t>Professional Services</w:t>
                  </w:r>
                </w:p>
              </w:tc>
              <w:tc>
                <w:tcPr>
                  <w:tcW w:w="171"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5"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33"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6"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6"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33"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9"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1" w:type="pct"/>
                  <w:tcBorders>
                    <w:top w:val="single" w:sz="6" w:space="0" w:color="BFBFBF"/>
                    <w:bottom w:val="single" w:sz="6" w:space="0" w:color="BFBFBF"/>
                  </w:tcBorders>
                  <w:shd w:val="clear" w:color="auto" w:fill="auto"/>
                </w:tcPr>
                <w:p w:rsidR="00AC2131" w:rsidRDefault="00AC2131" w:rsidP="00AC2131">
                  <w:pPr>
                    <w:pStyle w:val="TableBodyText"/>
                    <w:jc w:val="center"/>
                  </w:pP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Legal</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Accounting, Auditing, Bookkeeping</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Taxation</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Architectural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Engineering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Integrated Engineering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Urban Planning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Landscape Architectural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Medical Specialty </w:t>
                  </w:r>
                </w:p>
              </w:tc>
              <w:tc>
                <w:tcPr>
                  <w:tcW w:w="171" w:type="pct"/>
                  <w:tcBorders>
                    <w:top w:val="single" w:sz="6" w:space="0" w:color="BFBFBF"/>
                    <w:bottom w:val="single" w:sz="6" w:space="0" w:color="BFBFBF"/>
                  </w:tcBorders>
                  <w:shd w:val="clear" w:color="auto" w:fill="auto"/>
                </w:tcPr>
                <w:p w:rsidR="00AC2131"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Veterinary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372170" w:rsidRDefault="00AC2131" w:rsidP="00AC2131">
                  <w:pPr>
                    <w:pStyle w:val="TableBodyText"/>
                    <w:jc w:val="left"/>
                    <w:rPr>
                      <w:b/>
                    </w:rPr>
                  </w:pPr>
                  <w:r w:rsidRPr="00372170">
                    <w:rPr>
                      <w:b/>
                    </w:rPr>
                    <w:t>Computer and Related Services</w:t>
                  </w:r>
                </w:p>
              </w:tc>
              <w:tc>
                <w:tcPr>
                  <w:tcW w:w="171" w:type="pct"/>
                  <w:tcBorders>
                    <w:top w:val="single" w:sz="6" w:space="0" w:color="BFBFBF"/>
                    <w:bottom w:val="single" w:sz="6" w:space="0" w:color="BFBFBF"/>
                  </w:tcBorders>
                  <w:shd w:val="clear" w:color="auto" w:fill="auto"/>
                </w:tcPr>
                <w:p w:rsidR="00AC2131" w:rsidRDefault="00AC2131" w:rsidP="00AC2131">
                  <w:pPr>
                    <w:jc w:val="center"/>
                  </w:pPr>
                </w:p>
              </w:tc>
              <w:tc>
                <w:tcPr>
                  <w:tcW w:w="325"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position w:val="-6"/>
                    </w:rPr>
                  </w:pP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Consultancy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r>
            <w:tr w:rsidR="00AC2131" w:rsidTr="00AC2131">
              <w:trPr>
                <w:trHeight w:val="351"/>
              </w:trPr>
              <w:tc>
                <w:tcPr>
                  <w:tcW w:w="1244" w:type="pct"/>
                  <w:tcBorders>
                    <w:top w:val="single" w:sz="6" w:space="0" w:color="BFBFBF"/>
                  </w:tcBorders>
                  <w:shd w:val="clear" w:color="auto" w:fill="auto"/>
                  <w:tcMar>
                    <w:top w:w="28" w:type="dxa"/>
                  </w:tcMar>
                  <w:vAlign w:val="center"/>
                </w:tcPr>
                <w:p w:rsidR="00AC2131" w:rsidRDefault="00AC2131" w:rsidP="00AC2131">
                  <w:pPr>
                    <w:pStyle w:val="TableBodyText"/>
                    <w:jc w:val="left"/>
                  </w:pPr>
                  <w:r>
                    <w:t>Software Implementation/Development</w:t>
                  </w:r>
                </w:p>
              </w:tc>
              <w:tc>
                <w:tcPr>
                  <w:tcW w:w="171" w:type="pct"/>
                  <w:tcBorders>
                    <w:top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Continued"/>
            </w:pPr>
            <w:r>
              <w:t>(continued next page)</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p>
    <w:tbl>
      <w:tblPr>
        <w:tblW w:w="13870"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70"/>
      </w:tblGrid>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D.1</w:t>
            </w:r>
            <w:r>
              <w:tab/>
            </w:r>
            <w:r w:rsidRPr="00A522EC">
              <w:rPr>
                <w:b w:val="0"/>
                <w:sz w:val="18"/>
              </w:rPr>
              <w:t>(continued)</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44"/>
              <w:gridCol w:w="784"/>
              <w:gridCol w:w="842"/>
              <w:gridCol w:w="904"/>
              <w:gridCol w:w="797"/>
              <w:gridCol w:w="851"/>
              <w:gridCol w:w="864"/>
              <w:gridCol w:w="851"/>
              <w:gridCol w:w="856"/>
              <w:gridCol w:w="856"/>
              <w:gridCol w:w="904"/>
              <w:gridCol w:w="954"/>
              <w:gridCol w:w="779"/>
            </w:tblGrid>
            <w:tr w:rsidR="00AC2131" w:rsidTr="00AC2131">
              <w:trPr>
                <w:trHeight w:val="354"/>
              </w:trPr>
              <w:tc>
                <w:tcPr>
                  <w:tcW w:w="1233"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28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14"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29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290"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Data Processing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Database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Computer Maintenance and Repair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Other Computer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2169" w:type="pct"/>
                  <w:gridSpan w:val="4"/>
                  <w:tcBorders>
                    <w:top w:val="single" w:sz="6" w:space="0" w:color="BFBFBF"/>
                    <w:bottom w:val="single" w:sz="6" w:space="0" w:color="BFBFBF"/>
                  </w:tcBorders>
                  <w:shd w:val="clear" w:color="auto" w:fill="auto"/>
                  <w:tcMar>
                    <w:top w:w="28" w:type="dxa"/>
                  </w:tcMar>
                  <w:vAlign w:val="center"/>
                </w:tcPr>
                <w:p w:rsidR="00AC2131" w:rsidRPr="005525D0" w:rsidRDefault="00AC2131" w:rsidP="00AC2131">
                  <w:pPr>
                    <w:pStyle w:val="TableBodyText"/>
                    <w:jc w:val="left"/>
                    <w:rPr>
                      <w:b/>
                    </w:rPr>
                  </w:pPr>
                  <w:r w:rsidRPr="005525D0">
                    <w:rPr>
                      <w:b/>
                    </w:rPr>
                    <w:t>Research and Development Services</w:t>
                  </w:r>
                </w:p>
              </w:tc>
              <w:tc>
                <w:tcPr>
                  <w:tcW w:w="297" w:type="pct"/>
                  <w:tcBorders>
                    <w:top w:val="single" w:sz="6" w:space="0" w:color="BFBFBF"/>
                    <w:bottom w:val="single" w:sz="6" w:space="0" w:color="BFBFBF"/>
                  </w:tcBorders>
                  <w:shd w:val="clear" w:color="auto" w:fill="auto"/>
                </w:tcPr>
                <w:p w:rsidR="00AC2131" w:rsidRDefault="00AC2131" w:rsidP="00AC2131">
                  <w:pPr>
                    <w:jc w:val="center"/>
                  </w:pPr>
                </w:p>
              </w:tc>
              <w:tc>
                <w:tcPr>
                  <w:tcW w:w="315"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15" w:type="pct"/>
                  <w:tcBorders>
                    <w:top w:val="single" w:sz="6" w:space="0" w:color="BFBFBF"/>
                    <w:bottom w:val="single" w:sz="6" w:space="0" w:color="BFBFBF"/>
                  </w:tcBorders>
                  <w:shd w:val="clear" w:color="auto" w:fill="auto"/>
                </w:tcPr>
                <w:p w:rsidR="00AC2131" w:rsidRDefault="00AC2131" w:rsidP="00AC2131">
                  <w:pPr>
                    <w:jc w:val="center"/>
                  </w:pPr>
                </w:p>
              </w:tc>
              <w:tc>
                <w:tcPr>
                  <w:tcW w:w="317" w:type="pct"/>
                  <w:tcBorders>
                    <w:top w:val="single" w:sz="6" w:space="0" w:color="BFBFBF"/>
                    <w:bottom w:val="single" w:sz="6" w:space="0" w:color="BFBFBF"/>
                  </w:tcBorders>
                  <w:shd w:val="clear" w:color="auto" w:fill="auto"/>
                </w:tcPr>
                <w:p w:rsidR="00AC2131" w:rsidRDefault="00AC2131" w:rsidP="00AC2131">
                  <w:pPr>
                    <w:jc w:val="center"/>
                  </w:pPr>
                </w:p>
              </w:tc>
              <w:tc>
                <w:tcPr>
                  <w:tcW w:w="317"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329" w:type="pct"/>
                  <w:tcBorders>
                    <w:top w:val="single" w:sz="6" w:space="0" w:color="BFBFBF"/>
                    <w:bottom w:val="single" w:sz="6" w:space="0" w:color="BFBFBF"/>
                  </w:tcBorders>
                  <w:shd w:val="clear" w:color="auto" w:fill="auto"/>
                </w:tcPr>
                <w:p w:rsidR="00AC2131" w:rsidRDefault="00AC2131" w:rsidP="00AC2131">
                  <w:pPr>
                    <w:jc w:val="center"/>
                  </w:pPr>
                </w:p>
              </w:tc>
              <w:tc>
                <w:tcPr>
                  <w:tcW w:w="290" w:type="pct"/>
                  <w:tcBorders>
                    <w:top w:val="single" w:sz="6" w:space="0" w:color="BFBFBF"/>
                    <w:bottom w:val="single" w:sz="6" w:space="0" w:color="BFBFBF"/>
                  </w:tcBorders>
                  <w:shd w:val="clear" w:color="auto" w:fill="auto"/>
                </w:tcPr>
                <w:p w:rsidR="00AC2131" w:rsidRDefault="00AC2131" w:rsidP="00AC2131">
                  <w:pPr>
                    <w:jc w:val="center"/>
                  </w:pP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Social Science and Humanities  R&amp;D</w:t>
                  </w:r>
                </w:p>
              </w:tc>
              <w:tc>
                <w:tcPr>
                  <w:tcW w:w="289" w:type="pct"/>
                  <w:tcBorders>
                    <w:top w:val="single" w:sz="6" w:space="0" w:color="BFBFBF"/>
                    <w:bottom w:val="single" w:sz="6" w:space="0" w:color="BFBFBF"/>
                  </w:tcBorders>
                  <w:shd w:val="clear" w:color="auto" w:fill="auto"/>
                </w:tcPr>
                <w:p w:rsidR="00AC2131"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Natural Sciences R&amp;D </w:t>
                  </w:r>
                </w:p>
              </w:tc>
              <w:tc>
                <w:tcPr>
                  <w:tcW w:w="289" w:type="pct"/>
                  <w:tcBorders>
                    <w:top w:val="single" w:sz="6" w:space="0" w:color="BFBFBF"/>
                    <w:bottom w:val="single" w:sz="6" w:space="0" w:color="BFBFBF"/>
                  </w:tcBorders>
                  <w:shd w:val="clear" w:color="auto" w:fill="auto"/>
                </w:tcPr>
                <w:p w:rsidR="00AC2131"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Interdisciplinary R&amp;D </w:t>
                  </w:r>
                </w:p>
              </w:tc>
              <w:tc>
                <w:tcPr>
                  <w:tcW w:w="289" w:type="pct"/>
                  <w:tcBorders>
                    <w:top w:val="single" w:sz="6" w:space="0" w:color="BFBFBF"/>
                    <w:bottom w:val="single" w:sz="6" w:space="0" w:color="BFBFBF"/>
                  </w:tcBorders>
                  <w:shd w:val="clear" w:color="auto" w:fill="auto"/>
                </w:tcPr>
                <w:p w:rsidR="00AC2131"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AE72BD" w:rsidRDefault="00AC2131" w:rsidP="00AC2131">
                  <w:pPr>
                    <w:pStyle w:val="TableBodyText"/>
                    <w:jc w:val="left"/>
                    <w:rPr>
                      <w:b/>
                    </w:rPr>
                  </w:pPr>
                  <w:r w:rsidRPr="00AE72BD">
                    <w:rPr>
                      <w:b/>
                    </w:rPr>
                    <w:t xml:space="preserve">Real Estate </w:t>
                  </w:r>
                </w:p>
              </w:tc>
              <w:tc>
                <w:tcPr>
                  <w:tcW w:w="289" w:type="pct"/>
                  <w:tcBorders>
                    <w:top w:val="single" w:sz="6" w:space="0" w:color="BFBFBF"/>
                    <w:bottom w:val="single" w:sz="6" w:space="0" w:color="BFBFBF"/>
                  </w:tcBorders>
                  <w:shd w:val="clear" w:color="auto" w:fill="auto"/>
                </w:tcPr>
                <w:p w:rsidR="00AC2131" w:rsidRPr="00AE72BD" w:rsidRDefault="00AC2131" w:rsidP="00AC2131">
                  <w:pPr>
                    <w:jc w:val="center"/>
                    <w:rPr>
                      <w:rFonts w:cs="Arial"/>
                      <w:b/>
                    </w:rPr>
                  </w:pPr>
                </w:p>
              </w:tc>
              <w:tc>
                <w:tcPr>
                  <w:tcW w:w="314" w:type="pct"/>
                  <w:tcBorders>
                    <w:top w:val="single" w:sz="6" w:space="0" w:color="BFBFBF"/>
                    <w:bottom w:val="single" w:sz="6" w:space="0" w:color="BFBFBF"/>
                  </w:tcBorders>
                  <w:shd w:val="clear" w:color="auto" w:fill="auto"/>
                </w:tcPr>
                <w:p w:rsidR="00AC2131" w:rsidRPr="00AE72BD" w:rsidRDefault="00AC2131" w:rsidP="00AC2131">
                  <w:pPr>
                    <w:jc w:val="center"/>
                    <w:rPr>
                      <w:rFonts w:cs="Arial"/>
                      <w:b/>
                    </w:rPr>
                  </w:pPr>
                </w:p>
              </w:tc>
              <w:tc>
                <w:tcPr>
                  <w:tcW w:w="333" w:type="pct"/>
                  <w:tcBorders>
                    <w:top w:val="single" w:sz="6" w:space="0" w:color="BFBFBF"/>
                    <w:bottom w:val="single" w:sz="6" w:space="0" w:color="BFBFBF"/>
                  </w:tcBorders>
                  <w:shd w:val="clear" w:color="auto" w:fill="auto"/>
                </w:tcPr>
                <w:p w:rsidR="00AC2131" w:rsidRPr="00AE72BD" w:rsidRDefault="00AC2131" w:rsidP="00AC2131">
                  <w:pPr>
                    <w:jc w:val="center"/>
                    <w:rPr>
                      <w:rFonts w:cs="Arial"/>
                      <w:b/>
                    </w:rPr>
                  </w:pPr>
                </w:p>
              </w:tc>
              <w:tc>
                <w:tcPr>
                  <w:tcW w:w="297" w:type="pct"/>
                  <w:tcBorders>
                    <w:top w:val="single" w:sz="6" w:space="0" w:color="BFBFBF"/>
                    <w:bottom w:val="single" w:sz="6" w:space="0" w:color="BFBFBF"/>
                  </w:tcBorders>
                  <w:shd w:val="clear" w:color="auto" w:fill="auto"/>
                </w:tcPr>
                <w:p w:rsidR="00AC2131" w:rsidRPr="00AE72BD" w:rsidRDefault="00AC2131" w:rsidP="00AC2131">
                  <w:pPr>
                    <w:jc w:val="center"/>
                    <w:rPr>
                      <w:b/>
                    </w:rPr>
                  </w:pPr>
                </w:p>
              </w:tc>
              <w:tc>
                <w:tcPr>
                  <w:tcW w:w="315" w:type="pct"/>
                  <w:tcBorders>
                    <w:top w:val="single" w:sz="6" w:space="0" w:color="BFBFBF"/>
                    <w:bottom w:val="single" w:sz="6" w:space="0" w:color="BFBFBF"/>
                  </w:tcBorders>
                  <w:shd w:val="clear" w:color="auto" w:fill="auto"/>
                </w:tcPr>
                <w:p w:rsidR="00AC2131" w:rsidRPr="00AE72BD" w:rsidRDefault="00AC2131" w:rsidP="00AC2131">
                  <w:pPr>
                    <w:jc w:val="center"/>
                    <w:rPr>
                      <w:b/>
                    </w:rPr>
                  </w:pPr>
                </w:p>
              </w:tc>
              <w:tc>
                <w:tcPr>
                  <w:tcW w:w="318" w:type="pct"/>
                  <w:tcBorders>
                    <w:top w:val="single" w:sz="6" w:space="0" w:color="BFBFBF"/>
                    <w:bottom w:val="single" w:sz="6" w:space="0" w:color="BFBFBF"/>
                  </w:tcBorders>
                  <w:shd w:val="clear" w:color="auto" w:fill="auto"/>
                </w:tcPr>
                <w:p w:rsidR="00AC2131" w:rsidRPr="00AE72BD" w:rsidRDefault="00AC2131" w:rsidP="00AC2131">
                  <w:pPr>
                    <w:jc w:val="center"/>
                    <w:rPr>
                      <w:b/>
                    </w:rPr>
                  </w:pPr>
                </w:p>
              </w:tc>
              <w:tc>
                <w:tcPr>
                  <w:tcW w:w="315" w:type="pct"/>
                  <w:tcBorders>
                    <w:top w:val="single" w:sz="6" w:space="0" w:color="BFBFBF"/>
                    <w:bottom w:val="single" w:sz="6" w:space="0" w:color="BFBFBF"/>
                  </w:tcBorders>
                  <w:shd w:val="clear" w:color="auto" w:fill="auto"/>
                </w:tcPr>
                <w:p w:rsidR="00AC2131" w:rsidRPr="00AE72BD" w:rsidRDefault="00AC2131" w:rsidP="00AC2131">
                  <w:pPr>
                    <w:jc w:val="center"/>
                    <w:rPr>
                      <w:rFonts w:ascii="Tahoma" w:hAnsi="Tahoma" w:cs="Tahoma"/>
                      <w:b/>
                      <w:cs/>
                      <w:lang w:bidi="th-TH"/>
                    </w:rPr>
                  </w:pPr>
                </w:p>
              </w:tc>
              <w:tc>
                <w:tcPr>
                  <w:tcW w:w="317" w:type="pct"/>
                  <w:tcBorders>
                    <w:top w:val="single" w:sz="6" w:space="0" w:color="BFBFBF"/>
                    <w:bottom w:val="single" w:sz="6" w:space="0" w:color="BFBFBF"/>
                  </w:tcBorders>
                  <w:shd w:val="clear" w:color="auto" w:fill="auto"/>
                </w:tcPr>
                <w:p w:rsidR="00AC2131" w:rsidRPr="00AE72BD" w:rsidRDefault="00AC2131" w:rsidP="00AC2131">
                  <w:pPr>
                    <w:jc w:val="center"/>
                    <w:rPr>
                      <w:b/>
                    </w:rPr>
                  </w:pPr>
                </w:p>
              </w:tc>
              <w:tc>
                <w:tcPr>
                  <w:tcW w:w="317" w:type="pct"/>
                  <w:tcBorders>
                    <w:top w:val="single" w:sz="6" w:space="0" w:color="BFBFBF"/>
                    <w:bottom w:val="single" w:sz="6" w:space="0" w:color="BFBFBF"/>
                  </w:tcBorders>
                  <w:shd w:val="clear" w:color="auto" w:fill="auto"/>
                </w:tcPr>
                <w:p w:rsidR="00AC2131" w:rsidRPr="00AE72BD" w:rsidRDefault="00AC2131" w:rsidP="00AC2131">
                  <w:pPr>
                    <w:jc w:val="center"/>
                    <w:rPr>
                      <w:b/>
                    </w:rPr>
                  </w:pPr>
                </w:p>
              </w:tc>
              <w:tc>
                <w:tcPr>
                  <w:tcW w:w="333" w:type="pct"/>
                  <w:tcBorders>
                    <w:top w:val="single" w:sz="6" w:space="0" w:color="BFBFBF"/>
                    <w:bottom w:val="single" w:sz="6" w:space="0" w:color="BFBFBF"/>
                  </w:tcBorders>
                  <w:shd w:val="clear" w:color="auto" w:fill="auto"/>
                </w:tcPr>
                <w:p w:rsidR="00AC2131" w:rsidRPr="00AE72BD" w:rsidRDefault="00AC2131" w:rsidP="00AC2131">
                  <w:pPr>
                    <w:jc w:val="center"/>
                    <w:rPr>
                      <w:b/>
                    </w:rPr>
                  </w:pPr>
                </w:p>
              </w:tc>
              <w:tc>
                <w:tcPr>
                  <w:tcW w:w="329" w:type="pct"/>
                  <w:tcBorders>
                    <w:top w:val="single" w:sz="6" w:space="0" w:color="BFBFBF"/>
                    <w:bottom w:val="single" w:sz="6" w:space="0" w:color="BFBFBF"/>
                  </w:tcBorders>
                  <w:shd w:val="clear" w:color="auto" w:fill="auto"/>
                </w:tcPr>
                <w:p w:rsidR="00AC2131" w:rsidRPr="00AE72BD" w:rsidRDefault="00AC2131" w:rsidP="00AC2131">
                  <w:pPr>
                    <w:jc w:val="center"/>
                    <w:rPr>
                      <w:b/>
                    </w:rPr>
                  </w:pPr>
                </w:p>
              </w:tc>
              <w:tc>
                <w:tcPr>
                  <w:tcW w:w="290" w:type="pct"/>
                  <w:tcBorders>
                    <w:top w:val="single" w:sz="6" w:space="0" w:color="BFBFBF"/>
                    <w:bottom w:val="single" w:sz="6" w:space="0" w:color="BFBFBF"/>
                  </w:tcBorders>
                  <w:shd w:val="clear" w:color="auto" w:fill="auto"/>
                </w:tcPr>
                <w:p w:rsidR="00AC2131" w:rsidRPr="00AE72BD" w:rsidRDefault="00AC2131" w:rsidP="00AC2131">
                  <w:pPr>
                    <w:jc w:val="center"/>
                    <w:rPr>
                      <w:b/>
                    </w:rPr>
                  </w:pP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AE72BD" w:rsidRDefault="00AC2131" w:rsidP="00AC2131">
                  <w:pPr>
                    <w:pStyle w:val="TableBodyText"/>
                    <w:jc w:val="left"/>
                  </w:pPr>
                  <w:r>
                    <w:t>Leased Property Management</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AE72BD"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Pr="00AE72BD" w:rsidRDefault="00AC2131" w:rsidP="00AC2131">
                  <w:pPr>
                    <w:jc w:val="center"/>
                  </w:pPr>
                  <w:r>
                    <w:rPr>
                      <w:rFonts w:ascii="Tahoma" w:hAnsi="Tahoma" w:cs="Tahoma"/>
                      <w:cs/>
                      <w:lang w:bidi="th-TH"/>
                    </w:rPr>
                    <w:t>*</w:t>
                  </w:r>
                </w:p>
              </w:tc>
              <w:tc>
                <w:tcPr>
                  <w:tcW w:w="297" w:type="pct"/>
                  <w:tcBorders>
                    <w:top w:val="single" w:sz="6" w:space="0" w:color="BFBFBF"/>
                    <w:bottom w:val="single" w:sz="6" w:space="0" w:color="BFBFBF"/>
                  </w:tcBorders>
                  <w:shd w:val="clear" w:color="auto" w:fill="auto"/>
                </w:tcPr>
                <w:p w:rsidR="00AC2131" w:rsidRPr="00AE72BD"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AE72BD"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AE72BD"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AE72BD"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AE72BD"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AE72BD"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AE72BD"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BF2321" w:rsidRDefault="00AC2131" w:rsidP="00AC2131">
                  <w:pPr>
                    <w:pStyle w:val="TableBodyText"/>
                    <w:jc w:val="left"/>
                  </w:pPr>
                  <w:r>
                    <w:t xml:space="preserve">Fee or </w:t>
                  </w:r>
                  <w:r w:rsidRPr="00BF2321">
                    <w:t>Contract</w:t>
                  </w:r>
                  <w:r>
                    <w:t xml:space="preserve"> Property Management</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3357A8" w:rsidRDefault="00AC2131" w:rsidP="00AC2131">
                  <w:pPr>
                    <w:jc w:val="center"/>
                    <w:rPr>
                      <w:b/>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3357A8" w:rsidRDefault="00AC2131" w:rsidP="00AC2131">
                  <w:pPr>
                    <w:jc w:val="center"/>
                    <w:rPr>
                      <w:b/>
                    </w:rPr>
                  </w:pPr>
                  <w:r>
                    <w:rPr>
                      <w:rFonts w:ascii="Tahoma" w:hAnsi="Tahoma" w:cs="Tahoma"/>
                      <w:cs/>
                      <w:lang w:bidi="th-TH"/>
                    </w:rPr>
                    <w:t>๐</w:t>
                  </w:r>
                </w:p>
              </w:tc>
              <w:tc>
                <w:tcPr>
                  <w:tcW w:w="297" w:type="pct"/>
                  <w:tcBorders>
                    <w:top w:val="single" w:sz="6" w:space="0" w:color="BFBFBF"/>
                    <w:bottom w:val="single" w:sz="6" w:space="0" w:color="BFBFBF"/>
                  </w:tcBorders>
                  <w:shd w:val="clear" w:color="auto" w:fill="auto"/>
                </w:tcPr>
                <w:p w:rsidR="00AC2131" w:rsidRPr="003357A8" w:rsidRDefault="00AC2131" w:rsidP="00AC2131">
                  <w:pPr>
                    <w:jc w:val="center"/>
                    <w:rPr>
                      <w:b/>
                    </w:rPr>
                  </w:pPr>
                  <w:r>
                    <w:rPr>
                      <w:b/>
                    </w:rPr>
                    <w:t>*</w:t>
                  </w:r>
                </w:p>
              </w:tc>
              <w:tc>
                <w:tcPr>
                  <w:tcW w:w="315" w:type="pct"/>
                  <w:tcBorders>
                    <w:top w:val="single" w:sz="6" w:space="0" w:color="BFBFBF"/>
                    <w:bottom w:val="single" w:sz="6" w:space="0" w:color="BFBFBF"/>
                  </w:tcBorders>
                  <w:shd w:val="clear" w:color="auto" w:fill="auto"/>
                </w:tcPr>
                <w:p w:rsidR="00AC2131" w:rsidRPr="003357A8" w:rsidRDefault="00AC2131" w:rsidP="00AC2131">
                  <w:pPr>
                    <w:jc w:val="center"/>
                    <w:rPr>
                      <w:b/>
                    </w:rPr>
                  </w:pPr>
                  <w:r>
                    <w:rPr>
                      <w:b/>
                    </w:rPr>
                    <w:t>*</w:t>
                  </w:r>
                </w:p>
              </w:tc>
              <w:tc>
                <w:tcPr>
                  <w:tcW w:w="318" w:type="pct"/>
                  <w:tcBorders>
                    <w:top w:val="single" w:sz="6" w:space="0" w:color="BFBFBF"/>
                    <w:bottom w:val="single" w:sz="6" w:space="0" w:color="BFBFBF"/>
                  </w:tcBorders>
                  <w:shd w:val="clear" w:color="auto" w:fill="auto"/>
                </w:tcPr>
                <w:p w:rsidR="00AC2131" w:rsidRPr="003357A8" w:rsidRDefault="00AC2131" w:rsidP="00AC2131">
                  <w:pPr>
                    <w:jc w:val="center"/>
                    <w:rPr>
                      <w:b/>
                    </w:rPr>
                  </w:pPr>
                  <w:r>
                    <w:rPr>
                      <w:b/>
                    </w:rPr>
                    <w:t>*</w:t>
                  </w:r>
                </w:p>
              </w:tc>
              <w:tc>
                <w:tcPr>
                  <w:tcW w:w="315" w:type="pct"/>
                  <w:tcBorders>
                    <w:top w:val="single" w:sz="6" w:space="0" w:color="BFBFBF"/>
                    <w:bottom w:val="single" w:sz="6" w:space="0" w:color="BFBFBF"/>
                  </w:tcBorders>
                  <w:shd w:val="clear" w:color="auto" w:fill="auto"/>
                </w:tcPr>
                <w:p w:rsidR="00AC2131" w:rsidRPr="003357A8" w:rsidRDefault="00AC2131" w:rsidP="00AC2131">
                  <w:pPr>
                    <w:jc w:val="center"/>
                    <w:rPr>
                      <w:rFonts w:cs="Arial"/>
                      <w:b/>
                    </w:rPr>
                  </w:pPr>
                  <w:r>
                    <w:rPr>
                      <w:rFonts w:cs="Arial"/>
                      <w:b/>
                    </w:rPr>
                    <w:t>*</w:t>
                  </w:r>
                </w:p>
              </w:tc>
              <w:tc>
                <w:tcPr>
                  <w:tcW w:w="317" w:type="pct"/>
                  <w:tcBorders>
                    <w:top w:val="single" w:sz="6" w:space="0" w:color="BFBFBF"/>
                    <w:bottom w:val="single" w:sz="6" w:space="0" w:color="BFBFBF"/>
                  </w:tcBorders>
                  <w:shd w:val="clear" w:color="auto" w:fill="auto"/>
                </w:tcPr>
                <w:p w:rsidR="00AC2131" w:rsidRPr="003357A8" w:rsidRDefault="00AC2131" w:rsidP="00AC2131">
                  <w:pPr>
                    <w:jc w:val="center"/>
                    <w:rPr>
                      <w:rFonts w:cs="Arial"/>
                      <w:b/>
                    </w:rPr>
                  </w:pPr>
                  <w:r>
                    <w:rPr>
                      <w:rFonts w:cs="Arial"/>
                      <w:b/>
                    </w:rPr>
                    <w:t>*</w:t>
                  </w:r>
                </w:p>
              </w:tc>
              <w:tc>
                <w:tcPr>
                  <w:tcW w:w="317" w:type="pct"/>
                  <w:tcBorders>
                    <w:top w:val="single" w:sz="6" w:space="0" w:color="BFBFBF"/>
                    <w:bottom w:val="single" w:sz="6" w:space="0" w:color="BFBFBF"/>
                  </w:tcBorders>
                  <w:shd w:val="clear" w:color="auto" w:fill="auto"/>
                </w:tcPr>
                <w:p w:rsidR="00AC2131" w:rsidRPr="003357A8" w:rsidRDefault="00AC2131" w:rsidP="00AC2131">
                  <w:pPr>
                    <w:jc w:val="center"/>
                    <w:rPr>
                      <w:rFonts w:cs="Arial"/>
                      <w:b/>
                    </w:rPr>
                  </w:pPr>
                  <w:r>
                    <w:rPr>
                      <w:rFonts w:cs="Arial"/>
                      <w:b/>
                    </w:rPr>
                    <w:t>*</w:t>
                  </w:r>
                </w:p>
              </w:tc>
              <w:tc>
                <w:tcPr>
                  <w:tcW w:w="333" w:type="pct"/>
                  <w:tcBorders>
                    <w:top w:val="single" w:sz="6" w:space="0" w:color="BFBFBF"/>
                    <w:bottom w:val="single" w:sz="6" w:space="0" w:color="BFBFBF"/>
                  </w:tcBorders>
                  <w:shd w:val="clear" w:color="auto" w:fill="auto"/>
                </w:tcPr>
                <w:p w:rsidR="00AC2131" w:rsidRPr="003357A8" w:rsidRDefault="00AC2131" w:rsidP="00AC2131">
                  <w:pPr>
                    <w:jc w:val="center"/>
                    <w:rPr>
                      <w:rFonts w:cs="Arial"/>
                      <w:b/>
                    </w:rPr>
                  </w:pPr>
                  <w:r>
                    <w:rPr>
                      <w:rFonts w:cs="Arial"/>
                      <w:b/>
                    </w:rPr>
                    <w:t>*</w:t>
                  </w:r>
                </w:p>
              </w:tc>
              <w:tc>
                <w:tcPr>
                  <w:tcW w:w="329" w:type="pct"/>
                  <w:tcBorders>
                    <w:top w:val="single" w:sz="6" w:space="0" w:color="BFBFBF"/>
                    <w:bottom w:val="single" w:sz="6" w:space="0" w:color="BFBFBF"/>
                  </w:tcBorders>
                  <w:shd w:val="clear" w:color="auto" w:fill="auto"/>
                </w:tcPr>
                <w:p w:rsidR="00AC2131" w:rsidRPr="003357A8" w:rsidRDefault="00AC2131" w:rsidP="00AC2131">
                  <w:pPr>
                    <w:jc w:val="center"/>
                    <w:rPr>
                      <w:rFonts w:cs="Arial"/>
                      <w:b/>
                    </w:rPr>
                  </w:pPr>
                  <w:r>
                    <w:rPr>
                      <w:rFonts w:cs="Arial"/>
                      <w:b/>
                    </w:rPr>
                    <w:t>*</w:t>
                  </w:r>
                </w:p>
              </w:tc>
              <w:tc>
                <w:tcPr>
                  <w:tcW w:w="290" w:type="pct"/>
                  <w:tcBorders>
                    <w:top w:val="single" w:sz="6" w:space="0" w:color="BFBFBF"/>
                    <w:bottom w:val="single" w:sz="6" w:space="0" w:color="BFBFBF"/>
                  </w:tcBorders>
                  <w:shd w:val="clear" w:color="auto" w:fill="auto"/>
                </w:tcPr>
                <w:p w:rsidR="00AC2131" w:rsidRPr="003357A8" w:rsidRDefault="00AC2131" w:rsidP="00AC2131">
                  <w:pPr>
                    <w:jc w:val="center"/>
                    <w:rPr>
                      <w:rFonts w:cs="Arial"/>
                      <w:b/>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spacing w:before="40"/>
                    <w:jc w:val="left"/>
                  </w:pPr>
                  <w:r w:rsidRPr="003357A8">
                    <w:rPr>
                      <w:b/>
                    </w:rPr>
                    <w:t>Rental/Leasing</w:t>
                  </w:r>
                </w:p>
              </w:tc>
              <w:tc>
                <w:tcPr>
                  <w:tcW w:w="289"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p>
              </w:tc>
              <w:tc>
                <w:tcPr>
                  <w:tcW w:w="314"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p>
              </w:tc>
              <w:tc>
                <w:tcPr>
                  <w:tcW w:w="333"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p>
              </w:tc>
              <w:tc>
                <w:tcPr>
                  <w:tcW w:w="297"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p>
              </w:tc>
              <w:tc>
                <w:tcPr>
                  <w:tcW w:w="315"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p>
              </w:tc>
              <w:tc>
                <w:tcPr>
                  <w:tcW w:w="318"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p>
              </w:tc>
              <w:tc>
                <w:tcPr>
                  <w:tcW w:w="315" w:type="pct"/>
                  <w:tcBorders>
                    <w:top w:val="single" w:sz="6" w:space="0" w:color="BFBFBF"/>
                    <w:bottom w:val="single" w:sz="6" w:space="0" w:color="BFBFBF"/>
                  </w:tcBorders>
                  <w:shd w:val="clear" w:color="auto" w:fill="auto"/>
                </w:tcPr>
                <w:p w:rsidR="00AC2131" w:rsidRDefault="00AC2131" w:rsidP="00AC2131">
                  <w:pPr>
                    <w:spacing w:before="40"/>
                    <w:jc w:val="center"/>
                    <w:rPr>
                      <w:rFonts w:ascii="Tahoma" w:hAnsi="Tahoma" w:cs="Tahoma"/>
                      <w:cs/>
                      <w:lang w:bidi="th-TH"/>
                    </w:rPr>
                  </w:pPr>
                </w:p>
              </w:tc>
              <w:tc>
                <w:tcPr>
                  <w:tcW w:w="317"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p>
              </w:tc>
              <w:tc>
                <w:tcPr>
                  <w:tcW w:w="317"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p>
              </w:tc>
              <w:tc>
                <w:tcPr>
                  <w:tcW w:w="333"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p>
              </w:tc>
              <w:tc>
                <w:tcPr>
                  <w:tcW w:w="329"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p>
              </w:tc>
              <w:tc>
                <w:tcPr>
                  <w:tcW w:w="290"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spacing w:before="40"/>
                    <w:jc w:val="left"/>
                  </w:pPr>
                  <w:r>
                    <w:t xml:space="preserve">Shipping Related </w:t>
                  </w:r>
                </w:p>
              </w:tc>
              <w:tc>
                <w:tcPr>
                  <w:tcW w:w="289"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r w:rsidRPr="004760D9">
                    <w:rPr>
                      <w:rFonts w:cs="Arial"/>
                    </w:rPr>
                    <w:t>●</w:t>
                  </w:r>
                </w:p>
              </w:tc>
              <w:tc>
                <w:tcPr>
                  <w:tcW w:w="297"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spacing w:before="40"/>
                    <w:jc w:val="center"/>
                    <w:rPr>
                      <w:rFonts w:ascii="Tahoma" w:hAnsi="Tahoma" w:cs="Tahoma"/>
                      <w:cs/>
                      <w:lang w:bidi="th-TH"/>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38226B" w:rsidRDefault="00AC2131" w:rsidP="00AC2131">
                  <w:pPr>
                    <w:pStyle w:val="TableBodyText"/>
                    <w:spacing w:before="40"/>
                    <w:jc w:val="left"/>
                    <w:rPr>
                      <w:b/>
                    </w:rPr>
                  </w:pPr>
                  <w:r>
                    <w:t xml:space="preserve">Aircraft Related </w:t>
                  </w:r>
                </w:p>
              </w:tc>
              <w:tc>
                <w:tcPr>
                  <w:tcW w:w="289"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Default="00AC2131" w:rsidP="00AC2131">
                  <w:pPr>
                    <w:spacing w:before="40"/>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spacing w:before="40"/>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spacing w:before="40"/>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spacing w:before="40"/>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spacing w:before="40"/>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spacing w:before="40"/>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spacing w:before="40"/>
                    <w:jc w:val="center"/>
                    <w:rPr>
                      <w:rFonts w:cs="Arial"/>
                      <w:position w:val="-6"/>
                    </w:rPr>
                  </w:pPr>
                  <w:r>
                    <w:rPr>
                      <w:rFonts w:ascii="Tahoma" w:hAnsi="Tahoma" w:cs="Tahoma"/>
                      <w:cs/>
                      <w:lang w:bidi="th-TH"/>
                    </w:rPr>
                    <w:t>๐</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Construction and Mining Related</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Continued"/>
            </w:pPr>
            <w:r>
              <w:t>(continued next page)</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pPr>
        <w:rPr>
          <w:szCs w:val="20"/>
        </w:rPr>
      </w:pPr>
      <w:r>
        <w:br w:type="page"/>
      </w:r>
    </w:p>
    <w:tbl>
      <w:tblPr>
        <w:tblW w:w="13870"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70"/>
      </w:tblGrid>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D.1</w:t>
            </w:r>
            <w:r>
              <w:tab/>
            </w:r>
            <w:r w:rsidRPr="00A522EC">
              <w:rPr>
                <w:b w:val="0"/>
                <w:sz w:val="18"/>
              </w:rPr>
              <w:t>(continued)</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44"/>
              <w:gridCol w:w="784"/>
              <w:gridCol w:w="842"/>
              <w:gridCol w:w="904"/>
              <w:gridCol w:w="797"/>
              <w:gridCol w:w="851"/>
              <w:gridCol w:w="864"/>
              <w:gridCol w:w="851"/>
              <w:gridCol w:w="856"/>
              <w:gridCol w:w="856"/>
              <w:gridCol w:w="904"/>
              <w:gridCol w:w="954"/>
              <w:gridCol w:w="779"/>
            </w:tblGrid>
            <w:tr w:rsidR="00AC2131" w:rsidTr="00AC2131">
              <w:trPr>
                <w:trHeight w:val="354"/>
              </w:trPr>
              <w:tc>
                <w:tcPr>
                  <w:tcW w:w="1233"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28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14"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29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290"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Machinery and Equipment</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rsidRPr="0038226B">
                    <w:rPr>
                      <w:b/>
                    </w:rPr>
                    <w:t>Other Business Services</w:t>
                  </w:r>
                </w:p>
              </w:tc>
              <w:tc>
                <w:tcPr>
                  <w:tcW w:w="289" w:type="pct"/>
                  <w:tcBorders>
                    <w:top w:val="single" w:sz="6" w:space="0" w:color="BFBFBF"/>
                    <w:bottom w:val="single" w:sz="6" w:space="0" w:color="BFBFBF"/>
                  </w:tcBorders>
                  <w:shd w:val="clear" w:color="auto" w:fill="auto"/>
                </w:tcPr>
                <w:p w:rsidR="00AC2131" w:rsidRDefault="00AC2131" w:rsidP="00AC2131">
                  <w:pPr>
                    <w:jc w:val="center"/>
                  </w:pPr>
                </w:p>
              </w:tc>
              <w:tc>
                <w:tcPr>
                  <w:tcW w:w="314"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297" w:type="pct"/>
                  <w:tcBorders>
                    <w:top w:val="single" w:sz="6" w:space="0" w:color="BFBFBF"/>
                    <w:bottom w:val="single" w:sz="6" w:space="0" w:color="BFBFBF"/>
                  </w:tcBorders>
                  <w:shd w:val="clear" w:color="auto" w:fill="auto"/>
                </w:tcPr>
                <w:p w:rsidR="00AC2131" w:rsidRDefault="00AC2131" w:rsidP="00AC2131">
                  <w:pPr>
                    <w:jc w:val="center"/>
                  </w:pPr>
                </w:p>
              </w:tc>
              <w:tc>
                <w:tcPr>
                  <w:tcW w:w="315"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p>
              </w:tc>
              <w:tc>
                <w:tcPr>
                  <w:tcW w:w="317" w:type="pct"/>
                  <w:tcBorders>
                    <w:top w:val="single" w:sz="6" w:space="0" w:color="BFBFBF"/>
                    <w:bottom w:val="single" w:sz="6" w:space="0" w:color="BFBFBF"/>
                  </w:tcBorders>
                  <w:shd w:val="clear" w:color="auto" w:fill="auto"/>
                </w:tcPr>
                <w:p w:rsidR="00AC2131" w:rsidRDefault="00AC2131" w:rsidP="00AC2131">
                  <w:pPr>
                    <w:jc w:val="center"/>
                  </w:pPr>
                </w:p>
              </w:tc>
              <w:tc>
                <w:tcPr>
                  <w:tcW w:w="317"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329" w:type="pct"/>
                  <w:tcBorders>
                    <w:top w:val="single" w:sz="6" w:space="0" w:color="BFBFBF"/>
                    <w:bottom w:val="single" w:sz="6" w:space="0" w:color="BFBFBF"/>
                  </w:tcBorders>
                  <w:shd w:val="clear" w:color="auto" w:fill="auto"/>
                </w:tcPr>
                <w:p w:rsidR="00AC2131" w:rsidRDefault="00AC2131" w:rsidP="00AC2131">
                  <w:pPr>
                    <w:jc w:val="center"/>
                  </w:pPr>
                </w:p>
              </w:tc>
              <w:tc>
                <w:tcPr>
                  <w:tcW w:w="290" w:type="pct"/>
                  <w:tcBorders>
                    <w:top w:val="single" w:sz="6" w:space="0" w:color="BFBFBF"/>
                    <w:bottom w:val="single" w:sz="6" w:space="0" w:color="BFBFBF"/>
                  </w:tcBorders>
                  <w:shd w:val="clear" w:color="auto" w:fill="auto"/>
                </w:tcPr>
                <w:p w:rsidR="00AC2131" w:rsidRDefault="00AC2131" w:rsidP="00AC2131">
                  <w:pPr>
                    <w:jc w:val="center"/>
                  </w:pP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Advertising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Market Research </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Management Consulting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Related Management Consulting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DC01EE" w:rsidRDefault="00AC2131" w:rsidP="00AC2131">
                  <w:pPr>
                    <w:pStyle w:val="TableBodyText"/>
                    <w:jc w:val="left"/>
                  </w:pPr>
                  <w:r w:rsidRPr="00DC01EE">
                    <w:t xml:space="preserve">Technical Testing and Analysis </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60D9">
                    <w:rPr>
                      <w:rFonts w:cs="Arial"/>
                    </w:rPr>
                    <w:t>●</w:t>
                  </w:r>
                </w:p>
              </w:tc>
              <w:tc>
                <w:tcPr>
                  <w:tcW w:w="297"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60D9">
                    <w:rPr>
                      <w:rFonts w:cs="Arial"/>
                    </w:rPr>
                    <w:t>●</w:t>
                  </w:r>
                </w:p>
              </w:tc>
              <w:tc>
                <w:tcPr>
                  <w:tcW w:w="315" w:type="pct"/>
                  <w:tcBorders>
                    <w:top w:val="single" w:sz="6" w:space="0" w:color="BFBFBF"/>
                    <w:bottom w:val="single" w:sz="6" w:space="0" w:color="BFBFBF"/>
                  </w:tcBorders>
                  <w:shd w:val="clear" w:color="auto" w:fill="auto"/>
                </w:tcPr>
                <w:p w:rsidR="00AC2131" w:rsidRPr="00DB2EFD" w:rsidRDefault="00AC2131" w:rsidP="00AC2131">
                  <w:pPr>
                    <w:jc w:val="center"/>
                    <w:rPr>
                      <w:b/>
                    </w:rP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Pr="00DB2EFD" w:rsidRDefault="00AC2131" w:rsidP="00AC2131">
                  <w:pPr>
                    <w:jc w:val="center"/>
                    <w:rPr>
                      <w:b/>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DC01EE" w:rsidRDefault="00AC2131" w:rsidP="00AC2131">
                  <w:pPr>
                    <w:pStyle w:val="TableBodyText"/>
                    <w:jc w:val="left"/>
                  </w:pPr>
                  <w:r>
                    <w:t xml:space="preserve">Agriculture and Fishing Incidental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60D9">
                    <w:rPr>
                      <w:rFonts w:cs="Arial"/>
                    </w:rPr>
                    <w:t>●</w:t>
                  </w:r>
                </w:p>
              </w:tc>
              <w:tc>
                <w:tcPr>
                  <w:tcW w:w="315" w:type="pct"/>
                  <w:tcBorders>
                    <w:top w:val="single" w:sz="6" w:space="0" w:color="BFBFBF"/>
                    <w:bottom w:val="single" w:sz="6" w:space="0" w:color="BFBFBF"/>
                  </w:tcBorders>
                  <w:shd w:val="clear" w:color="auto" w:fill="auto"/>
                </w:tcPr>
                <w:p w:rsidR="00AC2131" w:rsidRPr="00DB2EFD" w:rsidRDefault="00AC2131" w:rsidP="00AC2131">
                  <w:pPr>
                    <w:jc w:val="center"/>
                    <w:rPr>
                      <w:b/>
                    </w:rP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Animal Husbandry Incidental</w:t>
                  </w:r>
                </w:p>
              </w:tc>
              <w:tc>
                <w:tcPr>
                  <w:tcW w:w="28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297" w:type="pct"/>
                  <w:tcBorders>
                    <w:top w:val="single" w:sz="6" w:space="0" w:color="BFBFBF"/>
                    <w:bottom w:val="single" w:sz="6" w:space="0" w:color="BFBFBF"/>
                  </w:tcBorders>
                  <w:shd w:val="clear" w:color="auto" w:fill="auto"/>
                </w:tcPr>
                <w:p w:rsidR="00AC2131" w:rsidRPr="00DB2EFD" w:rsidRDefault="00AC2131" w:rsidP="00AC2131">
                  <w:pPr>
                    <w:jc w:val="center"/>
                    <w:rPr>
                      <w:b/>
                    </w:rPr>
                  </w:pPr>
                  <w:r>
                    <w:rPr>
                      <w:b/>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Building Cleaning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60D9">
                    <w:rPr>
                      <w:rFonts w:cs="Arial"/>
                    </w:rPr>
                    <w:t>●</w:t>
                  </w:r>
                </w:p>
              </w:tc>
              <w:tc>
                <w:tcPr>
                  <w:tcW w:w="297" w:type="pct"/>
                  <w:tcBorders>
                    <w:top w:val="single" w:sz="6" w:space="0" w:color="BFBFBF"/>
                    <w:bottom w:val="single" w:sz="6" w:space="0" w:color="BFBFBF"/>
                  </w:tcBorders>
                  <w:shd w:val="clear" w:color="auto" w:fill="auto"/>
                </w:tcPr>
                <w:p w:rsidR="00AC2131" w:rsidRPr="00DB2EFD" w:rsidRDefault="00AC2131" w:rsidP="00AC2131">
                  <w:pPr>
                    <w:jc w:val="center"/>
                    <w:rPr>
                      <w:b/>
                    </w:rPr>
                  </w:pPr>
                  <w:r>
                    <w:rPr>
                      <w:b/>
                    </w:rPr>
                    <w:t>*</w:t>
                  </w:r>
                </w:p>
              </w:tc>
              <w:tc>
                <w:tcPr>
                  <w:tcW w:w="315"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Photographic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60D9">
                    <w:rPr>
                      <w:rFonts w:cs="Arial"/>
                    </w:rPr>
                    <w:t>●</w:t>
                  </w:r>
                </w:p>
              </w:tc>
              <w:tc>
                <w:tcPr>
                  <w:tcW w:w="297" w:type="pct"/>
                  <w:tcBorders>
                    <w:top w:val="single" w:sz="6" w:space="0" w:color="BFBFBF"/>
                    <w:bottom w:val="single" w:sz="6" w:space="0" w:color="BFBFBF"/>
                  </w:tcBorders>
                  <w:shd w:val="clear" w:color="auto" w:fill="auto"/>
                </w:tcPr>
                <w:p w:rsidR="00AC2131" w:rsidRPr="00DB2EFD" w:rsidRDefault="00AC2131" w:rsidP="00AC2131">
                  <w:pPr>
                    <w:jc w:val="center"/>
                    <w:rPr>
                      <w:b/>
                    </w:rPr>
                  </w:pPr>
                  <w:r>
                    <w:rPr>
                      <w:b/>
                    </w:rPr>
                    <w:t>*</w:t>
                  </w:r>
                </w:p>
              </w:tc>
              <w:tc>
                <w:tcPr>
                  <w:tcW w:w="315"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Packaging </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60D9">
                    <w:rPr>
                      <w:rFonts w:cs="Arial"/>
                    </w:rPr>
                    <w:t>●</w:t>
                  </w:r>
                </w:p>
              </w:tc>
              <w:tc>
                <w:tcPr>
                  <w:tcW w:w="297"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60D9">
                    <w:rPr>
                      <w:rFonts w:cs="Arial"/>
                    </w:rPr>
                    <w:t>●</w:t>
                  </w:r>
                </w:p>
              </w:tc>
              <w:tc>
                <w:tcPr>
                  <w:tcW w:w="315"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Publishing and Printing</w:t>
                  </w:r>
                </w:p>
              </w:tc>
              <w:tc>
                <w:tcPr>
                  <w:tcW w:w="289"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Convention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297" w:type="pct"/>
                  <w:tcBorders>
                    <w:top w:val="single" w:sz="6" w:space="0" w:color="BFBFBF"/>
                    <w:bottom w:val="single" w:sz="6" w:space="0" w:color="BFBFBF"/>
                  </w:tcBorders>
                  <w:shd w:val="clear" w:color="auto" w:fill="auto"/>
                </w:tcPr>
                <w:p w:rsidR="00AC2131" w:rsidRPr="00DB2EFD" w:rsidRDefault="00AC2131" w:rsidP="00AC2131">
                  <w:pPr>
                    <w:jc w:val="center"/>
                    <w:rPr>
                      <w:b/>
                    </w:rPr>
                  </w:pPr>
                  <w:r>
                    <w:rPr>
                      <w:b/>
                    </w:rPr>
                    <w:t>*</w:t>
                  </w:r>
                </w:p>
              </w:tc>
              <w:tc>
                <w:tcPr>
                  <w:tcW w:w="315"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Interior Design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297" w:type="pct"/>
                  <w:tcBorders>
                    <w:top w:val="single" w:sz="6" w:space="0" w:color="BFBFBF"/>
                    <w:bottom w:val="single" w:sz="6" w:space="0" w:color="BFBFBF"/>
                  </w:tcBorders>
                  <w:shd w:val="clear" w:color="auto" w:fill="auto"/>
                </w:tcPr>
                <w:p w:rsidR="00AC2131" w:rsidRPr="00DB2EFD" w:rsidRDefault="00AC2131" w:rsidP="00AC2131">
                  <w:pPr>
                    <w:jc w:val="center"/>
                    <w:rPr>
                      <w:b/>
                    </w:rPr>
                  </w:pPr>
                  <w:r>
                    <w:rPr>
                      <w:b/>
                    </w:rPr>
                    <w:t>*</w:t>
                  </w:r>
                </w:p>
              </w:tc>
              <w:tc>
                <w:tcPr>
                  <w:tcW w:w="315"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DB2EFD" w:rsidRDefault="00AC2131" w:rsidP="00AC2131">
                  <w:pPr>
                    <w:jc w:val="center"/>
                    <w:rPr>
                      <w:b/>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B2EFD" w:rsidRDefault="00AC2131" w:rsidP="00AC2131">
                  <w:pPr>
                    <w:jc w:val="center"/>
                    <w:rPr>
                      <w:rFonts w:cs="Arial"/>
                      <w:b/>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tcBorders>
                  <w:shd w:val="clear" w:color="auto" w:fill="auto"/>
                  <w:tcMar>
                    <w:top w:w="28" w:type="dxa"/>
                  </w:tcMar>
                  <w:vAlign w:val="center"/>
                </w:tcPr>
                <w:p w:rsidR="00AC2131" w:rsidRDefault="00AC2131" w:rsidP="00AC2131">
                  <w:pPr>
                    <w:pStyle w:val="TableBodyText"/>
                    <w:jc w:val="left"/>
                  </w:pPr>
                  <w:r>
                    <w:t>Credit reporting</w:t>
                  </w:r>
                </w:p>
              </w:tc>
              <w:tc>
                <w:tcPr>
                  <w:tcW w:w="289"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tcBorders>
                  <w:shd w:val="clear" w:color="auto" w:fill="auto"/>
                </w:tcPr>
                <w:p w:rsidR="00AC2131" w:rsidRPr="00CB3BCB" w:rsidRDefault="00AC2131" w:rsidP="00AC2131">
                  <w:pPr>
                    <w:jc w:val="center"/>
                  </w:pPr>
                  <w:r w:rsidRPr="004760D9">
                    <w:rPr>
                      <w:rFonts w:cs="Arial"/>
                    </w:rPr>
                    <w:t>●</w:t>
                  </w:r>
                </w:p>
              </w:tc>
              <w:tc>
                <w:tcPr>
                  <w:tcW w:w="333" w:type="pct"/>
                  <w:tcBorders>
                    <w:top w:val="single" w:sz="6" w:space="0" w:color="BFBFBF"/>
                  </w:tcBorders>
                  <w:shd w:val="clear" w:color="auto" w:fill="auto"/>
                </w:tcPr>
                <w:p w:rsidR="00AC2131" w:rsidRPr="00CB3BCB" w:rsidRDefault="00AC2131" w:rsidP="00AC2131">
                  <w:pPr>
                    <w:jc w:val="center"/>
                  </w:pPr>
                  <w:r>
                    <w:t>*</w:t>
                  </w:r>
                </w:p>
              </w:tc>
              <w:tc>
                <w:tcPr>
                  <w:tcW w:w="297" w:type="pct"/>
                  <w:tcBorders>
                    <w:top w:val="single" w:sz="6" w:space="0" w:color="BFBFBF"/>
                  </w:tcBorders>
                  <w:shd w:val="clear" w:color="auto" w:fill="auto"/>
                </w:tcPr>
                <w:p w:rsidR="00AC2131" w:rsidRPr="00CB3BCB" w:rsidRDefault="00AC2131" w:rsidP="00AC2131">
                  <w:pPr>
                    <w:jc w:val="center"/>
                  </w:pPr>
                  <w:r>
                    <w:t>*</w:t>
                  </w:r>
                </w:p>
              </w:tc>
              <w:tc>
                <w:tcPr>
                  <w:tcW w:w="315" w:type="pct"/>
                  <w:tcBorders>
                    <w:top w:val="single" w:sz="6" w:space="0" w:color="BFBFBF"/>
                  </w:tcBorders>
                  <w:shd w:val="clear" w:color="auto" w:fill="auto"/>
                </w:tcPr>
                <w:p w:rsidR="00AC2131" w:rsidRPr="00CB3BCB" w:rsidRDefault="00AC2131" w:rsidP="00AC2131">
                  <w:pPr>
                    <w:jc w:val="center"/>
                    <w:rPr>
                      <w:rFonts w:ascii="Tahoma" w:hAnsi="Tahoma" w:cs="Tahoma"/>
                      <w:cs/>
                      <w:lang w:bidi="th-TH"/>
                    </w:rPr>
                  </w:pPr>
                  <w:r>
                    <w:rPr>
                      <w:rFonts w:ascii="Tahoma" w:hAnsi="Tahoma" w:cs="Tahoma"/>
                      <w:lang w:bidi="th-TH"/>
                    </w:rPr>
                    <w:t>*</w:t>
                  </w:r>
                </w:p>
              </w:tc>
              <w:tc>
                <w:tcPr>
                  <w:tcW w:w="318"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tcBorders>
                  <w:shd w:val="clear" w:color="auto" w:fill="auto"/>
                </w:tcPr>
                <w:p w:rsidR="00AC2131" w:rsidRPr="00CB3BCB" w:rsidRDefault="00AC2131" w:rsidP="00AC2131">
                  <w:pPr>
                    <w:jc w:val="center"/>
                    <w:rPr>
                      <w:rFonts w:cs="Arial"/>
                    </w:rPr>
                  </w:pPr>
                  <w:r>
                    <w:rPr>
                      <w:rFonts w:cs="Arial"/>
                    </w:rPr>
                    <w:t>*</w:t>
                  </w:r>
                </w:p>
              </w:tc>
              <w:tc>
                <w:tcPr>
                  <w:tcW w:w="317"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Continued"/>
            </w:pPr>
            <w:r>
              <w:t>(continued next page)</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D.1</w:t>
            </w:r>
            <w:r>
              <w:tab/>
            </w:r>
            <w:r w:rsidRPr="00A522EC">
              <w:rPr>
                <w:b w:val="0"/>
                <w:sz w:val="18"/>
              </w:rPr>
              <w:t>(continued)</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44"/>
              <w:gridCol w:w="784"/>
              <w:gridCol w:w="842"/>
              <w:gridCol w:w="904"/>
              <w:gridCol w:w="797"/>
              <w:gridCol w:w="851"/>
              <w:gridCol w:w="864"/>
              <w:gridCol w:w="851"/>
              <w:gridCol w:w="856"/>
              <w:gridCol w:w="856"/>
              <w:gridCol w:w="904"/>
              <w:gridCol w:w="954"/>
              <w:gridCol w:w="779"/>
            </w:tblGrid>
            <w:tr w:rsidR="00AC2131" w:rsidTr="00AC2131">
              <w:trPr>
                <w:trHeight w:val="354"/>
              </w:trPr>
              <w:tc>
                <w:tcPr>
                  <w:tcW w:w="1233"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28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14"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29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290"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Collection agency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CB3BCB"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Pr="00CB3BCB" w:rsidRDefault="00AC2131" w:rsidP="00AC2131">
                  <w:pPr>
                    <w:jc w:val="center"/>
                  </w:pPr>
                  <w:r>
                    <w:t>*</w:t>
                  </w:r>
                </w:p>
              </w:tc>
              <w:tc>
                <w:tcPr>
                  <w:tcW w:w="297" w:type="pct"/>
                  <w:tcBorders>
                    <w:top w:val="single" w:sz="6" w:space="0" w:color="BFBFBF"/>
                    <w:bottom w:val="single" w:sz="6" w:space="0" w:color="BFBFBF"/>
                  </w:tcBorders>
                  <w:shd w:val="clear" w:color="auto" w:fill="auto"/>
                </w:tcPr>
                <w:p w:rsidR="00AC2131" w:rsidRPr="00CB3BCB" w:rsidRDefault="00AC2131" w:rsidP="00AC2131">
                  <w:pPr>
                    <w:jc w:val="center"/>
                  </w:pPr>
                  <w:r>
                    <w:t>*</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rPr>
                      <w:rFonts w:ascii="Tahoma" w:hAnsi="Tahoma" w:cs="Tahoma"/>
                      <w:cs/>
                      <w:lang w:bidi="th-TH"/>
                    </w:rPr>
                  </w:pPr>
                  <w:r>
                    <w:rPr>
                      <w:rFonts w:ascii="Tahoma" w:hAnsi="Tahoma" w:cs="Tahoma"/>
                      <w:lang w:bidi="th-TH"/>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r>
                    <w:rPr>
                      <w:rFonts w:cs="Arial"/>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Telephone answering</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CB3BCB"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Pr="00CB3BCB" w:rsidRDefault="00AC2131" w:rsidP="00AC2131">
                  <w:pPr>
                    <w:jc w:val="center"/>
                  </w:pPr>
                  <w:r>
                    <w:t>*</w:t>
                  </w:r>
                </w:p>
              </w:tc>
              <w:tc>
                <w:tcPr>
                  <w:tcW w:w="297" w:type="pct"/>
                  <w:tcBorders>
                    <w:top w:val="single" w:sz="6" w:space="0" w:color="BFBFBF"/>
                    <w:bottom w:val="single" w:sz="6" w:space="0" w:color="BFBFBF"/>
                  </w:tcBorders>
                  <w:shd w:val="clear" w:color="auto" w:fill="auto"/>
                </w:tcPr>
                <w:p w:rsidR="00AC2131" w:rsidRPr="00CB3BCB" w:rsidRDefault="00AC2131" w:rsidP="00AC2131">
                  <w:pPr>
                    <w:jc w:val="center"/>
                  </w:pPr>
                  <w:r>
                    <w:t>*</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rPr>
                      <w:rFonts w:ascii="Tahoma" w:hAnsi="Tahoma" w:cs="Tahoma"/>
                      <w:cs/>
                      <w:lang w:bidi="th-TH"/>
                    </w:rPr>
                  </w:pPr>
                  <w:r>
                    <w:rPr>
                      <w:rFonts w:ascii="Tahoma" w:hAnsi="Tahoma" w:cs="Tahoma"/>
                      <w:lang w:bidi="th-TH"/>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r>
                    <w:rPr>
                      <w:rFonts w:cs="Arial"/>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Duplicating</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CB3BCB"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Pr="00CB3BCB" w:rsidRDefault="00AC2131" w:rsidP="00AC2131">
                  <w:pPr>
                    <w:jc w:val="center"/>
                  </w:pPr>
                  <w:r>
                    <w:t>*</w:t>
                  </w:r>
                </w:p>
              </w:tc>
              <w:tc>
                <w:tcPr>
                  <w:tcW w:w="297" w:type="pct"/>
                  <w:tcBorders>
                    <w:top w:val="single" w:sz="6" w:space="0" w:color="BFBFBF"/>
                    <w:bottom w:val="single" w:sz="6" w:space="0" w:color="BFBFBF"/>
                  </w:tcBorders>
                  <w:shd w:val="clear" w:color="auto" w:fill="auto"/>
                </w:tcPr>
                <w:p w:rsidR="00AC2131" w:rsidRPr="00CB3BCB" w:rsidRDefault="00AC2131" w:rsidP="00AC2131">
                  <w:pPr>
                    <w:jc w:val="center"/>
                  </w:pPr>
                  <w:r>
                    <w:t>*</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rPr>
                      <w:rFonts w:ascii="Tahoma" w:hAnsi="Tahoma" w:cs="Tahoma"/>
                      <w:cs/>
                      <w:lang w:bidi="th-TH"/>
                    </w:rPr>
                  </w:pPr>
                  <w:r>
                    <w:rPr>
                      <w:rFonts w:ascii="Tahoma" w:hAnsi="Tahoma" w:cs="Tahoma"/>
                      <w:lang w:bidi="th-TH"/>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r>
                    <w:rPr>
                      <w:rFonts w:cs="Arial"/>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CB3BCB" w:rsidRDefault="00AC2131" w:rsidP="00AC2131">
                  <w:pPr>
                    <w:pStyle w:val="TableBodyText"/>
                    <w:jc w:val="left"/>
                  </w:pPr>
                  <w:r>
                    <w:t>Incidental to Mining</w:t>
                  </w:r>
                </w:p>
              </w:tc>
              <w:tc>
                <w:tcPr>
                  <w:tcW w:w="289"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4" w:type="pct"/>
                  <w:tcBorders>
                    <w:top w:val="single" w:sz="6" w:space="0" w:color="BFBFBF"/>
                    <w:bottom w:val="single" w:sz="6" w:space="0" w:color="BFBFBF"/>
                  </w:tcBorders>
                  <w:shd w:val="clear" w:color="auto" w:fill="auto"/>
                </w:tcPr>
                <w:p w:rsidR="00AC2131" w:rsidRPr="00CB3BCB" w:rsidRDefault="00AC2131" w:rsidP="00AC2131">
                  <w:pPr>
                    <w:jc w:val="center"/>
                  </w:pPr>
                  <w:r>
                    <w:t>*</w:t>
                  </w:r>
                </w:p>
              </w:tc>
              <w:tc>
                <w:tcPr>
                  <w:tcW w:w="333" w:type="pct"/>
                  <w:tcBorders>
                    <w:top w:val="single" w:sz="6" w:space="0" w:color="BFBFBF"/>
                    <w:bottom w:val="single" w:sz="6" w:space="0" w:color="BFBFBF"/>
                  </w:tcBorders>
                  <w:shd w:val="clear" w:color="auto" w:fill="auto"/>
                </w:tcPr>
                <w:p w:rsidR="00AC2131" w:rsidRPr="00CB3BCB" w:rsidRDefault="00AC2131" w:rsidP="00AC2131">
                  <w:pPr>
                    <w:jc w:val="center"/>
                  </w:pPr>
                  <w:r>
                    <w:t>*</w:t>
                  </w:r>
                </w:p>
              </w:tc>
              <w:tc>
                <w:tcPr>
                  <w:tcW w:w="297" w:type="pct"/>
                  <w:tcBorders>
                    <w:top w:val="single" w:sz="6" w:space="0" w:color="BFBFBF"/>
                    <w:bottom w:val="single" w:sz="6" w:space="0" w:color="BFBFBF"/>
                  </w:tcBorders>
                  <w:shd w:val="clear" w:color="auto" w:fill="auto"/>
                </w:tcPr>
                <w:p w:rsidR="00AC2131" w:rsidRPr="00CB3BCB" w:rsidRDefault="00AC2131" w:rsidP="00AC2131">
                  <w:pPr>
                    <w:jc w:val="center"/>
                  </w:pPr>
                  <w:r w:rsidRPr="004760D9">
                    <w:rPr>
                      <w:rFonts w:cs="Arial"/>
                    </w:rPr>
                    <w:t>●</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pPr>
                  <w:r w:rsidRPr="00CB3BCB">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Pr="00CB3BCB"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r>
                    <w:rPr>
                      <w:rFonts w:cs="Arial"/>
                    </w:rPr>
                    <w:t>*</w:t>
                  </w:r>
                </w:p>
              </w:tc>
              <w:tc>
                <w:tcPr>
                  <w:tcW w:w="317"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Incidental to Manufacturing</w:t>
                  </w:r>
                </w:p>
              </w:tc>
              <w:tc>
                <w:tcPr>
                  <w:tcW w:w="289"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rPr>
                      <w:rFonts w:ascii="Tahoma" w:hAnsi="Tahoma" w:cs="Tahoma"/>
                      <w:cs/>
                      <w:lang w:bidi="th-TH"/>
                    </w:rPr>
                  </w:pPr>
                  <w:r w:rsidRPr="00CB3BCB">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Energy Distribution Incidental </w:t>
                  </w:r>
                </w:p>
              </w:tc>
              <w:tc>
                <w:tcPr>
                  <w:tcW w:w="289" w:type="pct"/>
                  <w:tcBorders>
                    <w:top w:val="single" w:sz="6" w:space="0" w:color="BFBFBF"/>
                    <w:bottom w:val="single" w:sz="6" w:space="0" w:color="BFBFBF"/>
                  </w:tcBorders>
                  <w:shd w:val="clear" w:color="auto" w:fill="auto"/>
                </w:tcPr>
                <w:p w:rsidR="00AC2131"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Personnel Placement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Site Investigation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Site Preparation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Engineering Works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Water Well Drilling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CB3BCB" w:rsidRDefault="00AC2131" w:rsidP="00AC2131">
                  <w:pPr>
                    <w:pStyle w:val="TableBodyText"/>
                    <w:jc w:val="left"/>
                  </w:pPr>
                  <w:r w:rsidRPr="00CB3BCB">
                    <w:t xml:space="preserve">Scientific/Technical Consulting </w:t>
                  </w:r>
                </w:p>
              </w:tc>
              <w:tc>
                <w:tcPr>
                  <w:tcW w:w="289"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4" w:type="pct"/>
                  <w:tcBorders>
                    <w:top w:val="single" w:sz="6" w:space="0" w:color="BFBFBF"/>
                    <w:bottom w:val="single" w:sz="6" w:space="0" w:color="BFBFBF"/>
                  </w:tcBorders>
                  <w:shd w:val="clear" w:color="auto" w:fill="auto"/>
                </w:tcPr>
                <w:p w:rsidR="00AC2131" w:rsidRPr="00CB3BCB" w:rsidRDefault="00AC2131" w:rsidP="00AC2131">
                  <w:pPr>
                    <w:jc w:val="center"/>
                  </w:pPr>
                  <w:r>
                    <w:t>*</w:t>
                  </w:r>
                </w:p>
              </w:tc>
              <w:tc>
                <w:tcPr>
                  <w:tcW w:w="333" w:type="pct"/>
                  <w:tcBorders>
                    <w:top w:val="single" w:sz="6" w:space="0" w:color="BFBFBF"/>
                    <w:bottom w:val="single" w:sz="6" w:space="0" w:color="BFBFBF"/>
                  </w:tcBorders>
                  <w:shd w:val="clear" w:color="auto" w:fill="auto"/>
                </w:tcPr>
                <w:p w:rsidR="00AC2131" w:rsidRPr="00CB3BCB" w:rsidRDefault="00AC2131" w:rsidP="00AC2131">
                  <w:pPr>
                    <w:jc w:val="center"/>
                  </w:pPr>
                  <w:r>
                    <w:t>*</w:t>
                  </w:r>
                </w:p>
              </w:tc>
              <w:tc>
                <w:tcPr>
                  <w:tcW w:w="297" w:type="pct"/>
                  <w:tcBorders>
                    <w:top w:val="single" w:sz="6" w:space="0" w:color="BFBFBF"/>
                    <w:bottom w:val="single" w:sz="6" w:space="0" w:color="BFBFBF"/>
                  </w:tcBorders>
                  <w:shd w:val="clear" w:color="auto" w:fill="auto"/>
                </w:tcPr>
                <w:p w:rsidR="00AC2131" w:rsidRPr="00CB3BCB" w:rsidRDefault="00AC2131" w:rsidP="00AC2131">
                  <w:pPr>
                    <w:jc w:val="center"/>
                  </w:pPr>
                  <w:r>
                    <w:rPr>
                      <w:rFonts w:cs="Arial"/>
                    </w:rPr>
                    <w:t>*</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pPr>
                  <w:r w:rsidRPr="00CB3BCB">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Pr="00CB3BCB"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p>
              </w:tc>
              <w:tc>
                <w:tcPr>
                  <w:tcW w:w="317"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CB3BCB"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Geological, Geophysical and Other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Subsurface Survey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tcBorders>
                  <w:shd w:val="clear" w:color="auto" w:fill="auto"/>
                  <w:tcMar>
                    <w:top w:w="28" w:type="dxa"/>
                  </w:tcMar>
                  <w:vAlign w:val="center"/>
                </w:tcPr>
                <w:p w:rsidR="00AC2131" w:rsidRDefault="00AC2131" w:rsidP="00AC2131">
                  <w:pPr>
                    <w:pStyle w:val="TableBodyText"/>
                    <w:jc w:val="left"/>
                  </w:pPr>
                  <w:r>
                    <w:t xml:space="preserve">Equipment maintenance </w:t>
                  </w:r>
                </w:p>
              </w:tc>
              <w:tc>
                <w:tcPr>
                  <w:tcW w:w="289" w:type="pct"/>
                  <w:tcBorders>
                    <w:top w:val="single" w:sz="6" w:space="0" w:color="BFBFBF"/>
                  </w:tcBorders>
                  <w:shd w:val="clear" w:color="auto" w:fill="auto"/>
                </w:tcPr>
                <w:p w:rsidR="00AC2131" w:rsidRDefault="00AC2131" w:rsidP="00AC2131">
                  <w:pPr>
                    <w:jc w:val="center"/>
                    <w:rPr>
                      <w:rFonts w:cs="Arial"/>
                    </w:rPr>
                  </w:pPr>
                  <w:r w:rsidRPr="0047728F">
                    <w:rPr>
                      <w:rFonts w:cs="Arial"/>
                      <w:position w:val="-6"/>
                    </w:rPr>
                    <w:t>*</w:t>
                  </w:r>
                </w:p>
              </w:tc>
              <w:tc>
                <w:tcPr>
                  <w:tcW w:w="314" w:type="pct"/>
                  <w:tcBorders>
                    <w:top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7" w:type="pct"/>
                  <w:tcBorders>
                    <w:top w:val="single" w:sz="6" w:space="0" w:color="BFBFBF"/>
                  </w:tcBorders>
                  <w:shd w:val="clear" w:color="auto" w:fill="auto"/>
                </w:tcPr>
                <w:p w:rsidR="00AC2131" w:rsidRPr="004760D9" w:rsidRDefault="00AC2131" w:rsidP="00AC2131">
                  <w:pPr>
                    <w:jc w:val="center"/>
                    <w:rPr>
                      <w:rFonts w:cs="Arial"/>
                    </w:rPr>
                  </w:pPr>
                  <w:r>
                    <w:rPr>
                      <w:rFonts w:cs="Arial"/>
                    </w:rPr>
                    <w:t>*</w:t>
                  </w:r>
                </w:p>
              </w:tc>
              <w:tc>
                <w:tcPr>
                  <w:tcW w:w="315" w:type="pct"/>
                  <w:tcBorders>
                    <w:top w:val="single" w:sz="6" w:space="0" w:color="BFBFBF"/>
                  </w:tcBorders>
                  <w:shd w:val="clear" w:color="auto" w:fill="auto"/>
                </w:tcPr>
                <w:p w:rsidR="00AC2131" w:rsidRDefault="00AC2131" w:rsidP="00AC2131">
                  <w:pPr>
                    <w:jc w:val="center"/>
                  </w:pPr>
                  <w:r w:rsidRPr="00CB3BCB">
                    <w:rPr>
                      <w:rFonts w:ascii="Tahoma" w:hAnsi="Tahoma" w:cs="Tahoma"/>
                      <w:cs/>
                      <w:lang w:bidi="th-TH"/>
                    </w:rPr>
                    <w:t>๐</w:t>
                  </w:r>
                </w:p>
              </w:tc>
              <w:tc>
                <w:tcPr>
                  <w:tcW w:w="318" w:type="pct"/>
                  <w:tcBorders>
                    <w:top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5" w:type="pct"/>
                  <w:tcBorders>
                    <w:top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17"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Continued"/>
            </w:pPr>
            <w:r>
              <w:t>(continued next page)</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tbl>
      <w:tblPr>
        <w:tblW w:w="13870"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70"/>
      </w:tblGrid>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D.1</w:t>
            </w:r>
            <w:r>
              <w:tab/>
            </w:r>
            <w:r w:rsidRPr="00A522EC">
              <w:rPr>
                <w:b w:val="0"/>
                <w:sz w:val="18"/>
              </w:rPr>
              <w:t>(continued)</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44"/>
              <w:gridCol w:w="784"/>
              <w:gridCol w:w="842"/>
              <w:gridCol w:w="904"/>
              <w:gridCol w:w="797"/>
              <w:gridCol w:w="851"/>
              <w:gridCol w:w="864"/>
              <w:gridCol w:w="851"/>
              <w:gridCol w:w="856"/>
              <w:gridCol w:w="856"/>
              <w:gridCol w:w="904"/>
              <w:gridCol w:w="954"/>
              <w:gridCol w:w="779"/>
            </w:tblGrid>
            <w:tr w:rsidR="00AC2131" w:rsidTr="00AC2131">
              <w:trPr>
                <w:trHeight w:val="354"/>
              </w:trPr>
              <w:tc>
                <w:tcPr>
                  <w:tcW w:w="1233"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28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14"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29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290"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Map Making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Exhibition Management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531FC2" w:rsidRDefault="00AC2131" w:rsidP="00AC2131">
                  <w:pPr>
                    <w:pStyle w:val="TableBodyText"/>
                    <w:jc w:val="left"/>
                    <w:rPr>
                      <w:b/>
                    </w:rPr>
                  </w:pPr>
                  <w:r w:rsidRPr="0038226B">
                    <w:rPr>
                      <w:b/>
                    </w:rPr>
                    <w:t>Other Services</w:t>
                  </w:r>
                </w:p>
              </w:tc>
              <w:tc>
                <w:tcPr>
                  <w:tcW w:w="289" w:type="pct"/>
                  <w:tcBorders>
                    <w:top w:val="single" w:sz="6" w:space="0" w:color="BFBFBF"/>
                    <w:bottom w:val="single" w:sz="6" w:space="0" w:color="BFBFBF"/>
                  </w:tcBorders>
                  <w:shd w:val="clear" w:color="auto" w:fill="auto"/>
                </w:tcPr>
                <w:p w:rsidR="00AC2131" w:rsidRDefault="00AC2131" w:rsidP="00AC2131">
                  <w:pPr>
                    <w:jc w:val="center"/>
                  </w:pPr>
                </w:p>
              </w:tc>
              <w:tc>
                <w:tcPr>
                  <w:tcW w:w="314"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297" w:type="pct"/>
                  <w:tcBorders>
                    <w:top w:val="single" w:sz="6" w:space="0" w:color="BFBFBF"/>
                    <w:bottom w:val="single" w:sz="6" w:space="0" w:color="BFBFBF"/>
                  </w:tcBorders>
                  <w:shd w:val="clear" w:color="auto" w:fill="auto"/>
                </w:tcPr>
                <w:p w:rsidR="00AC2131" w:rsidRDefault="00AC2131" w:rsidP="00AC2131">
                  <w:pPr>
                    <w:jc w:val="center"/>
                  </w:pPr>
                </w:p>
              </w:tc>
              <w:tc>
                <w:tcPr>
                  <w:tcW w:w="315"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290"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531FC2" w:rsidRDefault="00AC2131" w:rsidP="00AC2131">
                  <w:pPr>
                    <w:pStyle w:val="TableBodyText"/>
                    <w:jc w:val="left"/>
                    <w:rPr>
                      <w:b/>
                    </w:rPr>
                  </w:pPr>
                  <w:r>
                    <w:t xml:space="preserve">Translation and Interpretation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531FC2" w:rsidRDefault="00AC2131" w:rsidP="00AC2131">
                  <w:pPr>
                    <w:pStyle w:val="TableBodyText"/>
                    <w:jc w:val="left"/>
                    <w:rPr>
                      <w:b/>
                    </w:rPr>
                  </w:pPr>
                  <w:r>
                    <w:t xml:space="preserve">Student Placement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rsidRPr="00531FC2">
                    <w:rPr>
                      <w:b/>
                    </w:rPr>
                    <w:t>COMMUNICATIONS SERVICES</w:t>
                  </w:r>
                </w:p>
              </w:tc>
              <w:tc>
                <w:tcPr>
                  <w:tcW w:w="289" w:type="pct"/>
                  <w:tcBorders>
                    <w:top w:val="single" w:sz="6" w:space="0" w:color="BFBFBF"/>
                    <w:bottom w:val="single" w:sz="6" w:space="0" w:color="BFBFBF"/>
                  </w:tcBorders>
                  <w:shd w:val="clear" w:color="auto" w:fill="auto"/>
                </w:tcPr>
                <w:p w:rsidR="00AC2131" w:rsidRDefault="00AC2131" w:rsidP="00AC2131">
                  <w:pPr>
                    <w:jc w:val="center"/>
                  </w:pPr>
                </w:p>
              </w:tc>
              <w:tc>
                <w:tcPr>
                  <w:tcW w:w="314"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297" w:type="pct"/>
                  <w:tcBorders>
                    <w:top w:val="single" w:sz="6" w:space="0" w:color="BFBFBF"/>
                    <w:bottom w:val="single" w:sz="6" w:space="0" w:color="BFBFBF"/>
                  </w:tcBorders>
                  <w:shd w:val="clear" w:color="auto" w:fill="auto"/>
                </w:tcPr>
                <w:p w:rsidR="00AC2131" w:rsidRDefault="00AC2131" w:rsidP="00AC2131">
                  <w:pPr>
                    <w:jc w:val="center"/>
                  </w:pPr>
                </w:p>
              </w:tc>
              <w:tc>
                <w:tcPr>
                  <w:tcW w:w="315"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A37BF4" w:rsidRDefault="00AC2131" w:rsidP="00AC2131">
                  <w:pPr>
                    <w:pStyle w:val="TableBodyText"/>
                    <w:jc w:val="left"/>
                    <w:rPr>
                      <w:b/>
                    </w:rPr>
                  </w:pPr>
                  <w:r w:rsidRPr="00A37BF4">
                    <w:rPr>
                      <w:b/>
                    </w:rPr>
                    <w:t>Courier Services</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A37BF4" w:rsidRDefault="00AC2131" w:rsidP="00AC2131">
                  <w:pPr>
                    <w:pStyle w:val="TableBodyText"/>
                    <w:jc w:val="left"/>
                    <w:rPr>
                      <w:b/>
                    </w:rPr>
                  </w:pPr>
                  <w:r w:rsidRPr="00A37BF4">
                    <w:rPr>
                      <w:b/>
                    </w:rPr>
                    <w:t>Telecommunications Services</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297"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Basic Telecommunications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297"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Mobile Services</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Resale Services</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Value Added Network Services</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A37BF4" w:rsidRDefault="00AC2131" w:rsidP="00AC2131">
                  <w:pPr>
                    <w:pStyle w:val="TableBodyText"/>
                    <w:jc w:val="left"/>
                    <w:rPr>
                      <w:b/>
                    </w:rPr>
                  </w:pPr>
                  <w:r w:rsidRPr="00A37BF4">
                    <w:rPr>
                      <w:b/>
                    </w:rPr>
                    <w:t>Audio-Visual Services</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position w:val="-6"/>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176244" w:rsidRDefault="00AC2131" w:rsidP="00AC2131">
                  <w:pPr>
                    <w:pStyle w:val="TableBodyText"/>
                    <w:jc w:val="left"/>
                  </w:pPr>
                  <w:r>
                    <w:t>Production</w:t>
                  </w:r>
                  <w:r w:rsidRPr="00176244">
                    <w:t xml:space="preserve">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176244" w:rsidRDefault="00AC2131" w:rsidP="00AC2131">
                  <w:pPr>
                    <w:pStyle w:val="TableBodyText"/>
                    <w:jc w:val="left"/>
                  </w:pPr>
                  <w:r>
                    <w:t>Broadcasting/Distribution</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tcBorders>
                  <w:shd w:val="clear" w:color="auto" w:fill="auto"/>
                  <w:tcMar>
                    <w:top w:w="28" w:type="dxa"/>
                  </w:tcMar>
                  <w:vAlign w:val="center"/>
                </w:tcPr>
                <w:p w:rsidR="00AC2131" w:rsidRPr="00176244" w:rsidRDefault="00AC2131" w:rsidP="00AC2131">
                  <w:pPr>
                    <w:pStyle w:val="TableBodyText"/>
                    <w:jc w:val="left"/>
                  </w:pPr>
                  <w:r>
                    <w:t>Sound Recording</w:t>
                  </w:r>
                </w:p>
              </w:tc>
              <w:tc>
                <w:tcPr>
                  <w:tcW w:w="289" w:type="pct"/>
                  <w:tcBorders>
                    <w:top w:val="single" w:sz="6" w:space="0" w:color="BFBFBF"/>
                  </w:tcBorders>
                  <w:shd w:val="clear" w:color="auto" w:fill="auto"/>
                </w:tcPr>
                <w:p w:rsidR="00AC2131" w:rsidRDefault="00AC2131" w:rsidP="00AC2131">
                  <w:pPr>
                    <w:jc w:val="center"/>
                    <w:rPr>
                      <w:rFonts w:cs="Arial"/>
                    </w:rPr>
                  </w:pPr>
                  <w:r w:rsidRPr="0047728F">
                    <w:rPr>
                      <w:rFonts w:cs="Arial"/>
                      <w:position w:val="-6"/>
                    </w:rPr>
                    <w:t>*</w:t>
                  </w:r>
                </w:p>
              </w:tc>
              <w:tc>
                <w:tcPr>
                  <w:tcW w:w="314"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rPr>
                    <w:t>*</w:t>
                  </w:r>
                </w:p>
              </w:tc>
              <w:tc>
                <w:tcPr>
                  <w:tcW w:w="333" w:type="pct"/>
                  <w:tcBorders>
                    <w:top w:val="single" w:sz="6" w:space="0" w:color="BFBFBF"/>
                  </w:tcBorders>
                  <w:shd w:val="clear" w:color="auto" w:fill="auto"/>
                </w:tcPr>
                <w:p w:rsidR="00AC2131" w:rsidRDefault="00AC2131" w:rsidP="00AC2131">
                  <w:pPr>
                    <w:jc w:val="center"/>
                    <w:rPr>
                      <w:rFonts w:cs="Arial"/>
                    </w:rPr>
                  </w:pPr>
                  <w:r>
                    <w:rPr>
                      <w:rFonts w:cs="Arial"/>
                    </w:rPr>
                    <w:t>*</w:t>
                  </w:r>
                </w:p>
              </w:tc>
              <w:tc>
                <w:tcPr>
                  <w:tcW w:w="297" w:type="pct"/>
                  <w:tcBorders>
                    <w:top w:val="single" w:sz="6" w:space="0" w:color="BFBFBF"/>
                  </w:tcBorders>
                  <w:shd w:val="clear" w:color="auto" w:fill="auto"/>
                </w:tcPr>
                <w:p w:rsidR="00AC2131" w:rsidRPr="004760D9" w:rsidRDefault="00AC2131" w:rsidP="00AC2131">
                  <w:pPr>
                    <w:jc w:val="center"/>
                    <w:rPr>
                      <w:rFonts w:cs="Arial"/>
                    </w:rPr>
                  </w:pPr>
                  <w:r>
                    <w:rPr>
                      <w:rFonts w:cs="Arial"/>
                    </w:rPr>
                    <w:t>*</w:t>
                  </w:r>
                </w:p>
              </w:tc>
              <w:tc>
                <w:tcPr>
                  <w:tcW w:w="315" w:type="pct"/>
                  <w:tcBorders>
                    <w:top w:val="single" w:sz="6" w:space="0" w:color="BFBFBF"/>
                  </w:tcBorders>
                  <w:shd w:val="clear" w:color="auto" w:fill="auto"/>
                </w:tcPr>
                <w:p w:rsidR="00AC2131" w:rsidRDefault="00AC2131" w:rsidP="00AC2131">
                  <w:pPr>
                    <w:jc w:val="center"/>
                    <w:rPr>
                      <w:rFonts w:ascii="Tahoma" w:hAnsi="Tahoma" w:cs="Tahoma"/>
                      <w:cs/>
                      <w:lang w:bidi="th-TH"/>
                    </w:rPr>
                  </w:pPr>
                  <w:r w:rsidRPr="004760D9">
                    <w:rPr>
                      <w:rFonts w:cs="Arial"/>
                    </w:rPr>
                    <w:t>●</w:t>
                  </w:r>
                </w:p>
              </w:tc>
              <w:tc>
                <w:tcPr>
                  <w:tcW w:w="318"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7"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0" w:type="pct"/>
                  <w:tcBorders>
                    <w:top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Continued"/>
            </w:pPr>
            <w:r>
              <w:t>(continued next page)</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tbl>
      <w:tblPr>
        <w:tblW w:w="13870"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70"/>
      </w:tblGrid>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D.1</w:t>
            </w:r>
            <w:r>
              <w:tab/>
            </w:r>
            <w:r w:rsidRPr="00A522EC">
              <w:rPr>
                <w:b w:val="0"/>
                <w:sz w:val="18"/>
              </w:rPr>
              <w:t>(continued)</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44"/>
              <w:gridCol w:w="784"/>
              <w:gridCol w:w="842"/>
              <w:gridCol w:w="904"/>
              <w:gridCol w:w="797"/>
              <w:gridCol w:w="851"/>
              <w:gridCol w:w="864"/>
              <w:gridCol w:w="851"/>
              <w:gridCol w:w="856"/>
              <w:gridCol w:w="856"/>
              <w:gridCol w:w="904"/>
              <w:gridCol w:w="954"/>
              <w:gridCol w:w="779"/>
            </w:tblGrid>
            <w:tr w:rsidR="00AC2131" w:rsidTr="00AC2131">
              <w:trPr>
                <w:trHeight w:val="354"/>
              </w:trPr>
              <w:tc>
                <w:tcPr>
                  <w:tcW w:w="1233"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28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14"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29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290"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176244" w:rsidRDefault="00AC2131" w:rsidP="00AC2131">
                  <w:pPr>
                    <w:pStyle w:val="TableBodyText"/>
                    <w:jc w:val="left"/>
                  </w:pPr>
                  <w:r w:rsidRPr="00176244">
                    <w:t xml:space="preserve">Cinema </w:t>
                  </w:r>
                  <w:r>
                    <w:t xml:space="preserve">and </w:t>
                  </w:r>
                  <w:r w:rsidRPr="00176244">
                    <w:t>Theatre Services</w:t>
                  </w:r>
                </w:p>
              </w:tc>
              <w:tc>
                <w:tcPr>
                  <w:tcW w:w="289" w:type="pct"/>
                  <w:tcBorders>
                    <w:top w:val="single" w:sz="6" w:space="0" w:color="BFBFBF"/>
                    <w:bottom w:val="single" w:sz="6" w:space="0" w:color="BFBFBF"/>
                  </w:tcBorders>
                  <w:shd w:val="clear" w:color="auto" w:fill="auto"/>
                </w:tcPr>
                <w:p w:rsidR="00AC2131"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176244" w:rsidRDefault="00AC2131" w:rsidP="00AC2131">
                  <w:pPr>
                    <w:pStyle w:val="TableBodyText"/>
                    <w:jc w:val="left"/>
                  </w:pPr>
                  <w:r w:rsidRPr="00176244">
                    <w:t xml:space="preserve">Studio Recording Leasing </w:t>
                  </w:r>
                </w:p>
              </w:tc>
              <w:tc>
                <w:tcPr>
                  <w:tcW w:w="289" w:type="pct"/>
                  <w:tcBorders>
                    <w:top w:val="single" w:sz="6" w:space="0" w:color="BFBFBF"/>
                    <w:bottom w:val="single" w:sz="6" w:space="0" w:color="BFBFBF"/>
                  </w:tcBorders>
                  <w:shd w:val="clear" w:color="auto" w:fill="auto"/>
                </w:tcPr>
                <w:p w:rsidR="00AC2131"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FB11CB" w:rsidRDefault="00AC2131" w:rsidP="00AC2131">
                  <w:pPr>
                    <w:pStyle w:val="TableBodyText"/>
                    <w:jc w:val="left"/>
                    <w:rPr>
                      <w:b/>
                    </w:rPr>
                  </w:pPr>
                  <w:r w:rsidRPr="00FB11CB">
                    <w:rPr>
                      <w:b/>
                    </w:rPr>
                    <w:t>CONSTRUCTION AND RELATED ENGINEERING SERVICES</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FB11CB" w:rsidRDefault="00AC2131" w:rsidP="00AC2131">
                  <w:pPr>
                    <w:jc w:val="center"/>
                    <w:rPr>
                      <w:b/>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FB11CB" w:rsidRDefault="00AC2131" w:rsidP="00AC2131">
                  <w:pPr>
                    <w:jc w:val="center"/>
                    <w:rPr>
                      <w:b/>
                    </w:rPr>
                  </w:pPr>
                  <w:r w:rsidRPr="004760D9">
                    <w:rPr>
                      <w:rFonts w:cs="Arial"/>
                    </w:rPr>
                    <w:t>●</w:t>
                  </w:r>
                </w:p>
              </w:tc>
              <w:tc>
                <w:tcPr>
                  <w:tcW w:w="297" w:type="pct"/>
                  <w:tcBorders>
                    <w:top w:val="single" w:sz="6" w:space="0" w:color="BFBFBF"/>
                    <w:bottom w:val="single" w:sz="6" w:space="0" w:color="BFBFBF"/>
                  </w:tcBorders>
                  <w:shd w:val="clear" w:color="auto" w:fill="auto"/>
                </w:tcPr>
                <w:p w:rsidR="00AC2131" w:rsidRPr="00FB11CB" w:rsidRDefault="00AC2131" w:rsidP="00AC2131">
                  <w:pPr>
                    <w:jc w:val="center"/>
                    <w:rPr>
                      <w:b/>
                    </w:rPr>
                  </w:pPr>
                  <w:r w:rsidRPr="004760D9">
                    <w:rPr>
                      <w:rFonts w:cs="Arial"/>
                    </w:rPr>
                    <w:t>●</w:t>
                  </w:r>
                </w:p>
              </w:tc>
              <w:tc>
                <w:tcPr>
                  <w:tcW w:w="315" w:type="pct"/>
                  <w:tcBorders>
                    <w:top w:val="single" w:sz="6" w:space="0" w:color="BFBFBF"/>
                    <w:bottom w:val="single" w:sz="6" w:space="0" w:color="BFBFBF"/>
                  </w:tcBorders>
                  <w:shd w:val="clear" w:color="auto" w:fill="auto"/>
                </w:tcPr>
                <w:p w:rsidR="00AC2131" w:rsidRPr="00FB11CB" w:rsidRDefault="00AC2131" w:rsidP="00AC2131">
                  <w:pPr>
                    <w:jc w:val="center"/>
                    <w:rPr>
                      <w:b/>
                    </w:rPr>
                  </w:pPr>
                  <w:r w:rsidRPr="004760D9">
                    <w:rPr>
                      <w:rFonts w:cs="Arial"/>
                    </w:rPr>
                    <w:t>●</w:t>
                  </w:r>
                </w:p>
              </w:tc>
              <w:tc>
                <w:tcPr>
                  <w:tcW w:w="318" w:type="pct"/>
                  <w:tcBorders>
                    <w:top w:val="single" w:sz="6" w:space="0" w:color="BFBFBF"/>
                    <w:bottom w:val="single" w:sz="6" w:space="0" w:color="BFBFBF"/>
                  </w:tcBorders>
                  <w:shd w:val="clear" w:color="auto" w:fill="auto"/>
                </w:tcPr>
                <w:p w:rsidR="00AC2131" w:rsidRPr="00FB11CB" w:rsidRDefault="00AC2131" w:rsidP="00AC2131">
                  <w:pPr>
                    <w:jc w:val="center"/>
                    <w:rPr>
                      <w:b/>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FB11CB" w:rsidRDefault="00AC2131" w:rsidP="00AC2131">
                  <w:pPr>
                    <w:jc w:val="center"/>
                    <w:rPr>
                      <w:b/>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FB11CB" w:rsidRDefault="00AC2131" w:rsidP="00AC2131">
                  <w:pPr>
                    <w:jc w:val="center"/>
                    <w:rPr>
                      <w:b/>
                    </w:rPr>
                  </w:pPr>
                  <w:r w:rsidRPr="004760D9">
                    <w:rPr>
                      <w:rFonts w:cs="Arial"/>
                    </w:rPr>
                    <w:t>●</w:t>
                  </w:r>
                </w:p>
              </w:tc>
              <w:tc>
                <w:tcPr>
                  <w:tcW w:w="317" w:type="pct"/>
                  <w:tcBorders>
                    <w:top w:val="single" w:sz="6" w:space="0" w:color="BFBFBF"/>
                    <w:bottom w:val="single" w:sz="6" w:space="0" w:color="BFBFBF"/>
                  </w:tcBorders>
                  <w:shd w:val="clear" w:color="auto" w:fill="auto"/>
                </w:tcPr>
                <w:p w:rsidR="00AC2131" w:rsidRPr="00FB11CB" w:rsidRDefault="00AC2131" w:rsidP="00AC2131">
                  <w:pPr>
                    <w:jc w:val="center"/>
                    <w:rPr>
                      <w:b/>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FB11CB" w:rsidRDefault="00AC2131" w:rsidP="00AC2131">
                  <w:pPr>
                    <w:jc w:val="center"/>
                    <w:rPr>
                      <w:b/>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E92866" w:rsidRDefault="00AC2131" w:rsidP="00AC2131">
                  <w:pPr>
                    <w:pStyle w:val="TableBodyText"/>
                    <w:jc w:val="left"/>
                  </w:pPr>
                  <w:r w:rsidRPr="00E92866">
                    <w:t>Buildings</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E92866" w:rsidRDefault="00AC2131" w:rsidP="00AC2131">
                  <w:pPr>
                    <w:pStyle w:val="TableBodyText"/>
                    <w:jc w:val="left"/>
                  </w:pPr>
                  <w:r w:rsidRPr="00E92866">
                    <w:t>Civil Engineering</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E92866" w:rsidRDefault="00AC2131" w:rsidP="00AC2131">
                  <w:pPr>
                    <w:pStyle w:val="TableBodyText"/>
                    <w:jc w:val="left"/>
                  </w:pPr>
                  <w:r w:rsidRPr="00E92866">
                    <w:t>Installation and Assembly</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E92866" w:rsidRDefault="00AC2131" w:rsidP="00AC2131">
                  <w:pPr>
                    <w:pStyle w:val="TableBodyText"/>
                    <w:jc w:val="left"/>
                  </w:pPr>
                  <w:r w:rsidRPr="00E92866">
                    <w:t>Completion and Finishing</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E92866" w:rsidRDefault="00AC2131" w:rsidP="00AC2131">
                  <w:pPr>
                    <w:pStyle w:val="TableBodyText"/>
                    <w:jc w:val="left"/>
                  </w:pPr>
                  <w:r w:rsidRPr="00E92866">
                    <w:t xml:space="preserve">Other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29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D07BFC" w:rsidRDefault="00AC2131" w:rsidP="00AC2131">
                  <w:pPr>
                    <w:pStyle w:val="TableBodyText"/>
                    <w:jc w:val="left"/>
                    <w:rPr>
                      <w:b/>
                    </w:rPr>
                  </w:pPr>
                  <w:r>
                    <w:rPr>
                      <w:b/>
                    </w:rPr>
                    <w:t>DISTRIBUTION SERVICES</w:t>
                  </w:r>
                </w:p>
              </w:tc>
              <w:tc>
                <w:tcPr>
                  <w:tcW w:w="289" w:type="pct"/>
                  <w:tcBorders>
                    <w:top w:val="single" w:sz="6" w:space="0" w:color="BFBFBF"/>
                    <w:bottom w:val="single" w:sz="6" w:space="0" w:color="BFBFBF"/>
                  </w:tcBorders>
                  <w:shd w:val="clear" w:color="auto" w:fill="auto"/>
                </w:tcPr>
                <w:p w:rsidR="00AC2131" w:rsidRDefault="00AC2131" w:rsidP="00AC2131">
                  <w:pPr>
                    <w:jc w:val="center"/>
                  </w:pPr>
                </w:p>
              </w:tc>
              <w:tc>
                <w:tcPr>
                  <w:tcW w:w="314"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297" w:type="pct"/>
                  <w:tcBorders>
                    <w:top w:val="single" w:sz="6" w:space="0" w:color="BFBFBF"/>
                    <w:bottom w:val="single" w:sz="6" w:space="0" w:color="BFBFBF"/>
                  </w:tcBorders>
                  <w:shd w:val="clear" w:color="auto" w:fill="auto"/>
                </w:tcPr>
                <w:p w:rsidR="00AC2131" w:rsidRDefault="00AC2131" w:rsidP="00AC2131">
                  <w:pPr>
                    <w:jc w:val="center"/>
                  </w:pPr>
                </w:p>
              </w:tc>
              <w:tc>
                <w:tcPr>
                  <w:tcW w:w="315"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290"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D81502" w:rsidRDefault="00AC2131" w:rsidP="00AC2131">
                  <w:pPr>
                    <w:pStyle w:val="TableBodyText"/>
                    <w:jc w:val="left"/>
                  </w:pPr>
                  <w:r w:rsidRPr="00D81502">
                    <w:t xml:space="preserve">Commission Agents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D81502"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Pr="00D81502"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Pr="00D81502" w:rsidRDefault="00AC2131" w:rsidP="00AC2131">
                  <w:pPr>
                    <w:jc w:val="center"/>
                  </w:pPr>
                  <w:r w:rsidRPr="004760D9">
                    <w:rPr>
                      <w:rFonts w:cs="Arial"/>
                    </w:rPr>
                    <w:t>●</w:t>
                  </w:r>
                </w:p>
              </w:tc>
              <w:tc>
                <w:tcPr>
                  <w:tcW w:w="315" w:type="pct"/>
                  <w:tcBorders>
                    <w:top w:val="single" w:sz="6" w:space="0" w:color="BFBFBF"/>
                    <w:bottom w:val="single" w:sz="6" w:space="0" w:color="BFBFBF"/>
                  </w:tcBorders>
                  <w:shd w:val="clear" w:color="auto" w:fill="auto"/>
                </w:tcPr>
                <w:p w:rsidR="00AC2131" w:rsidRPr="00D81502"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Pr="00D81502"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D81502" w:rsidRDefault="00AC2131" w:rsidP="00AC2131">
                  <w:pPr>
                    <w:jc w:val="center"/>
                    <w:rPr>
                      <w:rFonts w:ascii="Tahoma" w:hAnsi="Tahoma" w:cs="Tahoma"/>
                      <w:cs/>
                      <w:lang w:bidi="th-TH"/>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D81502" w:rsidRDefault="00AC2131" w:rsidP="00AC2131">
                  <w:pPr>
                    <w:pStyle w:val="TableBodyText"/>
                    <w:jc w:val="left"/>
                  </w:pPr>
                  <w:r w:rsidRPr="00D81502">
                    <w:t xml:space="preserve">Wholesale Trade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D81502"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Pr="00D81502" w:rsidRDefault="00AC2131" w:rsidP="00AC2131">
                  <w:pPr>
                    <w:jc w:val="center"/>
                  </w:pPr>
                  <w:r w:rsidRPr="004760D9">
                    <w:rPr>
                      <w:rFonts w:cs="Arial"/>
                    </w:rPr>
                    <w:t>●</w:t>
                  </w:r>
                </w:p>
              </w:tc>
              <w:tc>
                <w:tcPr>
                  <w:tcW w:w="297" w:type="pct"/>
                  <w:tcBorders>
                    <w:top w:val="single" w:sz="6" w:space="0" w:color="BFBFBF"/>
                    <w:bottom w:val="single" w:sz="6" w:space="0" w:color="BFBFBF"/>
                  </w:tcBorders>
                  <w:shd w:val="clear" w:color="auto" w:fill="auto"/>
                </w:tcPr>
                <w:p w:rsidR="00AC2131" w:rsidRPr="00D81502"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D81502"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Pr="00D81502"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D81502" w:rsidRDefault="00AC2131" w:rsidP="00AC2131">
                  <w:pPr>
                    <w:jc w:val="center"/>
                    <w:rPr>
                      <w:rFonts w:ascii="Tahoma" w:hAnsi="Tahoma" w:cs="Tahoma"/>
                      <w:cs/>
                      <w:lang w:bidi="th-TH"/>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D81502" w:rsidRDefault="00AC2131" w:rsidP="00AC2131">
                  <w:pPr>
                    <w:pStyle w:val="TableBodyText"/>
                    <w:jc w:val="left"/>
                  </w:pPr>
                  <w:r w:rsidRPr="00D81502">
                    <w:t xml:space="preserve">Retail Trade </w:t>
                  </w:r>
                </w:p>
              </w:tc>
              <w:tc>
                <w:tcPr>
                  <w:tcW w:w="28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D81502"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Pr="00D81502" w:rsidRDefault="00AC2131" w:rsidP="00AC2131">
                  <w:pPr>
                    <w:jc w:val="cente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Pr="00D81502"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D81502"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Pr="00D81502"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D81502" w:rsidRDefault="00AC2131" w:rsidP="00AC2131">
                  <w:pPr>
                    <w:jc w:val="center"/>
                    <w:rPr>
                      <w:rFonts w:ascii="Tahoma" w:hAnsi="Tahoma" w:cs="Tahoma"/>
                      <w:cs/>
                      <w:lang w:bidi="th-TH"/>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Pr="00D81502" w:rsidRDefault="00AC2131" w:rsidP="00AC2131">
                  <w:pPr>
                    <w:pStyle w:val="TableBodyText"/>
                    <w:jc w:val="left"/>
                  </w:pPr>
                  <w:r>
                    <w:t xml:space="preserve">Franchising </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60D9">
                    <w:rPr>
                      <w:rFonts w:cs="Arial"/>
                    </w:rPr>
                    <w:t>●</w:t>
                  </w:r>
                </w:p>
              </w:tc>
              <w:tc>
                <w:tcPr>
                  <w:tcW w:w="318" w:type="pct"/>
                  <w:tcBorders>
                    <w:top w:val="single" w:sz="6" w:space="0" w:color="BFBFBF"/>
                    <w:bottom w:val="single" w:sz="6" w:space="0" w:color="BFBFBF"/>
                  </w:tcBorders>
                  <w:shd w:val="clear" w:color="auto" w:fill="auto"/>
                </w:tcPr>
                <w:p w:rsidR="00AC2131" w:rsidRPr="00D81502" w:rsidRDefault="00AC2131" w:rsidP="00AC2131">
                  <w:pPr>
                    <w:jc w:val="cente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D81502"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tcBorders>
                  <w:shd w:val="clear" w:color="auto" w:fill="auto"/>
                  <w:tcMar>
                    <w:top w:w="28" w:type="dxa"/>
                  </w:tcMar>
                  <w:vAlign w:val="center"/>
                </w:tcPr>
                <w:p w:rsidR="00AC2131" w:rsidRDefault="00AC2131" w:rsidP="00AC2131">
                  <w:pPr>
                    <w:pStyle w:val="TableBodyText"/>
                    <w:jc w:val="left"/>
                  </w:pPr>
                  <w:r>
                    <w:t xml:space="preserve">Other Distribution </w:t>
                  </w:r>
                </w:p>
              </w:tc>
              <w:tc>
                <w:tcPr>
                  <w:tcW w:w="289" w:type="pct"/>
                  <w:tcBorders>
                    <w:top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97"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tcBorders>
                  <w:shd w:val="clear" w:color="auto" w:fill="auto"/>
                </w:tcPr>
                <w:p w:rsidR="00AC2131" w:rsidRPr="004760D9" w:rsidRDefault="00AC2131" w:rsidP="00AC2131">
                  <w:pPr>
                    <w:jc w:val="center"/>
                    <w:rPr>
                      <w:rFonts w:cs="Arial"/>
                    </w:rPr>
                  </w:pPr>
                  <w:r>
                    <w:rPr>
                      <w:rFonts w:cs="Arial"/>
                    </w:rPr>
                    <w:t>*</w:t>
                  </w:r>
                </w:p>
              </w:tc>
              <w:tc>
                <w:tcPr>
                  <w:tcW w:w="318"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5"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290" w:type="pct"/>
                  <w:tcBorders>
                    <w:top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Continued"/>
            </w:pPr>
            <w:r>
              <w:t>(continued next page)</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pPr>
    </w:p>
    <w:tbl>
      <w:tblPr>
        <w:tblW w:w="13870"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70"/>
      </w:tblGrid>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D.1</w:t>
            </w:r>
            <w:r>
              <w:tab/>
            </w:r>
            <w:r w:rsidRPr="00A522EC">
              <w:rPr>
                <w:b w:val="0"/>
                <w:sz w:val="18"/>
              </w:rPr>
              <w:t>(continued)</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45"/>
              <w:gridCol w:w="784"/>
              <w:gridCol w:w="848"/>
              <w:gridCol w:w="904"/>
              <w:gridCol w:w="795"/>
              <w:gridCol w:w="851"/>
              <w:gridCol w:w="864"/>
              <w:gridCol w:w="845"/>
              <w:gridCol w:w="857"/>
              <w:gridCol w:w="857"/>
              <w:gridCol w:w="904"/>
              <w:gridCol w:w="954"/>
              <w:gridCol w:w="778"/>
            </w:tblGrid>
            <w:tr w:rsidR="00AC2131" w:rsidTr="00AC2131">
              <w:trPr>
                <w:trHeight w:val="354"/>
              </w:trPr>
              <w:tc>
                <w:tcPr>
                  <w:tcW w:w="1244"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171"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2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26"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26"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311"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D07BFC" w:rsidRDefault="00AC2131" w:rsidP="00AC2131">
                  <w:pPr>
                    <w:pStyle w:val="TableBodyText"/>
                    <w:jc w:val="left"/>
                    <w:rPr>
                      <w:b/>
                    </w:rPr>
                  </w:pPr>
                  <w:r w:rsidRPr="00D07BFC">
                    <w:rPr>
                      <w:b/>
                    </w:rPr>
                    <w:t>EDUCATION SERVICES</w:t>
                  </w:r>
                </w:p>
              </w:tc>
              <w:tc>
                <w:tcPr>
                  <w:tcW w:w="171" w:type="pct"/>
                  <w:tcBorders>
                    <w:top w:val="single" w:sz="6" w:space="0" w:color="BFBFBF"/>
                    <w:bottom w:val="single" w:sz="6" w:space="0" w:color="BFBFBF"/>
                  </w:tcBorders>
                  <w:shd w:val="clear" w:color="auto" w:fill="auto"/>
                </w:tcPr>
                <w:p w:rsidR="00AC2131" w:rsidRDefault="00AC2131" w:rsidP="00AC2131">
                  <w:pPr>
                    <w:jc w:val="center"/>
                  </w:pPr>
                </w:p>
              </w:tc>
              <w:tc>
                <w:tcPr>
                  <w:tcW w:w="325"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1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Adult Education </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Primary and Secondary Education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Higher Education Services</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International School Services</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963F93" w:rsidRDefault="00AC2131" w:rsidP="00AC2131">
                  <w:pPr>
                    <w:pStyle w:val="TableBodyText"/>
                    <w:jc w:val="left"/>
                  </w:pPr>
                  <w:r>
                    <w:t>Other E</w:t>
                  </w:r>
                  <w:r w:rsidRPr="00963F93">
                    <w:t xml:space="preserve">ducation </w:t>
                  </w:r>
                  <w:r>
                    <w:t>Services</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Technical and Vocational Services</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t>*</w:t>
                  </w:r>
                </w:p>
              </w:tc>
              <w:tc>
                <w:tcPr>
                  <w:tcW w:w="329"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Other Higher Education Services</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001032" w:rsidRDefault="00AC2131" w:rsidP="00AC2131">
                  <w:pPr>
                    <w:pStyle w:val="TableBodyText"/>
                    <w:jc w:val="left"/>
                    <w:rPr>
                      <w:b/>
                    </w:rPr>
                  </w:pPr>
                  <w:r w:rsidRPr="00001032">
                    <w:rPr>
                      <w:b/>
                    </w:rPr>
                    <w:t>ENVIRONMENTAL SERVICES</w:t>
                  </w:r>
                </w:p>
              </w:tc>
              <w:tc>
                <w:tcPr>
                  <w:tcW w:w="171" w:type="pct"/>
                  <w:tcBorders>
                    <w:top w:val="single" w:sz="6" w:space="0" w:color="BFBFBF"/>
                    <w:bottom w:val="single" w:sz="6" w:space="0" w:color="BFBFBF"/>
                  </w:tcBorders>
                  <w:shd w:val="clear" w:color="auto" w:fill="auto"/>
                </w:tcPr>
                <w:p w:rsidR="00AC2131" w:rsidRDefault="00AC2131" w:rsidP="00AC2131">
                  <w:pPr>
                    <w:jc w:val="center"/>
                  </w:pPr>
                </w:p>
              </w:tc>
              <w:tc>
                <w:tcPr>
                  <w:tcW w:w="325"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8" w:type="pct"/>
                  <w:tcBorders>
                    <w:top w:val="single" w:sz="6" w:space="0" w:color="BFBFBF"/>
                    <w:bottom w:val="single" w:sz="6" w:space="0" w:color="BFBFBF"/>
                  </w:tcBorders>
                  <w:shd w:val="clear" w:color="auto" w:fill="auto"/>
                </w:tcPr>
                <w:p w:rsidR="00AC2131" w:rsidRDefault="00AC2131" w:rsidP="00AC2131">
                  <w:pPr>
                    <w:jc w:val="center"/>
                  </w:pPr>
                </w:p>
              </w:tc>
              <w:tc>
                <w:tcPr>
                  <w:tcW w:w="328" w:type="pct"/>
                  <w:tcBorders>
                    <w:top w:val="single" w:sz="6" w:space="0" w:color="BFBFBF"/>
                    <w:bottom w:val="single" w:sz="6" w:space="0" w:color="BFBFBF"/>
                  </w:tcBorders>
                  <w:shd w:val="clear" w:color="auto" w:fill="auto"/>
                </w:tcPr>
                <w:p w:rsidR="00AC2131" w:rsidRDefault="00AC2131" w:rsidP="00AC2131">
                  <w:pPr>
                    <w:jc w:val="center"/>
                  </w:pPr>
                </w:p>
              </w:tc>
              <w:tc>
                <w:tcPr>
                  <w:tcW w:w="328"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329" w:type="pct"/>
                  <w:tcBorders>
                    <w:top w:val="single" w:sz="6" w:space="0" w:color="BFBFBF"/>
                    <w:bottom w:val="single" w:sz="6" w:space="0" w:color="BFBFBF"/>
                  </w:tcBorders>
                  <w:shd w:val="clear" w:color="auto" w:fill="auto"/>
                </w:tcPr>
                <w:p w:rsidR="00AC2131" w:rsidRDefault="00AC2131" w:rsidP="00AC2131">
                  <w:pPr>
                    <w:jc w:val="center"/>
                  </w:pPr>
                </w:p>
              </w:tc>
              <w:tc>
                <w:tcPr>
                  <w:tcW w:w="311" w:type="pct"/>
                  <w:tcBorders>
                    <w:top w:val="single" w:sz="6" w:space="0" w:color="BFBFBF"/>
                    <w:bottom w:val="single" w:sz="6" w:space="0" w:color="BFBFBF"/>
                  </w:tcBorders>
                  <w:shd w:val="clear" w:color="auto" w:fill="auto"/>
                </w:tcPr>
                <w:p w:rsidR="00AC2131" w:rsidRDefault="00AC2131" w:rsidP="00AC2131">
                  <w:pPr>
                    <w:jc w:val="center"/>
                  </w:pP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Wastewater Management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Waste Management</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Ambient Air/Climate Protection</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t>*</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Soil/Water Remediation</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t>*</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Noise/Vibration Abatement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Biodiversity Protection</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t>*</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tcBorders>
                  <w:shd w:val="clear" w:color="auto" w:fill="auto"/>
                  <w:tcMar>
                    <w:top w:w="28" w:type="dxa"/>
                  </w:tcMar>
                  <w:vAlign w:val="center"/>
                </w:tcPr>
                <w:p w:rsidR="00AC2131" w:rsidRDefault="00AC2131" w:rsidP="00AC2131">
                  <w:pPr>
                    <w:pStyle w:val="TableBodyText"/>
                    <w:jc w:val="left"/>
                  </w:pPr>
                  <w:r>
                    <w:t>Other Environmental</w:t>
                  </w:r>
                </w:p>
              </w:tc>
              <w:tc>
                <w:tcPr>
                  <w:tcW w:w="171" w:type="pct"/>
                  <w:tcBorders>
                    <w:top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tcBorders>
                  <w:shd w:val="clear" w:color="auto" w:fill="auto"/>
                </w:tcPr>
                <w:p w:rsidR="00AC2131" w:rsidRPr="004760D9" w:rsidRDefault="00AC2131" w:rsidP="00AC2131">
                  <w:pPr>
                    <w:jc w:val="center"/>
                    <w:rPr>
                      <w:rFonts w:cs="Arial"/>
                    </w:rPr>
                  </w:pPr>
                  <w:r>
                    <w:rPr>
                      <w:rFonts w:cs="Arial"/>
                    </w:rPr>
                    <w:t>*</w:t>
                  </w:r>
                </w:p>
              </w:tc>
              <w:tc>
                <w:tcPr>
                  <w:tcW w:w="318" w:type="pct"/>
                  <w:tcBorders>
                    <w:top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6" w:type="pct"/>
                  <w:tcBorders>
                    <w:top w:val="single" w:sz="6" w:space="0" w:color="BFBFBF"/>
                  </w:tcBorders>
                  <w:shd w:val="clear" w:color="auto" w:fill="auto"/>
                </w:tcPr>
                <w:p w:rsidR="00AC2131" w:rsidRDefault="00AC2131" w:rsidP="00AC2131">
                  <w:pPr>
                    <w:jc w:val="center"/>
                  </w:pPr>
                  <w:r>
                    <w:t>*</w:t>
                  </w:r>
                </w:p>
              </w:tc>
              <w:tc>
                <w:tcPr>
                  <w:tcW w:w="326"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1" w:type="pct"/>
                  <w:tcBorders>
                    <w:top w:val="single" w:sz="6" w:space="0" w:color="BFBFBF"/>
                  </w:tcBorders>
                  <w:shd w:val="clear" w:color="auto" w:fill="auto"/>
                </w:tcPr>
                <w:p w:rsidR="00AC2131" w:rsidRDefault="00AC2131" w:rsidP="00AC2131">
                  <w:pPr>
                    <w:jc w:val="center"/>
                    <w:rPr>
                      <w:rFonts w:cs="Arial"/>
                      <w:position w:val="-6"/>
                    </w:rPr>
                  </w:pPr>
                  <w:r w:rsidRPr="0047728F">
                    <w:rPr>
                      <w:rFonts w:cs="Arial"/>
                      <w:position w:val="-6"/>
                    </w:rPr>
                    <w:t>*</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Continued"/>
            </w:pPr>
            <w:r>
              <w:t>(continued next page)</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tbl>
      <w:tblPr>
        <w:tblW w:w="13870"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70"/>
      </w:tblGrid>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D.1</w:t>
            </w:r>
            <w:r>
              <w:tab/>
            </w:r>
            <w:r w:rsidRPr="00A522EC">
              <w:rPr>
                <w:b w:val="0"/>
                <w:sz w:val="18"/>
              </w:rPr>
              <w:t>(continued)</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45"/>
              <w:gridCol w:w="784"/>
              <w:gridCol w:w="848"/>
              <w:gridCol w:w="904"/>
              <w:gridCol w:w="795"/>
              <w:gridCol w:w="851"/>
              <w:gridCol w:w="864"/>
              <w:gridCol w:w="845"/>
              <w:gridCol w:w="857"/>
              <w:gridCol w:w="857"/>
              <w:gridCol w:w="904"/>
              <w:gridCol w:w="954"/>
              <w:gridCol w:w="778"/>
            </w:tblGrid>
            <w:tr w:rsidR="00AC2131" w:rsidTr="00AC2131">
              <w:trPr>
                <w:trHeight w:val="354"/>
              </w:trPr>
              <w:tc>
                <w:tcPr>
                  <w:tcW w:w="1244"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171"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2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26"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26"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311"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Exhaust Gas Cleaning </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Nature and Landscape Protection </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Environmental Impact Assessment </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rPr>
                      <w:b/>
                    </w:rPr>
                    <w:t>FINANCIAL SERVICES</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1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Offshore Financial </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Commercial Banking </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Direct Insurance </w:t>
                  </w:r>
                </w:p>
              </w:tc>
              <w:tc>
                <w:tcPr>
                  <w:tcW w:w="17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lang w:bidi="th-TH"/>
                    </w:rPr>
                  </w:pPr>
                  <w:r>
                    <w:rPr>
                      <w:rFonts w:cs="Arial"/>
                      <w:position w:val="-6"/>
                    </w:rPr>
                    <w:t>*</w:t>
                  </w:r>
                </w:p>
              </w:tc>
            </w:tr>
            <w:tr w:rsidR="00AC2131" w:rsidTr="00AC2131">
              <w:trPr>
                <w:trHeight w:val="351"/>
              </w:trPr>
              <w:tc>
                <w:tcPr>
                  <w:tcW w:w="2073" w:type="pct"/>
                  <w:gridSpan w:val="4"/>
                  <w:tcBorders>
                    <w:top w:val="single" w:sz="6" w:space="0" w:color="BFBFBF"/>
                    <w:bottom w:val="single" w:sz="6" w:space="0" w:color="BFBFBF"/>
                  </w:tcBorders>
                  <w:shd w:val="clear" w:color="auto" w:fill="auto"/>
                  <w:tcMar>
                    <w:top w:w="28" w:type="dxa"/>
                  </w:tcMar>
                  <w:vAlign w:val="center"/>
                </w:tcPr>
                <w:p w:rsidR="00AC2131" w:rsidRPr="00417592" w:rsidRDefault="00AC2131" w:rsidP="00AC2131">
                  <w:pPr>
                    <w:pStyle w:val="TableBodyText"/>
                    <w:jc w:val="left"/>
                    <w:rPr>
                      <w:b/>
                    </w:rPr>
                  </w:pPr>
                  <w:r w:rsidRPr="00417592">
                    <w:rPr>
                      <w:b/>
                    </w:rPr>
                    <w:t>Banking and Other Financial Services</w:t>
                  </w: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1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Deposit Taking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Lending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Financial Leasing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Factoring </w:t>
                  </w:r>
                </w:p>
              </w:tc>
              <w:tc>
                <w:tcPr>
                  <w:tcW w:w="171" w:type="pct"/>
                  <w:tcBorders>
                    <w:top w:val="single" w:sz="6" w:space="0" w:color="BFBFBF"/>
                    <w:bottom w:val="single" w:sz="6" w:space="0" w:color="BFBFBF"/>
                  </w:tcBorders>
                  <w:shd w:val="clear" w:color="auto" w:fill="auto"/>
                </w:tcPr>
                <w:p w:rsidR="00AC2131"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Payment and Money Transmission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Charge Cards</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tcBorders>
                  <w:shd w:val="clear" w:color="auto" w:fill="auto"/>
                  <w:tcMar>
                    <w:top w:w="28" w:type="dxa"/>
                  </w:tcMar>
                  <w:vAlign w:val="center"/>
                </w:tcPr>
                <w:p w:rsidR="00AC2131" w:rsidRDefault="00AC2131" w:rsidP="00AC2131">
                  <w:pPr>
                    <w:pStyle w:val="TableBodyText"/>
                    <w:jc w:val="left"/>
                  </w:pPr>
                  <w:r>
                    <w:t>Guarantees and Commitments</w:t>
                  </w:r>
                </w:p>
              </w:tc>
              <w:tc>
                <w:tcPr>
                  <w:tcW w:w="171"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8"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Continued"/>
            </w:pPr>
            <w:r>
              <w:t>(continued next page)</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p w:rsidR="00AC2131" w:rsidRDefault="00AC2131"/>
    <w:tbl>
      <w:tblPr>
        <w:tblW w:w="13870"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70"/>
      </w:tblGrid>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D.1</w:t>
            </w:r>
            <w:r>
              <w:tab/>
            </w:r>
            <w:r w:rsidRPr="00A522EC">
              <w:rPr>
                <w:b w:val="0"/>
                <w:sz w:val="18"/>
              </w:rPr>
              <w:t>(continued)</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45"/>
              <w:gridCol w:w="784"/>
              <w:gridCol w:w="848"/>
              <w:gridCol w:w="904"/>
              <w:gridCol w:w="795"/>
              <w:gridCol w:w="851"/>
              <w:gridCol w:w="864"/>
              <w:gridCol w:w="845"/>
              <w:gridCol w:w="857"/>
              <w:gridCol w:w="857"/>
              <w:gridCol w:w="904"/>
              <w:gridCol w:w="954"/>
              <w:gridCol w:w="778"/>
            </w:tblGrid>
            <w:tr w:rsidR="00AC2131" w:rsidTr="00AC2131">
              <w:trPr>
                <w:trHeight w:val="354"/>
              </w:trPr>
              <w:tc>
                <w:tcPr>
                  <w:tcW w:w="1244"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171"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2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26"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26"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311"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Money and Forex Broking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Trading for Own Account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position w:val="-6"/>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532988" w:rsidRDefault="00AC2131" w:rsidP="00AC2131">
                  <w:pPr>
                    <w:pStyle w:val="TableBodyText"/>
                    <w:jc w:val="left"/>
                  </w:pPr>
                  <w:r w:rsidRPr="00532988">
                    <w:t xml:space="preserve">Securities Issuance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Money Broking</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Underwriting </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Asset Management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Settlement and Clearing</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845BBB" w:rsidRDefault="00AC2131" w:rsidP="00AC2131">
                  <w:pPr>
                    <w:pStyle w:val="TableBodyText"/>
                    <w:jc w:val="left"/>
                  </w:pPr>
                  <w:r>
                    <w:t xml:space="preserve">Financial Information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Financial Advisory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532988" w:rsidRDefault="00AC2131" w:rsidP="00AC2131">
                  <w:pPr>
                    <w:pStyle w:val="TableBodyText"/>
                    <w:jc w:val="left"/>
                  </w:pPr>
                  <w:r w:rsidRPr="00532988">
                    <w:t xml:space="preserve">Operational Headquarters </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Securities Broking </w:t>
                  </w:r>
                </w:p>
              </w:tc>
              <w:tc>
                <w:tcPr>
                  <w:tcW w:w="171" w:type="pct"/>
                  <w:tcBorders>
                    <w:top w:val="single" w:sz="6" w:space="0" w:color="BFBFBF"/>
                    <w:bottom w:val="single" w:sz="6" w:space="0" w:color="BFBFBF"/>
                  </w:tcBorders>
                  <w:shd w:val="clear" w:color="auto" w:fill="auto"/>
                </w:tcPr>
                <w:p w:rsidR="00AC2131"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845BBB" w:rsidRDefault="00AC2131" w:rsidP="00AC2131">
                  <w:pPr>
                    <w:pStyle w:val="TableBodyText"/>
                    <w:jc w:val="left"/>
                  </w:pPr>
                  <w:r w:rsidRPr="00845BBB">
                    <w:t xml:space="preserve">Commodities Futures Broking </w:t>
                  </w:r>
                </w:p>
              </w:tc>
              <w:tc>
                <w:tcPr>
                  <w:tcW w:w="171" w:type="pct"/>
                  <w:tcBorders>
                    <w:top w:val="single" w:sz="6" w:space="0" w:color="BFBFBF"/>
                    <w:bottom w:val="single" w:sz="6" w:space="0" w:color="BFBFBF"/>
                  </w:tcBorders>
                  <w:shd w:val="clear" w:color="auto" w:fill="auto"/>
                </w:tcPr>
                <w:p w:rsidR="00AC2131"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845BBB" w:rsidRDefault="00AC2131" w:rsidP="00AC2131">
                  <w:pPr>
                    <w:pStyle w:val="TableBodyText"/>
                    <w:jc w:val="left"/>
                    <w:rPr>
                      <w:b/>
                    </w:rPr>
                  </w:pPr>
                  <w:r w:rsidRPr="00845BBB">
                    <w:rPr>
                      <w:b/>
                    </w:rPr>
                    <w:t>Insurance Services</w:t>
                  </w:r>
                </w:p>
              </w:tc>
              <w:tc>
                <w:tcPr>
                  <w:tcW w:w="171" w:type="pct"/>
                  <w:tcBorders>
                    <w:top w:val="single" w:sz="6" w:space="0" w:color="BFBFBF"/>
                    <w:bottom w:val="single" w:sz="6" w:space="0" w:color="BFBFBF"/>
                  </w:tcBorders>
                  <w:shd w:val="clear" w:color="auto" w:fill="auto"/>
                </w:tcPr>
                <w:p w:rsidR="00AC2131" w:rsidRDefault="00AC2131" w:rsidP="00AC2131">
                  <w:pPr>
                    <w:jc w:val="center"/>
                  </w:pPr>
                </w:p>
              </w:tc>
              <w:tc>
                <w:tcPr>
                  <w:tcW w:w="325"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8" w:type="pct"/>
                  <w:tcBorders>
                    <w:top w:val="single" w:sz="6" w:space="0" w:color="BFBFBF"/>
                    <w:bottom w:val="single" w:sz="6" w:space="0" w:color="BFBFBF"/>
                  </w:tcBorders>
                  <w:shd w:val="clear" w:color="auto" w:fill="auto"/>
                </w:tcPr>
                <w:p w:rsidR="00AC2131" w:rsidRDefault="00AC2131" w:rsidP="00AC2131">
                  <w:pPr>
                    <w:jc w:val="center"/>
                  </w:pPr>
                </w:p>
              </w:tc>
              <w:tc>
                <w:tcPr>
                  <w:tcW w:w="328" w:type="pct"/>
                  <w:tcBorders>
                    <w:top w:val="single" w:sz="6" w:space="0" w:color="BFBFBF"/>
                    <w:bottom w:val="single" w:sz="6" w:space="0" w:color="BFBFBF"/>
                  </w:tcBorders>
                  <w:shd w:val="clear" w:color="auto" w:fill="auto"/>
                </w:tcPr>
                <w:p w:rsidR="00AC2131" w:rsidRDefault="00AC2131" w:rsidP="00AC2131">
                  <w:pPr>
                    <w:jc w:val="center"/>
                  </w:pPr>
                </w:p>
              </w:tc>
              <w:tc>
                <w:tcPr>
                  <w:tcW w:w="328"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Direct Non- Life Insurance </w:t>
                  </w:r>
                </w:p>
              </w:tc>
              <w:tc>
                <w:tcPr>
                  <w:tcW w:w="17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001032" w:rsidRDefault="00AC2131" w:rsidP="00AC2131">
                  <w:pPr>
                    <w:pStyle w:val="TableBodyText"/>
                    <w:jc w:val="left"/>
                    <w:rPr>
                      <w:b/>
                    </w:rPr>
                  </w:pPr>
                  <w:r>
                    <w:t xml:space="preserve">Direct Life Insurance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44" w:type="pct"/>
                  <w:tcBorders>
                    <w:top w:val="single" w:sz="6" w:space="0" w:color="BFBFBF"/>
                  </w:tcBorders>
                  <w:shd w:val="clear" w:color="auto" w:fill="auto"/>
                  <w:tcMar>
                    <w:top w:w="28" w:type="dxa"/>
                  </w:tcMar>
                  <w:vAlign w:val="center"/>
                </w:tcPr>
                <w:p w:rsidR="00AC2131" w:rsidRDefault="00AC2131" w:rsidP="00AC2131">
                  <w:pPr>
                    <w:pStyle w:val="TableBodyText"/>
                    <w:jc w:val="left"/>
                  </w:pPr>
                  <w:r>
                    <w:t xml:space="preserve">Reinsurance Non-Life </w:t>
                  </w:r>
                </w:p>
              </w:tc>
              <w:tc>
                <w:tcPr>
                  <w:tcW w:w="171"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5" w:type="pct"/>
                  <w:tcBorders>
                    <w:top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tcBorders>
                  <w:shd w:val="clear" w:color="auto" w:fill="auto"/>
                </w:tcPr>
                <w:p w:rsidR="00AC2131" w:rsidRDefault="00AC2131" w:rsidP="00AC2131">
                  <w:pPr>
                    <w:jc w:val="center"/>
                  </w:pPr>
                  <w:r w:rsidRPr="004760D9">
                    <w:rPr>
                      <w:rFonts w:cs="Arial"/>
                    </w:rPr>
                    <w:t>●</w:t>
                  </w:r>
                </w:p>
              </w:tc>
              <w:tc>
                <w:tcPr>
                  <w:tcW w:w="326" w:type="pct"/>
                  <w:tcBorders>
                    <w:top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1" w:type="pct"/>
                  <w:tcBorders>
                    <w:top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Continued"/>
            </w:pPr>
            <w:r>
              <w:t>(continued next page)</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tbl>
      <w:tblPr>
        <w:tblW w:w="13870"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70"/>
      </w:tblGrid>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D.1</w:t>
            </w:r>
            <w:r>
              <w:tab/>
            </w:r>
            <w:r w:rsidRPr="00A522EC">
              <w:rPr>
                <w:b w:val="0"/>
                <w:sz w:val="18"/>
              </w:rPr>
              <w:t>(continued)</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36"/>
              <w:gridCol w:w="880"/>
              <w:gridCol w:w="839"/>
              <w:gridCol w:w="904"/>
              <w:gridCol w:w="777"/>
              <w:gridCol w:w="843"/>
              <w:gridCol w:w="864"/>
              <w:gridCol w:w="832"/>
              <w:gridCol w:w="848"/>
              <w:gridCol w:w="848"/>
              <w:gridCol w:w="904"/>
              <w:gridCol w:w="954"/>
              <w:gridCol w:w="757"/>
            </w:tblGrid>
            <w:tr w:rsidR="00AC2131" w:rsidTr="00AC2131">
              <w:trPr>
                <w:trHeight w:val="354"/>
              </w:trPr>
              <w:tc>
                <w:tcPr>
                  <w:tcW w:w="1230"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326"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11"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290"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12"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0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14"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14"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28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Reinsurance Life</w:t>
                  </w:r>
                </w:p>
              </w:tc>
              <w:tc>
                <w:tcPr>
                  <w:tcW w:w="326"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2"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0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283"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Intermediation and Broking </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2"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0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8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Intermediation and Underwriting </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pPr>
                  <w:r>
                    <w:t>*</w:t>
                  </w:r>
                </w:p>
              </w:tc>
              <w:tc>
                <w:tcPr>
                  <w:tcW w:w="312"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8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rsidRPr="008F7741">
                    <w:t xml:space="preserve">Auxiliary Insurance </w:t>
                  </w:r>
                </w:p>
              </w:tc>
              <w:tc>
                <w:tcPr>
                  <w:tcW w:w="326"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0"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2"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283"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60D9">
                    <w:rPr>
                      <w:rFonts w:cs="Arial"/>
                    </w:rPr>
                    <w:t>●</w:t>
                  </w: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rPr>
                      <w:b/>
                    </w:rPr>
                    <w:t>HEALTHCARE SERVICES</w:t>
                  </w: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11" w:type="pct"/>
                  <w:tcBorders>
                    <w:top w:val="single" w:sz="6" w:space="0" w:color="BFBFBF"/>
                    <w:bottom w:val="single" w:sz="6" w:space="0" w:color="BFBFBF"/>
                  </w:tcBorders>
                  <w:shd w:val="clear" w:color="auto" w:fill="auto"/>
                </w:tcPr>
                <w:p w:rsidR="00AC2131" w:rsidRDefault="00AC2131" w:rsidP="00AC2131">
                  <w:pPr>
                    <w:jc w:val="center"/>
                  </w:pP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290" w:type="pct"/>
                  <w:tcBorders>
                    <w:top w:val="single" w:sz="6" w:space="0" w:color="BFBFBF"/>
                    <w:bottom w:val="single" w:sz="6" w:space="0" w:color="BFBFBF"/>
                  </w:tcBorders>
                  <w:shd w:val="clear" w:color="auto" w:fill="auto"/>
                </w:tcPr>
                <w:p w:rsidR="00AC2131" w:rsidRDefault="00AC2131" w:rsidP="00AC2131">
                  <w:pPr>
                    <w:jc w:val="center"/>
                  </w:pPr>
                </w:p>
              </w:tc>
              <w:tc>
                <w:tcPr>
                  <w:tcW w:w="312"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28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Private Hospitals</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0"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2"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28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Guidance and Counselling </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2"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8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2199" w:type="pct"/>
                  <w:gridSpan w:val="4"/>
                  <w:tcBorders>
                    <w:top w:val="single" w:sz="6" w:space="0" w:color="BFBFBF"/>
                    <w:bottom w:val="single" w:sz="6" w:space="0" w:color="BFBFBF"/>
                  </w:tcBorders>
                  <w:shd w:val="clear" w:color="auto" w:fill="auto"/>
                  <w:tcMar>
                    <w:top w:w="28" w:type="dxa"/>
                  </w:tcMar>
                  <w:vAlign w:val="center"/>
                </w:tcPr>
                <w:p w:rsidR="00AC2131" w:rsidRPr="005525D0" w:rsidRDefault="00AC2131" w:rsidP="00AC2131">
                  <w:pPr>
                    <w:pStyle w:val="TableBodyText"/>
                    <w:jc w:val="left"/>
                    <w:rPr>
                      <w:b/>
                    </w:rPr>
                  </w:pPr>
                  <w:r w:rsidRPr="005525D0">
                    <w:rPr>
                      <w:b/>
                    </w:rPr>
                    <w:t>TOURISM AND TRAVEL SERVICES</w:t>
                  </w:r>
                </w:p>
              </w:tc>
              <w:tc>
                <w:tcPr>
                  <w:tcW w:w="290" w:type="pct"/>
                  <w:tcBorders>
                    <w:top w:val="single" w:sz="6" w:space="0" w:color="BFBFBF"/>
                    <w:bottom w:val="single" w:sz="6" w:space="0" w:color="BFBFBF"/>
                  </w:tcBorders>
                  <w:shd w:val="clear" w:color="auto" w:fill="auto"/>
                </w:tcPr>
                <w:p w:rsidR="00AC2131" w:rsidRDefault="00AC2131" w:rsidP="00AC2131">
                  <w:pPr>
                    <w:jc w:val="center"/>
                  </w:pPr>
                </w:p>
              </w:tc>
              <w:tc>
                <w:tcPr>
                  <w:tcW w:w="312"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28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Hotels, Resorts and Restaurants</w:t>
                  </w:r>
                </w:p>
              </w:tc>
              <w:tc>
                <w:tcPr>
                  <w:tcW w:w="326"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11"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0"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2"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283"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Travel Agent, Tour and Tourist Guide</w:t>
                  </w:r>
                </w:p>
              </w:tc>
              <w:tc>
                <w:tcPr>
                  <w:tcW w:w="326"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290"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2"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60D9">
                    <w:rPr>
                      <w:rFonts w:cs="Arial"/>
                    </w:rPr>
                    <w:t>●</w:t>
                  </w:r>
                </w:p>
              </w:tc>
              <w:tc>
                <w:tcPr>
                  <w:tcW w:w="28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position w:val="-6"/>
                    </w:rPr>
                    <w:t>*</w:t>
                  </w: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Congress Organisation</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cs="Arial"/>
                    </w:rPr>
                  </w:pPr>
                  <w:r>
                    <w:rPr>
                      <w:rFonts w:cs="Arial"/>
                    </w:rPr>
                    <w:t>*</w:t>
                  </w:r>
                </w:p>
              </w:tc>
              <w:tc>
                <w:tcPr>
                  <w:tcW w:w="31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2"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283"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Meal Serving Services</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cs="Arial"/>
                    </w:rPr>
                  </w:pPr>
                  <w:r>
                    <w:rPr>
                      <w:rFonts w:cs="Arial"/>
                    </w:rPr>
                    <w:t>*</w:t>
                  </w:r>
                </w:p>
              </w:tc>
              <w:tc>
                <w:tcPr>
                  <w:tcW w:w="31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2"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283"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Tourism Consultancy</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cs="Arial"/>
                    </w:rPr>
                  </w:pPr>
                  <w:r>
                    <w:rPr>
                      <w:rFonts w:cs="Arial"/>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rPr>
                      <w:rFonts w:cs="Arial"/>
                    </w:rPr>
                  </w:pPr>
                  <w:r>
                    <w:rPr>
                      <w:rFonts w:cs="Arial"/>
                    </w:rPr>
                    <w:t>*</w:t>
                  </w:r>
                </w:p>
              </w:tc>
              <w:tc>
                <w:tcPr>
                  <w:tcW w:w="290"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2"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lang w:bidi="th-TH"/>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4"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83"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Pr>
                      <w:rFonts w:cs="Arial"/>
                      <w:position w:val="-6"/>
                    </w:rPr>
                    <w:t>*</w:t>
                  </w:r>
                </w:p>
              </w:tc>
            </w:tr>
            <w:tr w:rsidR="00AC2131" w:rsidTr="00AC2131">
              <w:trPr>
                <w:trHeight w:val="351"/>
              </w:trPr>
              <w:tc>
                <w:tcPr>
                  <w:tcW w:w="1230"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Other</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cs="Arial"/>
                    </w:rPr>
                  </w:pPr>
                  <w:r>
                    <w:rPr>
                      <w:rFonts w:cs="Arial"/>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cs="Arial"/>
                    </w:rPr>
                  </w:pPr>
                  <w:r>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rPr>
                      <w:rFonts w:cs="Arial"/>
                    </w:rPr>
                  </w:pPr>
                  <w:r>
                    <w:rPr>
                      <w:rFonts w:cs="Arial"/>
                    </w:rPr>
                    <w:t>*</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lang w:bidi="th-TH"/>
                    </w:rPr>
                  </w:pPr>
                  <w:r w:rsidRPr="004760D9">
                    <w:rPr>
                      <w:rFonts w:cs="Arial"/>
                    </w:rPr>
                    <w:t>●</w:t>
                  </w:r>
                </w:p>
              </w:tc>
              <w:tc>
                <w:tcPr>
                  <w:tcW w:w="312"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0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283"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Pr>
                      <w:rFonts w:cs="Arial"/>
                      <w:position w:val="-6"/>
                    </w:rPr>
                    <w:t>*</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Continued"/>
            </w:pPr>
            <w:r>
              <w:t>(continued next page)</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p w:rsidR="00AC2131" w:rsidRDefault="00AC2131">
      <w:r>
        <w:br w:type="page"/>
      </w:r>
    </w:p>
    <w:p w:rsidR="00AC2131" w:rsidRDefault="00AC2131"/>
    <w:tbl>
      <w:tblPr>
        <w:tblW w:w="13870"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70"/>
      </w:tblGrid>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D.1</w:t>
            </w:r>
            <w:r>
              <w:tab/>
            </w:r>
            <w:r w:rsidRPr="00A522EC">
              <w:rPr>
                <w:b w:val="0"/>
                <w:sz w:val="18"/>
              </w:rPr>
              <w:t>(continued)</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45"/>
              <w:gridCol w:w="784"/>
              <w:gridCol w:w="848"/>
              <w:gridCol w:w="904"/>
              <w:gridCol w:w="795"/>
              <w:gridCol w:w="851"/>
              <w:gridCol w:w="864"/>
              <w:gridCol w:w="845"/>
              <w:gridCol w:w="857"/>
              <w:gridCol w:w="857"/>
              <w:gridCol w:w="904"/>
              <w:gridCol w:w="954"/>
              <w:gridCol w:w="778"/>
            </w:tblGrid>
            <w:tr w:rsidR="00AC2131" w:rsidTr="00AC2131">
              <w:trPr>
                <w:trHeight w:val="354"/>
              </w:trPr>
              <w:tc>
                <w:tcPr>
                  <w:tcW w:w="1244"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171"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2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26"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26"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2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311"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740" w:type="pct"/>
                  <w:gridSpan w:val="3"/>
                  <w:tcBorders>
                    <w:top w:val="single" w:sz="6" w:space="0" w:color="BFBFBF"/>
                    <w:bottom w:val="single" w:sz="6" w:space="0" w:color="BFBFBF"/>
                  </w:tcBorders>
                  <w:shd w:val="clear" w:color="auto" w:fill="auto"/>
                  <w:tcMar>
                    <w:top w:w="28" w:type="dxa"/>
                  </w:tcMar>
                  <w:vAlign w:val="center"/>
                </w:tcPr>
                <w:p w:rsidR="00AC2131" w:rsidRPr="005525D0" w:rsidRDefault="00AC2131" w:rsidP="00AC2131">
                  <w:pPr>
                    <w:pStyle w:val="TableBodyText"/>
                    <w:jc w:val="left"/>
                    <w:rPr>
                      <w:b/>
                    </w:rPr>
                  </w:pPr>
                  <w:r w:rsidRPr="005525D0">
                    <w:rPr>
                      <w:b/>
                    </w:rPr>
                    <w:t>RECREATIONAL/CULTURAL SERVICES</w:t>
                  </w:r>
                </w:p>
              </w:tc>
              <w:tc>
                <w:tcPr>
                  <w:tcW w:w="333" w:type="pct"/>
                  <w:tcBorders>
                    <w:top w:val="single" w:sz="6" w:space="0" w:color="BFBFBF"/>
                    <w:bottom w:val="single" w:sz="6" w:space="0" w:color="BFBFBF"/>
                  </w:tcBorders>
                  <w:shd w:val="clear" w:color="auto" w:fill="auto"/>
                </w:tcPr>
                <w:p w:rsidR="00AC2131" w:rsidRDefault="00AC2131" w:rsidP="00AC2131">
                  <w:pPr>
                    <w:jc w:val="center"/>
                  </w:pPr>
                </w:p>
              </w:tc>
              <w:tc>
                <w:tcPr>
                  <w:tcW w:w="318"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6" w:type="pct"/>
                  <w:tcBorders>
                    <w:top w:val="single" w:sz="6" w:space="0" w:color="BFBFBF"/>
                    <w:bottom w:val="single" w:sz="6" w:space="0" w:color="BFBFBF"/>
                  </w:tcBorders>
                  <w:shd w:val="clear" w:color="auto" w:fill="auto"/>
                </w:tcPr>
                <w:p w:rsidR="00AC2131" w:rsidRDefault="00AC2131" w:rsidP="00AC2131">
                  <w:pPr>
                    <w:jc w:val="center"/>
                  </w:pP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c>
                <w:tcPr>
                  <w:tcW w:w="31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Circus, Amusement, Theme Park s</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Library Services</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Other Entertainment </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cs="Arial"/>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Sports Event Management </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Sporting and Recreational</w:t>
                  </w:r>
                </w:p>
              </w:tc>
              <w:tc>
                <w:tcPr>
                  <w:tcW w:w="171"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sidRPr="004760D9">
                    <w:rPr>
                      <w:rFonts w:cs="Arial"/>
                    </w:rPr>
                    <w:t>●</w:t>
                  </w:r>
                </w:p>
              </w:tc>
              <w:tc>
                <w:tcPr>
                  <w:tcW w:w="32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cs="Arial"/>
                    </w:rPr>
                  </w:pPr>
                  <w:r w:rsidRPr="004760D9">
                    <w:rPr>
                      <w:rFonts w:cs="Arial"/>
                    </w:rPr>
                    <w:t>●</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cs="Arial"/>
                      <w:position w:val="-6"/>
                    </w:rPr>
                  </w:pPr>
                  <w:r>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8F7741" w:rsidRDefault="00AC2131" w:rsidP="00AC2131">
                  <w:pPr>
                    <w:pStyle w:val="TableBodyText"/>
                    <w:jc w:val="left"/>
                    <w:rPr>
                      <w:b/>
                    </w:rPr>
                  </w:pPr>
                  <w:r w:rsidRPr="008F7741">
                    <w:rPr>
                      <w:b/>
                    </w:rPr>
                    <w:t>TRANSPORT SERVICES</w:t>
                  </w:r>
                </w:p>
              </w:tc>
              <w:tc>
                <w:tcPr>
                  <w:tcW w:w="171"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5"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33"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6"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6"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33"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9"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1" w:type="pct"/>
                  <w:tcBorders>
                    <w:top w:val="single" w:sz="6" w:space="0" w:color="BFBFBF"/>
                    <w:bottom w:val="single" w:sz="6" w:space="0" w:color="BFBFBF"/>
                  </w:tcBorders>
                  <w:shd w:val="clear" w:color="auto" w:fill="auto"/>
                </w:tcPr>
                <w:p w:rsidR="00AC2131" w:rsidRDefault="00AC2131" w:rsidP="00AC2131">
                  <w:pPr>
                    <w:pStyle w:val="TableBodyText"/>
                    <w:jc w:val="center"/>
                  </w:pP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8F7741" w:rsidRDefault="00AC2131" w:rsidP="00AC2131">
                  <w:pPr>
                    <w:pStyle w:val="TableBodyText"/>
                    <w:jc w:val="left"/>
                  </w:pPr>
                  <w:r>
                    <w:t xml:space="preserve">Air Transport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Pr="008F7741" w:rsidRDefault="00AC2131" w:rsidP="00AC2131">
                  <w:pPr>
                    <w:pStyle w:val="TableBodyText"/>
                    <w:jc w:val="left"/>
                  </w:pPr>
                  <w:r w:rsidRPr="008F7741">
                    <w:t xml:space="preserve">Maritime </w:t>
                  </w:r>
                  <w:r>
                    <w:t xml:space="preserve">Transport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Maritime Auxiliary Services</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Internal Waterways Transport </w:t>
                  </w:r>
                </w:p>
              </w:tc>
              <w:tc>
                <w:tcPr>
                  <w:tcW w:w="17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Rail Transport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60D9">
                    <w:rPr>
                      <w:rFonts w:cs="Arial"/>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Commercial Road Transport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9"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Other Transport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Default="00AC2131" w:rsidP="00AC2131">
                  <w:pPr>
                    <w:jc w:val="cente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bottom w:val="single" w:sz="6" w:space="0" w:color="BFBFBF"/>
                  </w:tcBorders>
                  <w:shd w:val="clear" w:color="auto" w:fill="auto"/>
                </w:tcPr>
                <w:p w:rsidR="00AC2131" w:rsidRDefault="00AC2131" w:rsidP="00AC2131">
                  <w:pPr>
                    <w:jc w:val="center"/>
                  </w:pPr>
                  <w:r>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1"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44"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Pipeline Transport </w:t>
                  </w:r>
                </w:p>
              </w:tc>
              <w:tc>
                <w:tcPr>
                  <w:tcW w:w="171"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2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60D9">
                    <w:rPr>
                      <w:rFonts w:cs="Arial"/>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26"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26"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29"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cs/>
                      <w:lang w:bidi="th-TH"/>
                    </w:rPr>
                    <w:t>๐</w:t>
                  </w:r>
                </w:p>
              </w:tc>
              <w:tc>
                <w:tcPr>
                  <w:tcW w:w="311"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44" w:type="pct"/>
                  <w:tcBorders>
                    <w:top w:val="single" w:sz="6" w:space="0" w:color="BFBFBF"/>
                  </w:tcBorders>
                  <w:shd w:val="clear" w:color="auto" w:fill="auto"/>
                  <w:tcMar>
                    <w:top w:w="28" w:type="dxa"/>
                  </w:tcMar>
                  <w:vAlign w:val="center"/>
                </w:tcPr>
                <w:p w:rsidR="00AC2131" w:rsidRDefault="00AC2131" w:rsidP="00AC2131">
                  <w:pPr>
                    <w:pStyle w:val="TableBodyText"/>
                    <w:jc w:val="left"/>
                  </w:pPr>
                  <w:r>
                    <w:t xml:space="preserve">Auxiliary Transport </w:t>
                  </w:r>
                </w:p>
              </w:tc>
              <w:tc>
                <w:tcPr>
                  <w:tcW w:w="171" w:type="pct"/>
                  <w:tcBorders>
                    <w:top w:val="single" w:sz="6" w:space="0" w:color="BFBFBF"/>
                  </w:tcBorders>
                  <w:shd w:val="clear" w:color="auto" w:fill="auto"/>
                </w:tcPr>
                <w:p w:rsidR="00AC2131" w:rsidRPr="0047728F" w:rsidRDefault="00AC2131" w:rsidP="00AC2131">
                  <w:pPr>
                    <w:jc w:val="center"/>
                    <w:rPr>
                      <w:rFonts w:cs="Arial"/>
                      <w:position w:val="-6"/>
                    </w:rPr>
                  </w:pPr>
                  <w:r w:rsidRPr="004760D9">
                    <w:rPr>
                      <w:rFonts w:cs="Arial"/>
                    </w:rPr>
                    <w:t>●</w:t>
                  </w:r>
                </w:p>
              </w:tc>
              <w:tc>
                <w:tcPr>
                  <w:tcW w:w="325"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tcBorders>
                  <w:shd w:val="clear" w:color="auto" w:fill="auto"/>
                </w:tcPr>
                <w:p w:rsidR="00AC2131" w:rsidRDefault="00AC2131" w:rsidP="00AC2131">
                  <w:pPr>
                    <w:jc w:val="center"/>
                    <w:rPr>
                      <w:rFonts w:ascii="Tahoma" w:hAnsi="Tahoma" w:cs="Tahoma"/>
                      <w:cs/>
                      <w:lang w:bidi="th-TH"/>
                    </w:rPr>
                  </w:pPr>
                  <w:r>
                    <w:rPr>
                      <w:rFonts w:ascii="Tahoma" w:hAnsi="Tahoma" w:cs="Tahoma"/>
                      <w:lang w:bidi="th-TH"/>
                    </w:rPr>
                    <w:t>*</w:t>
                  </w:r>
                </w:p>
              </w:tc>
              <w:tc>
                <w:tcPr>
                  <w:tcW w:w="326" w:type="pct"/>
                  <w:tcBorders>
                    <w:top w:val="single" w:sz="6" w:space="0" w:color="BFBFBF"/>
                  </w:tcBorders>
                  <w:shd w:val="clear" w:color="auto" w:fill="auto"/>
                </w:tcPr>
                <w:p w:rsidR="00AC2131" w:rsidRDefault="00AC2131" w:rsidP="00AC2131">
                  <w:pPr>
                    <w:jc w:val="center"/>
                  </w:pPr>
                  <w:r>
                    <w:rPr>
                      <w:rFonts w:ascii="Tahoma" w:hAnsi="Tahoma" w:cs="Tahoma"/>
                      <w:cs/>
                      <w:lang w:bidi="th-TH"/>
                    </w:rPr>
                    <w:t>๐</w:t>
                  </w:r>
                </w:p>
              </w:tc>
              <w:tc>
                <w:tcPr>
                  <w:tcW w:w="326" w:type="pct"/>
                  <w:tcBorders>
                    <w:top w:val="single" w:sz="6" w:space="0" w:color="BFBFBF"/>
                  </w:tcBorders>
                  <w:shd w:val="clear" w:color="auto" w:fill="auto"/>
                </w:tcPr>
                <w:p w:rsidR="00AC2131" w:rsidRDefault="00AC2131" w:rsidP="00AC2131">
                  <w:pPr>
                    <w:jc w:val="center"/>
                  </w:pPr>
                  <w:r w:rsidRPr="0047728F">
                    <w:rPr>
                      <w:rFonts w:cs="Arial"/>
                      <w:position w:val="-6"/>
                    </w:rPr>
                    <w:t>*</w:t>
                  </w:r>
                </w:p>
              </w:tc>
              <w:tc>
                <w:tcPr>
                  <w:tcW w:w="328" w:type="pct"/>
                  <w:tcBorders>
                    <w:top w:val="single" w:sz="6" w:space="0" w:color="BFBFBF"/>
                  </w:tcBorders>
                  <w:shd w:val="clear" w:color="auto" w:fill="auto"/>
                </w:tcPr>
                <w:p w:rsidR="00AC2131" w:rsidRPr="004760D9" w:rsidRDefault="00AC2131" w:rsidP="00AC2131">
                  <w:pPr>
                    <w:jc w:val="center"/>
                    <w:rPr>
                      <w:rFonts w:cs="Arial"/>
                    </w:rPr>
                  </w:pPr>
                  <w:r>
                    <w:rPr>
                      <w:rFonts w:cs="Arial"/>
                    </w:rPr>
                    <w:t>*</w:t>
                  </w:r>
                </w:p>
              </w:tc>
              <w:tc>
                <w:tcPr>
                  <w:tcW w:w="328"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8" w:type="pct"/>
                  <w:tcBorders>
                    <w:top w:val="single" w:sz="6" w:space="0" w:color="BFBFBF"/>
                  </w:tcBorders>
                  <w:shd w:val="clear" w:color="auto" w:fill="auto"/>
                </w:tcPr>
                <w:p w:rsidR="00AC2131" w:rsidRPr="004760D9" w:rsidRDefault="00AC2131" w:rsidP="00AC2131">
                  <w:pPr>
                    <w:jc w:val="center"/>
                    <w:rPr>
                      <w:rFonts w:cs="Arial"/>
                    </w:rPr>
                  </w:pPr>
                  <w:r>
                    <w:rPr>
                      <w:rFonts w:ascii="Tahoma" w:hAnsi="Tahoma" w:cs="Tahoma"/>
                      <w:cs/>
                      <w:lang w:bidi="th-TH"/>
                    </w:rPr>
                    <w:t>๐</w:t>
                  </w:r>
                </w:p>
              </w:tc>
              <w:tc>
                <w:tcPr>
                  <w:tcW w:w="333" w:type="pct"/>
                  <w:tcBorders>
                    <w:top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1" w:type="pct"/>
                  <w:tcBorders>
                    <w:top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Continued"/>
            </w:pPr>
            <w:r>
              <w:t>(continued next page)</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r w:rsidR="00AC2131" w:rsidTr="00AC2131">
        <w:tc>
          <w:tcPr>
            <w:tcW w:w="13870" w:type="dxa"/>
            <w:tcBorders>
              <w:top w:val="single" w:sz="6" w:space="0" w:color="78A22F"/>
              <w:left w:val="nil"/>
              <w:bottom w:val="nil"/>
              <w:right w:val="nil"/>
            </w:tcBorders>
            <w:shd w:val="clear" w:color="auto" w:fill="auto"/>
          </w:tcPr>
          <w:p w:rsidR="00AC2131" w:rsidRPr="00784A05" w:rsidRDefault="00AC2131" w:rsidP="00AC2131">
            <w:pPr>
              <w:pStyle w:val="TableTitle"/>
            </w:pPr>
            <w:r>
              <w:rPr>
                <w:b w:val="0"/>
              </w:rPr>
              <w:t>Table D.1</w:t>
            </w:r>
            <w:r>
              <w:tab/>
            </w:r>
            <w:r w:rsidRPr="00A522EC">
              <w:rPr>
                <w:b w:val="0"/>
                <w:sz w:val="18"/>
              </w:rPr>
              <w:t>(continued)</w:t>
            </w:r>
          </w:p>
        </w:tc>
      </w:tr>
      <w:tr w:rsidR="00AC2131" w:rsidTr="00AC2131">
        <w:trPr>
          <w:cantSplit/>
        </w:trPr>
        <w:tc>
          <w:tcPr>
            <w:tcW w:w="13870"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44"/>
              <w:gridCol w:w="784"/>
              <w:gridCol w:w="842"/>
              <w:gridCol w:w="904"/>
              <w:gridCol w:w="797"/>
              <w:gridCol w:w="851"/>
              <w:gridCol w:w="864"/>
              <w:gridCol w:w="851"/>
              <w:gridCol w:w="856"/>
              <w:gridCol w:w="856"/>
              <w:gridCol w:w="904"/>
              <w:gridCol w:w="954"/>
              <w:gridCol w:w="779"/>
            </w:tblGrid>
            <w:tr w:rsidR="00AC2131" w:rsidTr="00AC2131">
              <w:trPr>
                <w:trHeight w:val="354"/>
              </w:trPr>
              <w:tc>
                <w:tcPr>
                  <w:tcW w:w="1233"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77"/>
                    <w:jc w:val="center"/>
                  </w:pPr>
                </w:p>
              </w:tc>
              <w:tc>
                <w:tcPr>
                  <w:tcW w:w="28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Australia</w:t>
                  </w:r>
                </w:p>
              </w:tc>
              <w:tc>
                <w:tcPr>
                  <w:tcW w:w="314"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New Zealand</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Singapore</w:t>
                  </w:r>
                </w:p>
              </w:tc>
              <w:tc>
                <w:tcPr>
                  <w:tcW w:w="29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Thailand</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Vietnam</w:t>
                  </w:r>
                </w:p>
              </w:tc>
              <w:tc>
                <w:tcPr>
                  <w:tcW w:w="318"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Indonesia</w:t>
                  </w:r>
                </w:p>
              </w:tc>
              <w:tc>
                <w:tcPr>
                  <w:tcW w:w="315"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Malaysia</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Laos</w:t>
                  </w:r>
                </w:p>
              </w:tc>
              <w:tc>
                <w:tcPr>
                  <w:tcW w:w="317"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Myanmar</w:t>
                  </w:r>
                </w:p>
              </w:tc>
              <w:tc>
                <w:tcPr>
                  <w:tcW w:w="333"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Cambodia</w:t>
                  </w:r>
                </w:p>
              </w:tc>
              <w:tc>
                <w:tcPr>
                  <w:tcW w:w="329"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Philippines</w:t>
                  </w:r>
                </w:p>
              </w:tc>
              <w:tc>
                <w:tcPr>
                  <w:tcW w:w="290" w:type="pct"/>
                  <w:tcBorders>
                    <w:top w:val="single" w:sz="6" w:space="0" w:color="BFBFBF"/>
                    <w:bottom w:val="single" w:sz="6" w:space="0" w:color="BFBFBF"/>
                  </w:tcBorders>
                  <w:shd w:val="clear" w:color="auto" w:fill="auto"/>
                  <w:vAlign w:val="bottom"/>
                </w:tcPr>
                <w:p w:rsidR="00AC2131" w:rsidRDefault="00AC2131" w:rsidP="00AC2131">
                  <w:pPr>
                    <w:pStyle w:val="TableColumnHeading"/>
                    <w:ind w:right="77"/>
                    <w:jc w:val="center"/>
                  </w:pPr>
                  <w:r>
                    <w:t>Brunei</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bottom"/>
                </w:tcPr>
                <w:p w:rsidR="00AC2131" w:rsidRPr="009651EE" w:rsidRDefault="00AC2131" w:rsidP="00AC2131">
                  <w:pPr>
                    <w:pStyle w:val="TableBodyText"/>
                    <w:jc w:val="left"/>
                    <w:rPr>
                      <w:b/>
                    </w:rPr>
                  </w:pPr>
                  <w:r w:rsidRPr="009651EE">
                    <w:rPr>
                      <w:b/>
                    </w:rPr>
                    <w:t>ENERGY SERVICES</w:t>
                  </w:r>
                </w:p>
              </w:tc>
              <w:tc>
                <w:tcPr>
                  <w:tcW w:w="289"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4"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33"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297"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5"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8"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5"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7"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17"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33"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329" w:type="pct"/>
                  <w:tcBorders>
                    <w:top w:val="single" w:sz="6" w:space="0" w:color="BFBFBF"/>
                    <w:bottom w:val="single" w:sz="6" w:space="0" w:color="BFBFBF"/>
                  </w:tcBorders>
                  <w:shd w:val="clear" w:color="auto" w:fill="auto"/>
                </w:tcPr>
                <w:p w:rsidR="00AC2131" w:rsidRDefault="00AC2131" w:rsidP="00AC2131">
                  <w:pPr>
                    <w:pStyle w:val="TableBodyText"/>
                    <w:jc w:val="center"/>
                  </w:pPr>
                </w:p>
              </w:tc>
              <w:tc>
                <w:tcPr>
                  <w:tcW w:w="290" w:type="pct"/>
                  <w:tcBorders>
                    <w:top w:val="single" w:sz="6" w:space="0" w:color="BFBFBF"/>
                    <w:bottom w:val="single" w:sz="6" w:space="0" w:color="BFBFBF"/>
                  </w:tcBorders>
                  <w:shd w:val="clear" w:color="auto" w:fill="auto"/>
                </w:tcPr>
                <w:p w:rsidR="00AC2131" w:rsidRDefault="00AC2131" w:rsidP="00AC2131">
                  <w:pPr>
                    <w:pStyle w:val="TableBodyText"/>
                    <w:jc w:val="center"/>
                  </w:pP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Core Analysis and Other Testing</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Geological and Geophysical </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Engineering, Procurement Construction</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Coal Liquefaction and Gasification </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Electrical Logging and Perforation </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Competency Certification Aviation </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Competency Certification Power Plant</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 xml:space="preserve">Land Clearing </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c>
                <w:tcPr>
                  <w:tcW w:w="318"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315"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17"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60D9" w:rsidRDefault="00AC2131" w:rsidP="00AC2131">
                  <w:pPr>
                    <w:jc w:val="center"/>
                    <w:rPr>
                      <w:rFonts w:cs="Arial"/>
                    </w:rPr>
                  </w:pPr>
                  <w:r w:rsidRPr="0047728F">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0"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Oil and Gas Exploration</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Geothermal Exploration/Development</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Coal Exploration/Development</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Energy Distribution</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33" w:type="pct"/>
                  <w:tcBorders>
                    <w:top w:val="single" w:sz="6" w:space="0" w:color="BFBFBF"/>
                    <w:bottom w:val="single" w:sz="6" w:space="0" w:color="BFBFBF"/>
                  </w:tcBorders>
                  <w:shd w:val="clear" w:color="auto" w:fill="auto"/>
                  <w:tcMar>
                    <w:top w:w="28" w:type="dxa"/>
                  </w:tcMar>
                  <w:vAlign w:val="center"/>
                </w:tcPr>
                <w:p w:rsidR="00AC2131" w:rsidRDefault="00AC2131" w:rsidP="00AC2131">
                  <w:pPr>
                    <w:pStyle w:val="TableBodyText"/>
                    <w:jc w:val="left"/>
                  </w:pPr>
                  <w:r>
                    <w:t>Power Generation</w:t>
                  </w:r>
                </w:p>
              </w:tc>
              <w:tc>
                <w:tcPr>
                  <w:tcW w:w="28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5"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bottom w:val="single" w:sz="6" w:space="0" w:color="BFBFBF"/>
                  </w:tcBorders>
                  <w:shd w:val="clear" w:color="auto" w:fill="auto"/>
                </w:tcPr>
                <w:p w:rsidR="00AC2131" w:rsidRPr="0047728F" w:rsidRDefault="00AC2131" w:rsidP="00AC2131">
                  <w:pPr>
                    <w:jc w:val="center"/>
                    <w:rPr>
                      <w:rFonts w:cs="Arial"/>
                      <w:position w:val="-6"/>
                    </w:rPr>
                  </w:pPr>
                  <w:r>
                    <w:rPr>
                      <w:rFonts w:ascii="Tahoma" w:hAnsi="Tahoma" w:cs="Tahoma"/>
                      <w:cs/>
                      <w:lang w:bidi="th-TH"/>
                    </w:rPr>
                    <w:t>๐</w:t>
                  </w:r>
                </w:p>
              </w:tc>
              <w:tc>
                <w:tcPr>
                  <w:tcW w:w="290" w:type="pct"/>
                  <w:tcBorders>
                    <w:top w:val="single" w:sz="6" w:space="0" w:color="BFBFBF"/>
                    <w:bottom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r w:rsidR="00AC2131" w:rsidTr="00AC2131">
              <w:trPr>
                <w:trHeight w:val="351"/>
              </w:trPr>
              <w:tc>
                <w:tcPr>
                  <w:tcW w:w="1233" w:type="pct"/>
                  <w:tcBorders>
                    <w:top w:val="single" w:sz="6" w:space="0" w:color="BFBFBF"/>
                  </w:tcBorders>
                  <w:shd w:val="clear" w:color="auto" w:fill="auto"/>
                  <w:tcMar>
                    <w:top w:w="28" w:type="dxa"/>
                  </w:tcMar>
                  <w:vAlign w:val="center"/>
                </w:tcPr>
                <w:p w:rsidR="00AC2131" w:rsidRDefault="00AC2131" w:rsidP="00AC2131">
                  <w:pPr>
                    <w:pStyle w:val="TableBodyText"/>
                    <w:jc w:val="left"/>
                  </w:pPr>
                  <w:r>
                    <w:t>Power Plant Operation</w:t>
                  </w:r>
                </w:p>
              </w:tc>
              <w:tc>
                <w:tcPr>
                  <w:tcW w:w="289" w:type="pct"/>
                  <w:tcBorders>
                    <w:top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4" w:type="pct"/>
                  <w:tcBorders>
                    <w:top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33" w:type="pct"/>
                  <w:tcBorders>
                    <w:top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297" w:type="pct"/>
                  <w:tcBorders>
                    <w:top w:val="single" w:sz="6" w:space="0" w:color="BFBFBF"/>
                  </w:tcBorders>
                  <w:shd w:val="clear" w:color="auto" w:fill="auto"/>
                </w:tcPr>
                <w:p w:rsidR="00AC2131" w:rsidRPr="0047728F" w:rsidRDefault="00AC2131" w:rsidP="00AC2131">
                  <w:pPr>
                    <w:jc w:val="center"/>
                    <w:rPr>
                      <w:rFonts w:cs="Arial"/>
                      <w:position w:val="-6"/>
                    </w:rPr>
                  </w:pPr>
                  <w:r w:rsidRPr="0047728F">
                    <w:rPr>
                      <w:rFonts w:cs="Arial"/>
                      <w:position w:val="-6"/>
                    </w:rPr>
                    <w:t>*</w:t>
                  </w:r>
                </w:p>
              </w:tc>
              <w:tc>
                <w:tcPr>
                  <w:tcW w:w="315"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8" w:type="pct"/>
                  <w:tcBorders>
                    <w:top w:val="single" w:sz="6" w:space="0" w:color="BFBFBF"/>
                  </w:tcBorders>
                  <w:shd w:val="clear" w:color="auto" w:fill="auto"/>
                </w:tcPr>
                <w:p w:rsidR="00AC2131" w:rsidRDefault="00AC2131" w:rsidP="00AC2131">
                  <w:pPr>
                    <w:jc w:val="center"/>
                    <w:rPr>
                      <w:rFonts w:ascii="Tahoma" w:hAnsi="Tahoma" w:cs="Tahoma"/>
                      <w:cs/>
                      <w:lang w:bidi="th-TH"/>
                    </w:rPr>
                  </w:pPr>
                  <w:r>
                    <w:rPr>
                      <w:rFonts w:cs="Arial"/>
                      <w:position w:val="-6"/>
                    </w:rPr>
                    <w:t>*</w:t>
                  </w:r>
                </w:p>
              </w:tc>
              <w:tc>
                <w:tcPr>
                  <w:tcW w:w="315"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17"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33" w:type="pct"/>
                  <w:tcBorders>
                    <w:top w:val="single" w:sz="6" w:space="0" w:color="BFBFBF"/>
                  </w:tcBorders>
                  <w:shd w:val="clear" w:color="auto" w:fill="auto"/>
                </w:tcPr>
                <w:p w:rsidR="00AC2131" w:rsidRPr="0047728F" w:rsidRDefault="00AC2131" w:rsidP="00AC2131">
                  <w:pPr>
                    <w:jc w:val="center"/>
                    <w:rPr>
                      <w:rFonts w:cs="Arial"/>
                      <w:position w:val="-6"/>
                    </w:rPr>
                  </w:pPr>
                  <w:r>
                    <w:rPr>
                      <w:rFonts w:cs="Arial"/>
                      <w:position w:val="-6"/>
                    </w:rPr>
                    <w:t>*</w:t>
                  </w:r>
                </w:p>
              </w:tc>
              <w:tc>
                <w:tcPr>
                  <w:tcW w:w="329" w:type="pct"/>
                  <w:tcBorders>
                    <w:top w:val="single" w:sz="6" w:space="0" w:color="BFBFBF"/>
                  </w:tcBorders>
                  <w:shd w:val="clear" w:color="auto" w:fill="auto"/>
                </w:tcPr>
                <w:p w:rsidR="00AC2131" w:rsidRPr="00B94D00" w:rsidRDefault="00AC2131" w:rsidP="00AC2131">
                  <w:pPr>
                    <w:jc w:val="center"/>
                    <w:rPr>
                      <w:rFonts w:cs="Arial"/>
                      <w:b/>
                      <w:position w:val="-6"/>
                    </w:rPr>
                  </w:pPr>
                  <w:r>
                    <w:rPr>
                      <w:rFonts w:ascii="Tahoma" w:hAnsi="Tahoma" w:cs="Tahoma"/>
                      <w:cs/>
                      <w:lang w:bidi="th-TH"/>
                    </w:rPr>
                    <w:t>๐</w:t>
                  </w:r>
                </w:p>
              </w:tc>
              <w:tc>
                <w:tcPr>
                  <w:tcW w:w="290" w:type="pct"/>
                  <w:tcBorders>
                    <w:top w:val="single" w:sz="6" w:space="0" w:color="BFBFBF"/>
                  </w:tcBorders>
                  <w:shd w:val="clear" w:color="auto" w:fill="auto"/>
                </w:tcPr>
                <w:p w:rsidR="00AC2131" w:rsidRDefault="00AC2131" w:rsidP="00AC2131">
                  <w:pPr>
                    <w:jc w:val="center"/>
                    <w:rPr>
                      <w:rFonts w:ascii="Tahoma" w:hAnsi="Tahoma" w:cs="Tahoma"/>
                      <w:cs/>
                      <w:lang w:bidi="th-TH"/>
                    </w:rPr>
                  </w:pPr>
                  <w:r w:rsidRPr="0047728F">
                    <w:rPr>
                      <w:rFonts w:cs="Arial"/>
                      <w:position w:val="-6"/>
                    </w:rPr>
                    <w:t>*</w:t>
                  </w:r>
                </w:p>
              </w:tc>
            </w:tr>
          </w:tbl>
          <w:p w:rsidR="00AC2131" w:rsidRDefault="00AC2131" w:rsidP="00AC2131">
            <w:pPr>
              <w:pStyle w:val="Box"/>
            </w:pP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Note"/>
            </w:pPr>
            <w:r w:rsidRPr="008E77FE">
              <w:rPr>
                <w:rStyle w:val="NoteLabel"/>
              </w:rPr>
              <w:t>a</w:t>
            </w:r>
            <w:r>
              <w:t xml:space="preserve"> Shaded dots represent unrestricted access and national treatment. Unshaded dots represent restrictions on access or national treatment. An asterisk represents sector not mentioned in country schedule.</w:t>
            </w:r>
          </w:p>
        </w:tc>
      </w:tr>
      <w:tr w:rsidR="00AC2131" w:rsidTr="00AC2131">
        <w:trPr>
          <w:cantSplit/>
        </w:trPr>
        <w:tc>
          <w:tcPr>
            <w:tcW w:w="13870"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 xml:space="preserve">ASEAN-Australia-New Zealand Country Schedules of Specific Services Commitments available at </w:t>
            </w:r>
            <w:r w:rsidRPr="00024098">
              <w:t>http://dfat.gov.au/trade/agreements/aanzfta/official-documents/Pages/annex-3-schedules-of-specific-services-commitments</w:t>
            </w:r>
            <w:r>
              <w:t xml:space="preserve"> (accessed 7 May 2015).</w:t>
            </w:r>
          </w:p>
        </w:tc>
      </w:tr>
      <w:tr w:rsidR="00AC2131" w:rsidTr="00AC2131">
        <w:trPr>
          <w:cantSplit/>
        </w:trPr>
        <w:tc>
          <w:tcPr>
            <w:tcW w:w="13870"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13870" w:type="dxa"/>
            <w:tcBorders>
              <w:top w:val="single" w:sz="6" w:space="0" w:color="78A22F"/>
              <w:left w:val="nil"/>
              <w:bottom w:val="nil"/>
              <w:right w:val="nil"/>
            </w:tcBorders>
          </w:tcPr>
          <w:p w:rsidR="00AC2131" w:rsidRPr="00626D32" w:rsidRDefault="00AC2131" w:rsidP="00AC2131">
            <w:pPr>
              <w:pStyle w:val="BoxSpaceBelow"/>
            </w:pPr>
          </w:p>
        </w:tc>
      </w:tr>
    </w:tbl>
    <w:p w:rsidR="00AC2131" w:rsidRPr="00A03BEC" w:rsidRDefault="00AC2131" w:rsidP="00AC2131">
      <w:pPr>
        <w:rPr>
          <w:szCs w:val="20"/>
        </w:rPr>
        <w:sectPr w:rsidR="00AC2131" w:rsidRPr="00A03BEC" w:rsidSect="00AC2131">
          <w:headerReference w:type="even" r:id="rId111"/>
          <w:headerReference w:type="default" r:id="rId112"/>
          <w:footerReference w:type="even" r:id="rId113"/>
          <w:footerReference w:type="default" r:id="rId114"/>
          <w:pgSz w:w="16840" w:h="11907" w:orient="landscape" w:code="9"/>
          <w:pgMar w:top="1814" w:right="1985" w:bottom="1304" w:left="1418" w:header="1701" w:footer="567" w:gutter="0"/>
          <w:pgNumType w:chapSep="period"/>
          <w:cols w:space="720"/>
          <w:docGrid w:linePitch="326"/>
        </w:sectPr>
      </w:pPr>
    </w:p>
    <w:p w:rsidR="00AC2131" w:rsidRDefault="00AC2131" w:rsidP="00AC2131">
      <w:pPr>
        <w:pStyle w:val="Heading1"/>
      </w:pPr>
      <w:r>
        <w:t>E</w:t>
      </w:r>
      <w:r>
        <w:tab/>
        <w:t>Anti-dumping and countervailing activity</w:t>
      </w:r>
    </w:p>
    <w:p w:rsidR="00AC2131" w:rsidRPr="00A32A3D" w:rsidRDefault="00AC2131" w:rsidP="00AC2131">
      <w:pPr>
        <w:pStyle w:val="BodyText"/>
        <w:rPr>
          <w:spacing w:val="-2"/>
        </w:rPr>
      </w:pPr>
      <w:r w:rsidRPr="00A32A3D">
        <w:rPr>
          <w:spacing w:val="-2"/>
        </w:rPr>
        <w:t>Dumping is said to occur when an overseas supplier exports a good to Australia at a price below its ‘normal value’ in the supplier’s home market. If dumping causes, or threatens to cause, material injury to local producers of like goods, then remedial action — mainly the imposition of special customs duties — can be taken against the imported goods concerned.</w:t>
      </w:r>
    </w:p>
    <w:p w:rsidR="00AC2131" w:rsidRDefault="00AC2131" w:rsidP="00AC2131">
      <w:pPr>
        <w:pStyle w:val="BodyText"/>
      </w:pPr>
      <w:r>
        <w:t>Similarly, countervailing duties can be imposed on imports which benefit from certain subsidies from an overseas government and which cause or threaten injury to a local industry producing like goods.</w:t>
      </w:r>
    </w:p>
    <w:p w:rsidR="00AC2131" w:rsidRPr="006E514A" w:rsidRDefault="00AC2131" w:rsidP="00AC2131">
      <w:pPr>
        <w:pStyle w:val="BodyText"/>
        <w:rPr>
          <w:szCs w:val="22"/>
        </w:rPr>
      </w:pPr>
      <w:r w:rsidRPr="006E514A">
        <w:rPr>
          <w:szCs w:val="22"/>
        </w:rPr>
        <w:t>Australia’s anti-dumping and countervailing legislation is based on WTO agreements that, amongst other things, aim to discipline the</w:t>
      </w:r>
      <w:r>
        <w:rPr>
          <w:szCs w:val="22"/>
        </w:rPr>
        <w:t xml:space="preserve"> </w:t>
      </w:r>
      <w:r w:rsidRPr="006E514A">
        <w:rPr>
          <w:szCs w:val="22"/>
        </w:rPr>
        <w:t>use of anti-dumping measures as an alternative form of protection. Though WTO</w:t>
      </w:r>
      <w:r>
        <w:rPr>
          <w:szCs w:val="22"/>
        </w:rPr>
        <w:t xml:space="preserve"> </w:t>
      </w:r>
      <w:r w:rsidRPr="006E514A">
        <w:rPr>
          <w:szCs w:val="22"/>
        </w:rPr>
        <w:t>members are not obliged to enact such legislation, they are required to comply with the</w:t>
      </w:r>
      <w:r>
        <w:rPr>
          <w:szCs w:val="22"/>
        </w:rPr>
        <w:t xml:space="preserve"> </w:t>
      </w:r>
      <w:r w:rsidRPr="006E514A">
        <w:rPr>
          <w:szCs w:val="22"/>
        </w:rPr>
        <w:t>agreed requirements should they wish to take action against dumped imports.</w:t>
      </w:r>
    </w:p>
    <w:p w:rsidR="00AC2131" w:rsidRPr="009F6D49" w:rsidRDefault="00AC2131" w:rsidP="00AC2131">
      <w:pPr>
        <w:pStyle w:val="BodyText"/>
      </w:pPr>
      <w:r w:rsidRPr="009F6D49">
        <w:t xml:space="preserve">Australia’s anti-dumping system is administered by the </w:t>
      </w:r>
      <w:r>
        <w:t>Anti-Dumping Commission</w:t>
      </w:r>
      <w:r w:rsidRPr="009F6D49">
        <w:t>. It investigates claims of dumping and makes recommendations to the Minister, and also oversees anti-dumping and countervailing measures in force. The investigation process goes through several, time-limited, stages and includes appeal processes.</w:t>
      </w:r>
      <w:r>
        <w:t xml:space="preserve"> </w:t>
      </w:r>
    </w:p>
    <w:p w:rsidR="00AC2131" w:rsidRPr="009F6D49" w:rsidRDefault="00AC2131" w:rsidP="00AC2131">
      <w:pPr>
        <w:pStyle w:val="BodyText"/>
      </w:pPr>
      <w:r>
        <w:t>Under Australia’s anti-dumping rules, a</w:t>
      </w:r>
      <w:r w:rsidRPr="009F6D49">
        <w:t xml:space="preserve">nti-dumping duties </w:t>
      </w:r>
      <w:r>
        <w:t xml:space="preserve">may </w:t>
      </w:r>
      <w:r w:rsidRPr="009F6D49">
        <w:t>be imposed up to the level of the assessed</w:t>
      </w:r>
      <w:r>
        <w:t xml:space="preserve"> </w:t>
      </w:r>
      <w:r w:rsidRPr="009F6D49">
        <w:t xml:space="preserve">dumping margin (or the subsidy provided by an overseas government). </w:t>
      </w:r>
      <w:r>
        <w:t xml:space="preserve">Australian rules also include a </w:t>
      </w:r>
      <w:r w:rsidRPr="009F6D49">
        <w:t>‘lesser duty rule’</w:t>
      </w:r>
      <w:r>
        <w:t>. U</w:t>
      </w:r>
      <w:r w:rsidRPr="009F6D49">
        <w:t xml:space="preserve">nder </w:t>
      </w:r>
      <w:r>
        <w:t>this rule</w:t>
      </w:r>
      <w:r w:rsidRPr="009F6D49">
        <w:t>, a smaller duty sufficient to increase the price of the</w:t>
      </w:r>
      <w:r>
        <w:t xml:space="preserve"> </w:t>
      </w:r>
      <w:r w:rsidRPr="009F6D49">
        <w:t>overseas good to a ‘non-injurious’ level may sometimes be imposed. A</w:t>
      </w:r>
      <w:r>
        <w:t>s an a</w:t>
      </w:r>
      <w:r w:rsidRPr="009F6D49">
        <w:t>lternative</w:t>
      </w:r>
      <w:r>
        <w:t xml:space="preserve"> to the imposition of a duty</w:t>
      </w:r>
      <w:r w:rsidRPr="009F6D49">
        <w:t>, the</w:t>
      </w:r>
      <w:r>
        <w:t xml:space="preserve"> </w:t>
      </w:r>
      <w:r w:rsidRPr="009F6D49">
        <w:t>overseas supplier (and also the overseas government in countervailing cases) can</w:t>
      </w:r>
      <w:r>
        <w:t xml:space="preserve"> </w:t>
      </w:r>
      <w:r w:rsidRPr="009F6D49">
        <w:t>make a formal price undertaking on terms that would remove the injury or the threat of</w:t>
      </w:r>
      <w:r>
        <w:t xml:space="preserve"> </w:t>
      </w:r>
      <w:r w:rsidRPr="009F6D49">
        <w:t>injury.</w:t>
      </w:r>
    </w:p>
    <w:p w:rsidR="00AC2131" w:rsidRPr="009F6D49" w:rsidRDefault="00AC2131" w:rsidP="00AC2131">
      <w:pPr>
        <w:pStyle w:val="BodyText"/>
      </w:pPr>
      <w:r w:rsidRPr="009F6D49">
        <w:t>Once in place, anti-dumping measures typically remain in force for five years, with</w:t>
      </w:r>
      <w:r>
        <w:t xml:space="preserve"> </w:t>
      </w:r>
      <w:r w:rsidRPr="009F6D49">
        <w:t>scope for extensions for additional five</w:t>
      </w:r>
      <w:r>
        <w:t>-</w:t>
      </w:r>
      <w:r w:rsidRPr="009F6D49">
        <w:t>year periods, following further review.</w:t>
      </w:r>
    </w:p>
    <w:p w:rsidR="00AC2131" w:rsidRDefault="00AC2131" w:rsidP="00AC2131">
      <w:pPr>
        <w:pStyle w:val="BodyText"/>
        <w:spacing w:before="200"/>
      </w:pPr>
      <w:r w:rsidRPr="00E5295F">
        <w:t>During 20</w:t>
      </w:r>
      <w:r>
        <w:t>13</w:t>
      </w:r>
      <w:r w:rsidRPr="00E5295F">
        <w:noBreakHyphen/>
      </w:r>
      <w:r>
        <w:t>14</w:t>
      </w:r>
      <w:r w:rsidRPr="00E5295F">
        <w:t xml:space="preserve">, </w:t>
      </w:r>
      <w:r>
        <w:t xml:space="preserve">20 new investigations were </w:t>
      </w:r>
      <w:r w:rsidRPr="00124678">
        <w:rPr>
          <w:i/>
        </w:rPr>
        <w:t>initiated</w:t>
      </w:r>
      <w:r w:rsidRPr="00E5295F">
        <w:t xml:space="preserve"> </w:t>
      </w:r>
      <w:r>
        <w:t>by the Anti-Dumping Commission (table E.1)</w:t>
      </w:r>
      <w:r w:rsidRPr="00E5295F">
        <w:t>.</w:t>
      </w:r>
      <w:r>
        <w:t xml:space="preserve"> This is a decrease from 22 new investigations in the previous year. </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3220FF" w:rsidRDefault="00AC2131" w:rsidP="00AC2131">
            <w:pPr>
              <w:pStyle w:val="TableTitle"/>
            </w:pPr>
            <w:r>
              <w:rPr>
                <w:b w:val="0"/>
              </w:rPr>
              <w:t>Table E.</w:t>
            </w:r>
            <w:r>
              <w:rPr>
                <w:b w:val="0"/>
                <w:noProof/>
              </w:rPr>
              <w:t>1</w:t>
            </w:r>
            <w:r>
              <w:tab/>
              <w:t>Australian anti-dumping and countervailing activity — initiation of investigations, 2013</w:t>
            </w:r>
            <w:r>
              <w:noBreakHyphen/>
              <w:t>14</w:t>
            </w:r>
            <w:r w:rsidRPr="00437D75">
              <w:rPr>
                <w:rStyle w:val="NoteLabel"/>
                <w:b/>
              </w:rPr>
              <w:t>a</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AC2131" w:rsidTr="00AC2131">
              <w:tc>
                <w:tcPr>
                  <w:tcW w:w="1667" w:type="pct"/>
                  <w:tcBorders>
                    <w:top w:val="single" w:sz="6" w:space="0" w:color="BFBFBF"/>
                    <w:bottom w:val="single" w:sz="6" w:space="0" w:color="BFBFBF"/>
                  </w:tcBorders>
                </w:tcPr>
                <w:p w:rsidR="00AC2131" w:rsidRDefault="00AC2131" w:rsidP="00AC2131">
                  <w:pPr>
                    <w:pStyle w:val="TableColumnHeading"/>
                    <w:jc w:val="left"/>
                  </w:pPr>
                  <w:r>
                    <w:t>Commodity</w:t>
                  </w:r>
                </w:p>
              </w:tc>
              <w:tc>
                <w:tcPr>
                  <w:tcW w:w="1667" w:type="pct"/>
                  <w:tcBorders>
                    <w:top w:val="single" w:sz="6" w:space="0" w:color="BFBFBF"/>
                    <w:bottom w:val="single" w:sz="6" w:space="0" w:color="BFBFBF"/>
                  </w:tcBorders>
                  <w:vAlign w:val="bottom"/>
                </w:tcPr>
                <w:p w:rsidR="00AC2131" w:rsidRDefault="00AC2131" w:rsidP="00AC2131">
                  <w:pPr>
                    <w:pStyle w:val="TableColumnHeading"/>
                    <w:jc w:val="left"/>
                  </w:pPr>
                  <w:r>
                    <w:t>Industry grouping</w:t>
                  </w:r>
                </w:p>
              </w:tc>
              <w:tc>
                <w:tcPr>
                  <w:tcW w:w="1666" w:type="pct"/>
                  <w:tcBorders>
                    <w:top w:val="single" w:sz="6" w:space="0" w:color="BFBFBF"/>
                    <w:bottom w:val="single" w:sz="6" w:space="0" w:color="BFBFBF"/>
                  </w:tcBorders>
                  <w:vAlign w:val="bottom"/>
                </w:tcPr>
                <w:p w:rsidR="00AC2131" w:rsidRDefault="00AC2131" w:rsidP="00AC2131">
                  <w:pPr>
                    <w:pStyle w:val="TableColumnHeading"/>
                    <w:ind w:right="28"/>
                    <w:jc w:val="left"/>
                  </w:pPr>
                  <w:r>
                    <w:t>Country of export</w:t>
                  </w:r>
                </w:p>
              </w:tc>
            </w:tr>
            <w:tr w:rsidR="00AC2131" w:rsidRPr="002632A7" w:rsidTr="00AC2131">
              <w:tc>
                <w:tcPr>
                  <w:tcW w:w="1667" w:type="pct"/>
                  <w:tcBorders>
                    <w:top w:val="single" w:sz="6" w:space="0" w:color="BFBFBF"/>
                  </w:tcBorders>
                </w:tcPr>
                <w:p w:rsidR="00AC2131" w:rsidRPr="002632A7" w:rsidRDefault="00AC2131" w:rsidP="00AC2131">
                  <w:pPr>
                    <w:pStyle w:val="TableUnitsRow"/>
                    <w:jc w:val="left"/>
                    <w:rPr>
                      <w:b/>
                    </w:rPr>
                  </w:pPr>
                  <w:r w:rsidRPr="002632A7">
                    <w:rPr>
                      <w:b/>
                    </w:rPr>
                    <w:t xml:space="preserve">New cases initiated (= </w:t>
                  </w:r>
                  <w:r>
                    <w:rPr>
                      <w:b/>
                    </w:rPr>
                    <w:t>20</w:t>
                  </w:r>
                  <w:r w:rsidRPr="002632A7">
                    <w:rPr>
                      <w:b/>
                    </w:rPr>
                    <w:t>)</w:t>
                  </w:r>
                  <w:r>
                    <w:rPr>
                      <w:rStyle w:val="NoteLabel"/>
                    </w:rPr>
                    <w:t>b</w:t>
                  </w:r>
                </w:p>
              </w:tc>
              <w:tc>
                <w:tcPr>
                  <w:tcW w:w="1667" w:type="pct"/>
                  <w:tcBorders>
                    <w:top w:val="single" w:sz="6" w:space="0" w:color="BFBFBF"/>
                  </w:tcBorders>
                </w:tcPr>
                <w:p w:rsidR="00AC2131" w:rsidRPr="002632A7" w:rsidRDefault="00AC2131" w:rsidP="00AC2131">
                  <w:pPr>
                    <w:pStyle w:val="TableUnitsRow"/>
                    <w:jc w:val="left"/>
                    <w:rPr>
                      <w:b/>
                    </w:rPr>
                  </w:pPr>
                </w:p>
              </w:tc>
              <w:tc>
                <w:tcPr>
                  <w:tcW w:w="1666" w:type="pct"/>
                  <w:tcBorders>
                    <w:top w:val="single" w:sz="6" w:space="0" w:color="BFBFBF"/>
                  </w:tcBorders>
                </w:tcPr>
                <w:p w:rsidR="00AC2131" w:rsidRPr="002632A7" w:rsidRDefault="00AC2131" w:rsidP="00AC2131">
                  <w:pPr>
                    <w:pStyle w:val="TableUnitsRow"/>
                    <w:ind w:right="28"/>
                    <w:jc w:val="left"/>
                    <w:rPr>
                      <w:b/>
                    </w:rPr>
                  </w:pPr>
                </w:p>
              </w:tc>
            </w:tr>
            <w:tr w:rsidR="00AC2131" w:rsidTr="00AC2131">
              <w:tc>
                <w:tcPr>
                  <w:tcW w:w="1667" w:type="pct"/>
                  <w:shd w:val="clear" w:color="auto" w:fill="auto"/>
                </w:tcPr>
                <w:p w:rsidR="00AC2131" w:rsidRDefault="00AC2131" w:rsidP="00AC2131">
                  <w:pPr>
                    <w:pStyle w:val="TableBodyText"/>
                    <w:jc w:val="left"/>
                  </w:pPr>
                  <w:r>
                    <w:t>Wind towers</w:t>
                  </w:r>
                  <w:r>
                    <w:br/>
                    <w:t>(Dumping)</w:t>
                  </w:r>
                </w:p>
              </w:tc>
              <w:tc>
                <w:tcPr>
                  <w:tcW w:w="1667" w:type="pct"/>
                  <w:shd w:val="clear" w:color="auto" w:fill="auto"/>
                </w:tcPr>
                <w:p w:rsidR="00AC2131" w:rsidRDefault="00AC2131" w:rsidP="00AC2131">
                  <w:pPr>
                    <w:pStyle w:val="TableBodyText"/>
                    <w:jc w:val="left"/>
                  </w:pPr>
                  <w:r>
                    <w:t>Fabricated metal products manufacturing</w:t>
                  </w:r>
                </w:p>
              </w:tc>
              <w:tc>
                <w:tcPr>
                  <w:tcW w:w="1666" w:type="pct"/>
                  <w:shd w:val="clear" w:color="auto" w:fill="auto"/>
                </w:tcPr>
                <w:p w:rsidR="00AC2131" w:rsidRDefault="00AC2131" w:rsidP="00AC2131">
                  <w:pPr>
                    <w:pStyle w:val="TableBodyText"/>
                    <w:ind w:right="28"/>
                    <w:jc w:val="left"/>
                  </w:pPr>
                  <w:r>
                    <w:t>People’s Republic of China</w:t>
                  </w:r>
                  <w:r>
                    <w:br/>
                    <w:t>Republic of Korea</w:t>
                  </w:r>
                </w:p>
              </w:tc>
            </w:tr>
            <w:tr w:rsidR="00AC2131" w:rsidTr="00AC2131">
              <w:tc>
                <w:tcPr>
                  <w:tcW w:w="1667" w:type="pct"/>
                  <w:shd w:val="clear" w:color="auto" w:fill="auto"/>
                </w:tcPr>
                <w:p w:rsidR="00AC2131" w:rsidRDefault="00AC2131" w:rsidP="00AC2131">
                  <w:pPr>
                    <w:pStyle w:val="TableBodyText"/>
                    <w:spacing w:after="0"/>
                    <w:jc w:val="left"/>
                  </w:pPr>
                </w:p>
              </w:tc>
              <w:tc>
                <w:tcPr>
                  <w:tcW w:w="1667" w:type="pct"/>
                  <w:shd w:val="clear" w:color="auto" w:fill="auto"/>
                </w:tcPr>
                <w:p w:rsidR="00AC2131" w:rsidRDefault="00AC2131" w:rsidP="00AC2131">
                  <w:pPr>
                    <w:pStyle w:val="TableBodyText"/>
                    <w:spacing w:after="0"/>
                    <w:jc w:val="left"/>
                  </w:pPr>
                </w:p>
              </w:tc>
              <w:tc>
                <w:tcPr>
                  <w:tcW w:w="1666" w:type="pct"/>
                  <w:shd w:val="clear" w:color="auto" w:fill="auto"/>
                </w:tcPr>
                <w:p w:rsidR="00AC2131" w:rsidRDefault="00AC2131" w:rsidP="00AC2131">
                  <w:pPr>
                    <w:pStyle w:val="TableBodyText"/>
                    <w:spacing w:after="0"/>
                    <w:ind w:right="28"/>
                    <w:jc w:val="left"/>
                  </w:pPr>
                </w:p>
              </w:tc>
            </w:tr>
            <w:tr w:rsidR="00AC2131" w:rsidTr="00AC2131">
              <w:tc>
                <w:tcPr>
                  <w:tcW w:w="1667" w:type="pct"/>
                  <w:shd w:val="clear" w:color="auto" w:fill="auto"/>
                </w:tcPr>
                <w:p w:rsidR="00AC2131" w:rsidRDefault="00AC2131" w:rsidP="00AC2131">
                  <w:pPr>
                    <w:pStyle w:val="TableBodyText"/>
                    <w:jc w:val="left"/>
                  </w:pPr>
                  <w:r>
                    <w:t>Copy paper</w:t>
                  </w:r>
                  <w:r>
                    <w:br/>
                    <w:t>(Dumping)</w:t>
                  </w:r>
                </w:p>
              </w:tc>
              <w:tc>
                <w:tcPr>
                  <w:tcW w:w="1667" w:type="pct"/>
                  <w:shd w:val="clear" w:color="auto" w:fill="auto"/>
                </w:tcPr>
                <w:p w:rsidR="00AC2131" w:rsidRDefault="00AC2131" w:rsidP="00AC2131">
                  <w:pPr>
                    <w:pStyle w:val="TableBodyText"/>
                    <w:jc w:val="left"/>
                  </w:pPr>
                  <w:r>
                    <w:t>Pulp, paper and paper products manufacturing</w:t>
                  </w:r>
                </w:p>
              </w:tc>
              <w:tc>
                <w:tcPr>
                  <w:tcW w:w="1666" w:type="pct"/>
                  <w:shd w:val="clear" w:color="auto" w:fill="auto"/>
                </w:tcPr>
                <w:p w:rsidR="00AC2131" w:rsidRDefault="00AC2131" w:rsidP="00AC2131">
                  <w:pPr>
                    <w:pStyle w:val="TableBodyText"/>
                    <w:ind w:right="28"/>
                    <w:jc w:val="left"/>
                  </w:pPr>
                  <w:r>
                    <w:t>People’s Republic of China</w:t>
                  </w:r>
                </w:p>
              </w:tc>
            </w:tr>
            <w:tr w:rsidR="00AC2131" w:rsidTr="00AC2131">
              <w:tc>
                <w:tcPr>
                  <w:tcW w:w="1667" w:type="pct"/>
                  <w:shd w:val="clear" w:color="auto" w:fill="auto"/>
                </w:tcPr>
                <w:p w:rsidR="00AC2131" w:rsidRDefault="00AC2131" w:rsidP="00AC2131">
                  <w:pPr>
                    <w:pStyle w:val="TableBodyText"/>
                    <w:spacing w:after="0"/>
                    <w:jc w:val="left"/>
                  </w:pPr>
                </w:p>
              </w:tc>
              <w:tc>
                <w:tcPr>
                  <w:tcW w:w="1667" w:type="pct"/>
                  <w:shd w:val="clear" w:color="auto" w:fill="auto"/>
                </w:tcPr>
                <w:p w:rsidR="00AC2131" w:rsidRDefault="00AC2131" w:rsidP="00AC2131">
                  <w:pPr>
                    <w:pStyle w:val="TableBodyText"/>
                    <w:spacing w:after="0"/>
                    <w:jc w:val="left"/>
                  </w:pPr>
                </w:p>
              </w:tc>
              <w:tc>
                <w:tcPr>
                  <w:tcW w:w="1666" w:type="pct"/>
                  <w:shd w:val="clear" w:color="auto" w:fill="auto"/>
                </w:tcPr>
                <w:p w:rsidR="00AC2131" w:rsidRDefault="00AC2131" w:rsidP="00AC2131">
                  <w:pPr>
                    <w:pStyle w:val="TableBodyText"/>
                    <w:spacing w:after="0"/>
                    <w:ind w:right="28"/>
                    <w:jc w:val="left"/>
                  </w:pPr>
                </w:p>
              </w:tc>
            </w:tr>
            <w:tr w:rsidR="00AC2131" w:rsidTr="00AC2131">
              <w:tc>
                <w:tcPr>
                  <w:tcW w:w="1667" w:type="pct"/>
                  <w:shd w:val="clear" w:color="auto" w:fill="auto"/>
                </w:tcPr>
                <w:p w:rsidR="00AC2131" w:rsidRDefault="00AC2131" w:rsidP="00AC2131">
                  <w:pPr>
                    <w:pStyle w:val="TableBodyText"/>
                    <w:jc w:val="left"/>
                  </w:pPr>
                  <w:r>
                    <w:t>Hot rolled structural steel sections</w:t>
                  </w:r>
                  <w:r>
                    <w:br/>
                    <w:t>(Dumping)</w:t>
                  </w:r>
                </w:p>
              </w:tc>
              <w:tc>
                <w:tcPr>
                  <w:tcW w:w="1667" w:type="pct"/>
                  <w:shd w:val="clear" w:color="auto" w:fill="auto"/>
                </w:tcPr>
                <w:p w:rsidR="00AC2131" w:rsidRDefault="00AC2131" w:rsidP="00AC2131">
                  <w:pPr>
                    <w:pStyle w:val="TableBodyText"/>
                    <w:jc w:val="left"/>
                  </w:pPr>
                  <w:r>
                    <w:t>Metal products manufacturing</w:t>
                  </w:r>
                </w:p>
              </w:tc>
              <w:tc>
                <w:tcPr>
                  <w:tcW w:w="1666" w:type="pct"/>
                  <w:shd w:val="clear" w:color="auto" w:fill="auto"/>
                </w:tcPr>
                <w:p w:rsidR="00AC2131" w:rsidRDefault="00AC2131" w:rsidP="00AC2131">
                  <w:pPr>
                    <w:pStyle w:val="TableBodyText"/>
                    <w:ind w:right="28"/>
                    <w:jc w:val="left"/>
                  </w:pPr>
                  <w:r>
                    <w:t>Japan</w:t>
                  </w:r>
                  <w:r>
                    <w:br/>
                    <w:t>Republic of Korea</w:t>
                  </w:r>
                  <w:r>
                    <w:br/>
                    <w:t>Taiwan</w:t>
                  </w:r>
                  <w:r>
                    <w:br/>
                    <w:t>Thailand</w:t>
                  </w:r>
                </w:p>
              </w:tc>
            </w:tr>
            <w:tr w:rsidR="00AC2131" w:rsidTr="00AC2131">
              <w:tc>
                <w:tcPr>
                  <w:tcW w:w="1667" w:type="pct"/>
                  <w:shd w:val="clear" w:color="auto" w:fill="auto"/>
                </w:tcPr>
                <w:p w:rsidR="00AC2131" w:rsidRDefault="00AC2131" w:rsidP="00AC2131">
                  <w:pPr>
                    <w:pStyle w:val="TableBodyText"/>
                    <w:spacing w:after="0"/>
                    <w:jc w:val="left"/>
                  </w:pPr>
                </w:p>
              </w:tc>
              <w:tc>
                <w:tcPr>
                  <w:tcW w:w="1667" w:type="pct"/>
                  <w:shd w:val="clear" w:color="auto" w:fill="auto"/>
                </w:tcPr>
                <w:p w:rsidR="00AC2131" w:rsidRDefault="00AC2131" w:rsidP="00AC2131">
                  <w:pPr>
                    <w:pStyle w:val="TableBodyText"/>
                    <w:spacing w:after="0"/>
                    <w:jc w:val="left"/>
                  </w:pPr>
                </w:p>
              </w:tc>
              <w:tc>
                <w:tcPr>
                  <w:tcW w:w="1666" w:type="pct"/>
                  <w:shd w:val="clear" w:color="auto" w:fill="auto"/>
                </w:tcPr>
                <w:p w:rsidR="00AC2131" w:rsidRDefault="00AC2131" w:rsidP="00AC2131">
                  <w:pPr>
                    <w:pStyle w:val="TableBodyText"/>
                    <w:spacing w:after="0"/>
                    <w:ind w:right="28"/>
                    <w:jc w:val="left"/>
                  </w:pPr>
                </w:p>
              </w:tc>
            </w:tr>
            <w:tr w:rsidR="00AC2131" w:rsidTr="00AC2131">
              <w:tc>
                <w:tcPr>
                  <w:tcW w:w="1667" w:type="pct"/>
                  <w:shd w:val="clear" w:color="auto" w:fill="auto"/>
                </w:tcPr>
                <w:p w:rsidR="00AC2131" w:rsidRDefault="00AC2131" w:rsidP="00AC2131">
                  <w:pPr>
                    <w:pStyle w:val="TableBodyText"/>
                    <w:jc w:val="left"/>
                  </w:pPr>
                  <w:r>
                    <w:t>Quenched and tempered steel plate</w:t>
                  </w:r>
                  <w:r>
                    <w:br/>
                    <w:t>(Dumping)</w:t>
                  </w:r>
                </w:p>
              </w:tc>
              <w:tc>
                <w:tcPr>
                  <w:tcW w:w="1667" w:type="pct"/>
                  <w:shd w:val="clear" w:color="auto" w:fill="auto"/>
                </w:tcPr>
                <w:p w:rsidR="00AC2131" w:rsidRDefault="00AC2131" w:rsidP="00AC2131">
                  <w:pPr>
                    <w:pStyle w:val="TableBodyText"/>
                    <w:jc w:val="left"/>
                  </w:pPr>
                  <w:r>
                    <w:t>Metal products manufacturing</w:t>
                  </w:r>
                </w:p>
              </w:tc>
              <w:tc>
                <w:tcPr>
                  <w:tcW w:w="1666" w:type="pct"/>
                  <w:shd w:val="clear" w:color="auto" w:fill="auto"/>
                </w:tcPr>
                <w:p w:rsidR="00AC2131" w:rsidRDefault="00AC2131" w:rsidP="00AC2131">
                  <w:pPr>
                    <w:pStyle w:val="TableBodyText"/>
                    <w:ind w:right="28"/>
                    <w:jc w:val="left"/>
                  </w:pPr>
                  <w:r>
                    <w:t>Finland</w:t>
                  </w:r>
                  <w:r>
                    <w:br/>
                    <w:t>Japan</w:t>
                  </w:r>
                  <w:r>
                    <w:br/>
                    <w:t>Sweden</w:t>
                  </w:r>
                </w:p>
              </w:tc>
            </w:tr>
            <w:tr w:rsidR="00AC2131" w:rsidTr="00AC2131">
              <w:tc>
                <w:tcPr>
                  <w:tcW w:w="1667" w:type="pct"/>
                  <w:shd w:val="clear" w:color="auto" w:fill="auto"/>
                </w:tcPr>
                <w:p w:rsidR="00AC2131" w:rsidRDefault="00AC2131" w:rsidP="00AC2131">
                  <w:pPr>
                    <w:pStyle w:val="TableBodyText"/>
                    <w:spacing w:after="0"/>
                    <w:jc w:val="left"/>
                  </w:pPr>
                </w:p>
              </w:tc>
              <w:tc>
                <w:tcPr>
                  <w:tcW w:w="1667" w:type="pct"/>
                  <w:shd w:val="clear" w:color="auto" w:fill="auto"/>
                </w:tcPr>
                <w:p w:rsidR="00AC2131" w:rsidRDefault="00AC2131" w:rsidP="00AC2131">
                  <w:pPr>
                    <w:pStyle w:val="TableBodyText"/>
                    <w:spacing w:after="0"/>
                    <w:jc w:val="left"/>
                  </w:pPr>
                </w:p>
              </w:tc>
              <w:tc>
                <w:tcPr>
                  <w:tcW w:w="1666" w:type="pct"/>
                  <w:shd w:val="clear" w:color="auto" w:fill="auto"/>
                </w:tcPr>
                <w:p w:rsidR="00AC2131" w:rsidRDefault="00AC2131" w:rsidP="00AC2131">
                  <w:pPr>
                    <w:pStyle w:val="TableBodyText"/>
                    <w:spacing w:after="0"/>
                    <w:ind w:right="28"/>
                    <w:jc w:val="left"/>
                  </w:pPr>
                </w:p>
              </w:tc>
            </w:tr>
            <w:tr w:rsidR="00AC2131" w:rsidTr="00AC2131">
              <w:tc>
                <w:tcPr>
                  <w:tcW w:w="1667" w:type="pct"/>
                  <w:shd w:val="clear" w:color="auto" w:fill="auto"/>
                </w:tcPr>
                <w:p w:rsidR="00AC2131" w:rsidRDefault="00AC2131" w:rsidP="00AC2131">
                  <w:pPr>
                    <w:pStyle w:val="TableBodyText"/>
                    <w:jc w:val="left"/>
                  </w:pPr>
                  <w:r>
                    <w:t>Silicon metal</w:t>
                  </w:r>
                  <w:r>
                    <w:br/>
                    <w:t>(Dumping and countervailing)</w:t>
                  </w:r>
                </w:p>
              </w:tc>
              <w:tc>
                <w:tcPr>
                  <w:tcW w:w="1667" w:type="pct"/>
                  <w:shd w:val="clear" w:color="auto" w:fill="auto"/>
                </w:tcPr>
                <w:p w:rsidR="00AC2131" w:rsidRDefault="00AC2131" w:rsidP="00AC2131">
                  <w:pPr>
                    <w:pStyle w:val="TableBodyText"/>
                    <w:jc w:val="left"/>
                  </w:pPr>
                  <w:r>
                    <w:t>Metal products manufacturing</w:t>
                  </w:r>
                </w:p>
              </w:tc>
              <w:tc>
                <w:tcPr>
                  <w:tcW w:w="1666" w:type="pct"/>
                  <w:shd w:val="clear" w:color="auto" w:fill="auto"/>
                </w:tcPr>
                <w:p w:rsidR="00AC2131" w:rsidRDefault="00AC2131" w:rsidP="00AC2131">
                  <w:pPr>
                    <w:pStyle w:val="TableBodyText"/>
                    <w:ind w:right="28"/>
                    <w:jc w:val="left"/>
                  </w:pPr>
                  <w:r>
                    <w:t>People’s Republic of China</w:t>
                  </w:r>
                </w:p>
              </w:tc>
            </w:tr>
            <w:tr w:rsidR="00AC2131" w:rsidTr="00AC2131">
              <w:tc>
                <w:tcPr>
                  <w:tcW w:w="1667" w:type="pct"/>
                  <w:shd w:val="clear" w:color="auto" w:fill="auto"/>
                </w:tcPr>
                <w:p w:rsidR="00AC2131" w:rsidRDefault="00AC2131" w:rsidP="00AC2131">
                  <w:pPr>
                    <w:pStyle w:val="TableBodyText"/>
                    <w:spacing w:after="0"/>
                    <w:jc w:val="left"/>
                  </w:pPr>
                </w:p>
              </w:tc>
              <w:tc>
                <w:tcPr>
                  <w:tcW w:w="1667" w:type="pct"/>
                  <w:shd w:val="clear" w:color="auto" w:fill="auto"/>
                </w:tcPr>
                <w:p w:rsidR="00AC2131" w:rsidRDefault="00AC2131" w:rsidP="00AC2131">
                  <w:pPr>
                    <w:pStyle w:val="TableBodyText"/>
                    <w:spacing w:after="0"/>
                    <w:jc w:val="left"/>
                  </w:pPr>
                </w:p>
              </w:tc>
              <w:tc>
                <w:tcPr>
                  <w:tcW w:w="1666" w:type="pct"/>
                  <w:shd w:val="clear" w:color="auto" w:fill="auto"/>
                </w:tcPr>
                <w:p w:rsidR="00AC2131" w:rsidRDefault="00AC2131" w:rsidP="00AC2131">
                  <w:pPr>
                    <w:pStyle w:val="TableBodyText"/>
                    <w:spacing w:after="0"/>
                    <w:ind w:right="28"/>
                    <w:jc w:val="left"/>
                  </w:pPr>
                </w:p>
              </w:tc>
            </w:tr>
            <w:tr w:rsidR="00AC2131" w:rsidTr="00AC2131">
              <w:tc>
                <w:tcPr>
                  <w:tcW w:w="1667" w:type="pct"/>
                  <w:shd w:val="clear" w:color="auto" w:fill="auto"/>
                </w:tcPr>
                <w:p w:rsidR="00AC2131" w:rsidRDefault="00AC2131" w:rsidP="00AC2131">
                  <w:pPr>
                    <w:pStyle w:val="TableBodyText"/>
                    <w:jc w:val="left"/>
                  </w:pPr>
                  <w:r>
                    <w:t>Certain deep drawn stainless steel sinks</w:t>
                  </w:r>
                  <w:r>
                    <w:br/>
                    <w:t>(Dumping and countervailing)</w:t>
                  </w:r>
                </w:p>
              </w:tc>
              <w:tc>
                <w:tcPr>
                  <w:tcW w:w="1667" w:type="pct"/>
                  <w:shd w:val="clear" w:color="auto" w:fill="auto"/>
                </w:tcPr>
                <w:p w:rsidR="00AC2131" w:rsidRDefault="00AC2131" w:rsidP="00AC2131">
                  <w:pPr>
                    <w:pStyle w:val="TableBodyText"/>
                    <w:jc w:val="left"/>
                  </w:pPr>
                  <w:r>
                    <w:t xml:space="preserve">Fabricated metal products manufacturing </w:t>
                  </w:r>
                </w:p>
              </w:tc>
              <w:tc>
                <w:tcPr>
                  <w:tcW w:w="1666" w:type="pct"/>
                  <w:shd w:val="clear" w:color="auto" w:fill="auto"/>
                </w:tcPr>
                <w:p w:rsidR="00AC2131" w:rsidRDefault="00AC2131" w:rsidP="00AC2131">
                  <w:pPr>
                    <w:pStyle w:val="TableBodyText"/>
                    <w:ind w:right="28"/>
                    <w:jc w:val="left"/>
                  </w:pPr>
                  <w:r>
                    <w:t>People’s Republic of China</w:t>
                  </w:r>
                </w:p>
              </w:tc>
            </w:tr>
            <w:tr w:rsidR="00AC2131" w:rsidTr="00AC2131">
              <w:tc>
                <w:tcPr>
                  <w:tcW w:w="1667" w:type="pct"/>
                  <w:shd w:val="clear" w:color="auto" w:fill="auto"/>
                </w:tcPr>
                <w:p w:rsidR="00AC2131" w:rsidRDefault="00AC2131" w:rsidP="00AC2131">
                  <w:pPr>
                    <w:pStyle w:val="TableBodyText"/>
                    <w:spacing w:after="0"/>
                    <w:jc w:val="left"/>
                  </w:pPr>
                </w:p>
              </w:tc>
              <w:tc>
                <w:tcPr>
                  <w:tcW w:w="1667" w:type="pct"/>
                  <w:shd w:val="clear" w:color="auto" w:fill="auto"/>
                </w:tcPr>
                <w:p w:rsidR="00AC2131" w:rsidRDefault="00AC2131" w:rsidP="00AC2131">
                  <w:pPr>
                    <w:pStyle w:val="TableBodyText"/>
                    <w:spacing w:after="0"/>
                    <w:jc w:val="left"/>
                  </w:pPr>
                </w:p>
              </w:tc>
              <w:tc>
                <w:tcPr>
                  <w:tcW w:w="1666" w:type="pct"/>
                  <w:shd w:val="clear" w:color="auto" w:fill="auto"/>
                </w:tcPr>
                <w:p w:rsidR="00AC2131" w:rsidRDefault="00AC2131" w:rsidP="00AC2131">
                  <w:pPr>
                    <w:pStyle w:val="TableBodyText"/>
                    <w:spacing w:after="0"/>
                    <w:ind w:right="28"/>
                    <w:jc w:val="left"/>
                  </w:pPr>
                </w:p>
              </w:tc>
            </w:tr>
            <w:tr w:rsidR="00AC2131" w:rsidTr="00AC2131">
              <w:tc>
                <w:tcPr>
                  <w:tcW w:w="1667" w:type="pct"/>
                  <w:shd w:val="clear" w:color="auto" w:fill="auto"/>
                </w:tcPr>
                <w:p w:rsidR="00AC2131" w:rsidRDefault="00AC2131" w:rsidP="00AC2131">
                  <w:pPr>
                    <w:pStyle w:val="TableBodyText"/>
                    <w:jc w:val="left"/>
                  </w:pPr>
                  <w:r>
                    <w:t xml:space="preserve">Rod in coils </w:t>
                  </w:r>
                  <w:r>
                    <w:br/>
                    <w:t>(Dumping)</w:t>
                  </w:r>
                </w:p>
              </w:tc>
              <w:tc>
                <w:tcPr>
                  <w:tcW w:w="1667" w:type="pct"/>
                  <w:shd w:val="clear" w:color="auto" w:fill="auto"/>
                </w:tcPr>
                <w:p w:rsidR="00AC2131" w:rsidRDefault="00AC2131" w:rsidP="00AC2131">
                  <w:pPr>
                    <w:pStyle w:val="TableBodyText"/>
                    <w:jc w:val="left"/>
                  </w:pPr>
                  <w:r>
                    <w:t>Metal products manufacturing</w:t>
                  </w:r>
                </w:p>
              </w:tc>
              <w:tc>
                <w:tcPr>
                  <w:tcW w:w="1666" w:type="pct"/>
                  <w:shd w:val="clear" w:color="auto" w:fill="auto"/>
                </w:tcPr>
                <w:p w:rsidR="00AC2131" w:rsidRDefault="00AC2131" w:rsidP="00AC2131">
                  <w:pPr>
                    <w:pStyle w:val="TableBodyText"/>
                    <w:ind w:right="28"/>
                    <w:jc w:val="left"/>
                  </w:pPr>
                  <w:r>
                    <w:t>Republic of Indonesia</w:t>
                  </w:r>
                  <w:r>
                    <w:br/>
                    <w:t>Taiwan</w:t>
                  </w:r>
                  <w:r>
                    <w:br/>
                    <w:t>Turkey</w:t>
                  </w:r>
                </w:p>
              </w:tc>
            </w:tr>
            <w:tr w:rsidR="00AC2131" w:rsidTr="00AC2131">
              <w:tc>
                <w:tcPr>
                  <w:tcW w:w="1667" w:type="pct"/>
                  <w:shd w:val="clear" w:color="auto" w:fill="auto"/>
                </w:tcPr>
                <w:p w:rsidR="00AC2131" w:rsidRDefault="00AC2131" w:rsidP="00AC2131">
                  <w:pPr>
                    <w:pStyle w:val="TableBodyText"/>
                    <w:spacing w:after="0"/>
                    <w:jc w:val="left"/>
                  </w:pPr>
                </w:p>
              </w:tc>
              <w:tc>
                <w:tcPr>
                  <w:tcW w:w="1667" w:type="pct"/>
                  <w:shd w:val="clear" w:color="auto" w:fill="auto"/>
                </w:tcPr>
                <w:p w:rsidR="00AC2131" w:rsidRDefault="00AC2131" w:rsidP="00AC2131">
                  <w:pPr>
                    <w:pStyle w:val="TableBodyText"/>
                    <w:spacing w:after="0"/>
                    <w:jc w:val="left"/>
                  </w:pPr>
                </w:p>
              </w:tc>
              <w:tc>
                <w:tcPr>
                  <w:tcW w:w="1666" w:type="pct"/>
                  <w:shd w:val="clear" w:color="auto" w:fill="auto"/>
                </w:tcPr>
                <w:p w:rsidR="00AC2131" w:rsidRDefault="00AC2131" w:rsidP="00AC2131">
                  <w:pPr>
                    <w:pStyle w:val="TableBodyText"/>
                    <w:spacing w:after="0"/>
                    <w:ind w:right="28"/>
                    <w:jc w:val="left"/>
                  </w:pPr>
                </w:p>
              </w:tc>
            </w:tr>
            <w:tr w:rsidR="00AC2131" w:rsidTr="00AC2131">
              <w:tc>
                <w:tcPr>
                  <w:tcW w:w="1667" w:type="pct"/>
                  <w:shd w:val="clear" w:color="auto" w:fill="auto"/>
                </w:tcPr>
                <w:p w:rsidR="00AC2131" w:rsidRDefault="00AC2131" w:rsidP="00AC2131">
                  <w:pPr>
                    <w:pStyle w:val="TableBodyText"/>
                    <w:jc w:val="left"/>
                  </w:pPr>
                  <w:r>
                    <w:t>Newsprint</w:t>
                  </w:r>
                  <w:r>
                    <w:br/>
                    <w:t>(Dumping)</w:t>
                  </w:r>
                </w:p>
              </w:tc>
              <w:tc>
                <w:tcPr>
                  <w:tcW w:w="1667" w:type="pct"/>
                  <w:shd w:val="clear" w:color="auto" w:fill="auto"/>
                </w:tcPr>
                <w:p w:rsidR="00AC2131" w:rsidRDefault="00AC2131" w:rsidP="00AC2131">
                  <w:pPr>
                    <w:pStyle w:val="TableBodyText"/>
                    <w:jc w:val="left"/>
                  </w:pPr>
                  <w:r>
                    <w:t>Pulp, paper and paper products manufacturing</w:t>
                  </w:r>
                </w:p>
              </w:tc>
              <w:tc>
                <w:tcPr>
                  <w:tcW w:w="1666" w:type="pct"/>
                  <w:shd w:val="clear" w:color="auto" w:fill="auto"/>
                </w:tcPr>
                <w:p w:rsidR="00AC2131" w:rsidRDefault="00AC2131" w:rsidP="00AC2131">
                  <w:pPr>
                    <w:pStyle w:val="TableBodyText"/>
                    <w:ind w:right="28"/>
                    <w:jc w:val="left"/>
                  </w:pPr>
                  <w:r>
                    <w:t>France</w:t>
                  </w:r>
                  <w:r>
                    <w:br/>
                    <w:t>Republic of Korea</w:t>
                  </w:r>
                </w:p>
              </w:tc>
            </w:tr>
            <w:tr w:rsidR="00AC2131" w:rsidTr="00AC2131">
              <w:tc>
                <w:tcPr>
                  <w:tcW w:w="1667" w:type="pct"/>
                  <w:shd w:val="clear" w:color="auto" w:fill="auto"/>
                </w:tcPr>
                <w:p w:rsidR="00AC2131" w:rsidRDefault="00AC2131" w:rsidP="00AC2131">
                  <w:pPr>
                    <w:pStyle w:val="TableBodyText"/>
                    <w:spacing w:after="0"/>
                    <w:jc w:val="left"/>
                  </w:pPr>
                </w:p>
              </w:tc>
              <w:tc>
                <w:tcPr>
                  <w:tcW w:w="1667" w:type="pct"/>
                  <w:shd w:val="clear" w:color="auto" w:fill="auto"/>
                </w:tcPr>
                <w:p w:rsidR="00AC2131" w:rsidRDefault="00AC2131" w:rsidP="00AC2131">
                  <w:pPr>
                    <w:pStyle w:val="TableBodyText"/>
                    <w:spacing w:after="0"/>
                    <w:jc w:val="left"/>
                  </w:pPr>
                </w:p>
              </w:tc>
              <w:tc>
                <w:tcPr>
                  <w:tcW w:w="1666" w:type="pct"/>
                  <w:shd w:val="clear" w:color="auto" w:fill="auto"/>
                </w:tcPr>
                <w:p w:rsidR="00AC2131" w:rsidRDefault="00AC2131" w:rsidP="00AC2131">
                  <w:pPr>
                    <w:pStyle w:val="TableBodyText"/>
                    <w:spacing w:after="0"/>
                    <w:ind w:right="28"/>
                    <w:jc w:val="left"/>
                  </w:pPr>
                </w:p>
              </w:tc>
            </w:tr>
            <w:tr w:rsidR="00AC2131" w:rsidTr="00AC2131">
              <w:tc>
                <w:tcPr>
                  <w:tcW w:w="1667" w:type="pct"/>
                  <w:tcBorders>
                    <w:bottom w:val="single" w:sz="6" w:space="0" w:color="BFBFBF"/>
                  </w:tcBorders>
                  <w:shd w:val="clear" w:color="auto" w:fill="auto"/>
                </w:tcPr>
                <w:p w:rsidR="00AC2131" w:rsidRDefault="00AC2131" w:rsidP="00AC2131">
                  <w:pPr>
                    <w:pStyle w:val="TableBodyText"/>
                    <w:jc w:val="left"/>
                  </w:pPr>
                  <w:r>
                    <w:t>Certain crystalline silicon photovoltaic modules or panels</w:t>
                  </w:r>
                  <w:r>
                    <w:br/>
                    <w:t>(Dumping)</w:t>
                  </w:r>
                </w:p>
              </w:tc>
              <w:tc>
                <w:tcPr>
                  <w:tcW w:w="1667" w:type="pct"/>
                  <w:tcBorders>
                    <w:bottom w:val="single" w:sz="6" w:space="0" w:color="BFBFBF"/>
                  </w:tcBorders>
                  <w:shd w:val="clear" w:color="auto" w:fill="auto"/>
                </w:tcPr>
                <w:p w:rsidR="00AC2131" w:rsidRDefault="00AC2131" w:rsidP="00AC2131">
                  <w:pPr>
                    <w:pStyle w:val="TableBodyText"/>
                    <w:jc w:val="left"/>
                  </w:pPr>
                  <w:r>
                    <w:t>Machinery and equipment manufacturing</w:t>
                  </w:r>
                </w:p>
              </w:tc>
              <w:tc>
                <w:tcPr>
                  <w:tcW w:w="1666" w:type="pct"/>
                  <w:tcBorders>
                    <w:bottom w:val="single" w:sz="6" w:space="0" w:color="BFBFBF"/>
                  </w:tcBorders>
                  <w:shd w:val="clear" w:color="auto" w:fill="auto"/>
                </w:tcPr>
                <w:p w:rsidR="00AC2131" w:rsidRDefault="00AC2131" w:rsidP="00AC2131">
                  <w:pPr>
                    <w:pStyle w:val="TableBodyText"/>
                    <w:ind w:right="28"/>
                    <w:jc w:val="left"/>
                  </w:pPr>
                  <w:r>
                    <w:t>People’s Republic of China</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Note"/>
              <w:rPr>
                <w:i/>
              </w:rPr>
            </w:pPr>
            <w:r>
              <w:rPr>
                <w:rStyle w:val="NoteLabel"/>
              </w:rPr>
              <w:t xml:space="preserve"> a</w:t>
            </w:r>
            <w:r>
              <w:t xml:space="preserve"> Formal investigations by the Anti-Dumping Commission. Complaints by industry must meet certain requirements before investigations are initiated. </w:t>
            </w:r>
            <w:r>
              <w:rPr>
                <w:rStyle w:val="NoteLabel"/>
              </w:rPr>
              <w:t>b</w:t>
            </w:r>
            <w:r>
              <w:t> Initiations are counted as actions applying to one commodity from one economy. Actions may be solely dumping, solely countervailing or both dumping and countervailing.</w:t>
            </w: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Anti-Dumping Commission (2014, latest).</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AC2131">
      <w:pPr>
        <w:pStyle w:val="BodyText"/>
        <w:spacing w:before="200"/>
      </w:pPr>
      <w:r>
        <w:t>During 2013</w:t>
      </w:r>
      <w:r>
        <w:noBreakHyphen/>
        <w:t xml:space="preserve">14, 15 </w:t>
      </w:r>
      <w:r w:rsidRPr="009F1F23">
        <w:t xml:space="preserve">new measures were </w:t>
      </w:r>
      <w:r w:rsidRPr="009F1F23">
        <w:rPr>
          <w:i/>
        </w:rPr>
        <w:t>imposed</w:t>
      </w:r>
      <w:r>
        <w:rPr>
          <w:i/>
        </w:rPr>
        <w:t xml:space="preserve"> </w:t>
      </w:r>
      <w:r>
        <w:t xml:space="preserve">(table E.2), </w:t>
      </w:r>
      <w:r w:rsidRPr="00A2716A">
        <w:t>an increase</w:t>
      </w:r>
      <w:r w:rsidRPr="009F1F23">
        <w:t xml:space="preserve"> </w:t>
      </w:r>
      <w:r>
        <w:t>from 12 measures in the previous year. Also during 2013</w:t>
      </w:r>
      <w:r>
        <w:noBreakHyphen/>
        <w:t xml:space="preserve">14, 7 measures </w:t>
      </w:r>
      <w:r w:rsidRPr="00677CBA">
        <w:rPr>
          <w:i/>
        </w:rPr>
        <w:t>expired</w:t>
      </w:r>
      <w:r>
        <w:rPr>
          <w:i/>
        </w:rPr>
        <w:t xml:space="preserve">, </w:t>
      </w:r>
      <w:r>
        <w:t>compared with none the previous year.</w:t>
      </w:r>
    </w:p>
    <w:p w:rsidR="00AC2131" w:rsidRDefault="00AC2131" w:rsidP="00AC213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047078" w:rsidRDefault="00AC2131" w:rsidP="00AC2131">
            <w:pPr>
              <w:pStyle w:val="TableTitle"/>
            </w:pPr>
            <w:r>
              <w:rPr>
                <w:b w:val="0"/>
              </w:rPr>
              <w:t>Table E.</w:t>
            </w:r>
            <w:r>
              <w:rPr>
                <w:b w:val="0"/>
                <w:noProof/>
              </w:rPr>
              <w:t>2</w:t>
            </w:r>
            <w:r>
              <w:tab/>
              <w:t>Australian anti-dumping and countervailing activity — new measures imposed and measures expired, 2013</w:t>
            </w:r>
            <w:r>
              <w:noBreakHyphen/>
              <w:t>14</w:t>
            </w:r>
          </w:p>
        </w:tc>
      </w:tr>
      <w:tr w:rsidR="00AC2131" w:rsidTr="00AC213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AC2131" w:rsidTr="00AC2131">
              <w:tc>
                <w:tcPr>
                  <w:tcW w:w="1667" w:type="pct"/>
                  <w:tcBorders>
                    <w:top w:val="single" w:sz="6" w:space="0" w:color="BFBFBF"/>
                    <w:bottom w:val="single" w:sz="6" w:space="0" w:color="BFBFBF"/>
                  </w:tcBorders>
                  <w:shd w:val="clear" w:color="auto" w:fill="auto"/>
                  <w:tcMar>
                    <w:top w:w="28" w:type="dxa"/>
                  </w:tcMar>
                </w:tcPr>
                <w:p w:rsidR="00AC2131" w:rsidRDefault="00AC2131" w:rsidP="00AC2131">
                  <w:pPr>
                    <w:pStyle w:val="TableColumnHeading"/>
                    <w:jc w:val="left"/>
                  </w:pPr>
                  <w:r>
                    <w:t>Commodity</w:t>
                  </w:r>
                </w:p>
              </w:tc>
              <w:tc>
                <w:tcPr>
                  <w:tcW w:w="1667"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jc w:val="left"/>
                  </w:pPr>
                  <w:r>
                    <w:t>Industry grouping</w:t>
                  </w:r>
                </w:p>
              </w:tc>
              <w:tc>
                <w:tcPr>
                  <w:tcW w:w="1666" w:type="pct"/>
                  <w:tcBorders>
                    <w:top w:val="single" w:sz="6" w:space="0" w:color="BFBFBF"/>
                    <w:bottom w:val="single" w:sz="6" w:space="0" w:color="BFBFBF"/>
                  </w:tcBorders>
                  <w:shd w:val="clear" w:color="auto" w:fill="auto"/>
                  <w:tcMar>
                    <w:top w:w="28" w:type="dxa"/>
                  </w:tcMar>
                  <w:vAlign w:val="bottom"/>
                </w:tcPr>
                <w:p w:rsidR="00AC2131" w:rsidRDefault="00AC2131" w:rsidP="00AC2131">
                  <w:pPr>
                    <w:pStyle w:val="TableColumnHeading"/>
                    <w:ind w:right="28"/>
                    <w:jc w:val="left"/>
                  </w:pPr>
                  <w:r>
                    <w:t>Country of export</w:t>
                  </w:r>
                </w:p>
              </w:tc>
            </w:tr>
            <w:tr w:rsidR="00AC2131" w:rsidRPr="002632A7" w:rsidTr="00AC2131">
              <w:tc>
                <w:tcPr>
                  <w:tcW w:w="1667" w:type="pct"/>
                </w:tcPr>
                <w:p w:rsidR="00AC2131" w:rsidRPr="002632A7" w:rsidRDefault="00AC2131" w:rsidP="00AC2131">
                  <w:pPr>
                    <w:pStyle w:val="TableBodyText"/>
                    <w:spacing w:before="40"/>
                    <w:jc w:val="left"/>
                    <w:rPr>
                      <w:b/>
                    </w:rPr>
                  </w:pPr>
                  <w:r w:rsidRPr="002632A7">
                    <w:rPr>
                      <w:b/>
                    </w:rPr>
                    <w:t>New measures imposed (= 15)</w:t>
                  </w:r>
                </w:p>
              </w:tc>
              <w:tc>
                <w:tcPr>
                  <w:tcW w:w="1667" w:type="pct"/>
                </w:tcPr>
                <w:p w:rsidR="00AC2131" w:rsidRPr="002632A7" w:rsidRDefault="00AC2131" w:rsidP="00AC2131">
                  <w:pPr>
                    <w:pStyle w:val="TableBodyText"/>
                    <w:spacing w:before="40"/>
                    <w:jc w:val="left"/>
                    <w:rPr>
                      <w:b/>
                    </w:rPr>
                  </w:pPr>
                </w:p>
              </w:tc>
              <w:tc>
                <w:tcPr>
                  <w:tcW w:w="1666" w:type="pct"/>
                </w:tcPr>
                <w:p w:rsidR="00AC2131" w:rsidRPr="002632A7" w:rsidRDefault="00AC2131" w:rsidP="00AC2131">
                  <w:pPr>
                    <w:pStyle w:val="TableBodyText"/>
                    <w:spacing w:before="40"/>
                    <w:ind w:right="28"/>
                    <w:jc w:val="left"/>
                    <w:rPr>
                      <w:b/>
                    </w:rPr>
                  </w:pPr>
                </w:p>
              </w:tc>
            </w:tr>
            <w:tr w:rsidR="00AC2131" w:rsidTr="00AC2131">
              <w:tc>
                <w:tcPr>
                  <w:tcW w:w="1667" w:type="pct"/>
                </w:tcPr>
                <w:p w:rsidR="00AC2131" w:rsidRDefault="00AC2131" w:rsidP="00AC2131">
                  <w:pPr>
                    <w:pStyle w:val="TableBodyText"/>
                    <w:jc w:val="left"/>
                  </w:pPr>
                  <w:r>
                    <w:t xml:space="preserve">Aluminium zinc coated steel </w:t>
                  </w:r>
                  <w:r>
                    <w:br/>
                    <w:t>(1 tariff item) (Dumping)</w:t>
                  </w:r>
                </w:p>
              </w:tc>
              <w:tc>
                <w:tcPr>
                  <w:tcW w:w="1667" w:type="pct"/>
                </w:tcPr>
                <w:p w:rsidR="00AC2131" w:rsidRDefault="00AC2131" w:rsidP="00AC2131">
                  <w:pPr>
                    <w:pStyle w:val="TableBodyText"/>
                    <w:jc w:val="left"/>
                  </w:pPr>
                  <w:r>
                    <w:t>Metal product manufacturing</w:t>
                  </w:r>
                </w:p>
              </w:tc>
              <w:tc>
                <w:tcPr>
                  <w:tcW w:w="1666" w:type="pct"/>
                </w:tcPr>
                <w:p w:rsidR="00AC2131" w:rsidRDefault="00AC2131" w:rsidP="00AC2131">
                  <w:pPr>
                    <w:pStyle w:val="TableBodyText"/>
                    <w:ind w:right="28"/>
                    <w:jc w:val="left"/>
                  </w:pPr>
                  <w:r>
                    <w:t>People’s Republic of China</w:t>
                  </w:r>
                  <w:r>
                    <w:br/>
                    <w:t>Republic of Korea</w:t>
                  </w:r>
                </w:p>
              </w:tc>
            </w:tr>
            <w:tr w:rsidR="00AC2131" w:rsidTr="00AC2131">
              <w:trPr>
                <w:trHeight w:val="20"/>
              </w:trPr>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Tr="00AC2131">
              <w:tc>
                <w:tcPr>
                  <w:tcW w:w="1667" w:type="pct"/>
                </w:tcPr>
                <w:p w:rsidR="00AC2131" w:rsidRDefault="00AC2131" w:rsidP="00AC2131">
                  <w:pPr>
                    <w:pStyle w:val="TableBodyText"/>
                    <w:jc w:val="left"/>
                  </w:pPr>
                  <w:r>
                    <w:t xml:space="preserve">Aluminium zinc coated steel </w:t>
                  </w:r>
                  <w:r>
                    <w:br/>
                    <w:t>(1 tariff item) (Countervailing)</w:t>
                  </w:r>
                </w:p>
              </w:tc>
              <w:tc>
                <w:tcPr>
                  <w:tcW w:w="1667" w:type="pct"/>
                </w:tcPr>
                <w:p w:rsidR="00AC2131" w:rsidRDefault="00AC2131" w:rsidP="00AC2131">
                  <w:pPr>
                    <w:pStyle w:val="TableBodyText"/>
                    <w:jc w:val="left"/>
                  </w:pPr>
                  <w:r>
                    <w:t>Metal product manufacturing</w:t>
                  </w:r>
                </w:p>
              </w:tc>
              <w:tc>
                <w:tcPr>
                  <w:tcW w:w="1666" w:type="pct"/>
                </w:tcPr>
                <w:p w:rsidR="00AC2131" w:rsidRDefault="00AC2131" w:rsidP="00AC2131">
                  <w:pPr>
                    <w:pStyle w:val="TableBodyText"/>
                    <w:ind w:right="28"/>
                    <w:jc w:val="left"/>
                  </w:pPr>
                  <w:r>
                    <w:t>People’s Republic of China</w:t>
                  </w:r>
                </w:p>
              </w:tc>
            </w:tr>
            <w:tr w:rsidR="00AC2131" w:rsidTr="00AC2131">
              <w:trPr>
                <w:trHeight w:val="170"/>
              </w:trPr>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Tr="00AC2131">
              <w:tc>
                <w:tcPr>
                  <w:tcW w:w="1667" w:type="pct"/>
                </w:tcPr>
                <w:p w:rsidR="00AC2131" w:rsidRDefault="00AC2131" w:rsidP="00AC2131">
                  <w:pPr>
                    <w:pStyle w:val="TableBodyText"/>
                    <w:jc w:val="left"/>
                  </w:pPr>
                  <w:r>
                    <w:t xml:space="preserve">Hot rolled steel plate </w:t>
                  </w:r>
                  <w:r>
                    <w:br/>
                    <w:t xml:space="preserve">(4 tariff items) (Dumping) </w:t>
                  </w:r>
                </w:p>
              </w:tc>
              <w:tc>
                <w:tcPr>
                  <w:tcW w:w="1667" w:type="pct"/>
                </w:tcPr>
                <w:p w:rsidR="00AC2131" w:rsidRDefault="00AC2131" w:rsidP="00AC2131">
                  <w:pPr>
                    <w:pStyle w:val="TableBodyText"/>
                    <w:jc w:val="left"/>
                  </w:pPr>
                  <w:r>
                    <w:t>Metal product manufacturing</w:t>
                  </w:r>
                </w:p>
              </w:tc>
              <w:tc>
                <w:tcPr>
                  <w:tcW w:w="1666" w:type="pct"/>
                </w:tcPr>
                <w:p w:rsidR="00AC2131" w:rsidRDefault="00AC2131" w:rsidP="00AC2131">
                  <w:pPr>
                    <w:pStyle w:val="TableBodyText"/>
                    <w:ind w:right="28"/>
                    <w:jc w:val="left"/>
                  </w:pPr>
                  <w:r>
                    <w:t>People’s Republic of China</w:t>
                  </w:r>
                  <w:r>
                    <w:br/>
                    <w:t>Indonesia, Japan, Republic of Korea</w:t>
                  </w:r>
                </w:p>
              </w:tc>
            </w:tr>
            <w:tr w:rsidR="00AC2131" w:rsidTr="00AC2131">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Tr="00AC2131">
              <w:tc>
                <w:tcPr>
                  <w:tcW w:w="1667" w:type="pct"/>
                </w:tcPr>
                <w:p w:rsidR="00AC2131" w:rsidRDefault="00AC2131" w:rsidP="00AC2131">
                  <w:pPr>
                    <w:pStyle w:val="TableBodyText"/>
                    <w:jc w:val="left"/>
                  </w:pPr>
                  <w:r>
                    <w:t xml:space="preserve">Hot rolled steel plate </w:t>
                  </w:r>
                  <w:r>
                    <w:br/>
                    <w:t>(4 tariff items) (Countervailing))</w:t>
                  </w:r>
                </w:p>
              </w:tc>
              <w:tc>
                <w:tcPr>
                  <w:tcW w:w="1667" w:type="pct"/>
                </w:tcPr>
                <w:p w:rsidR="00AC2131" w:rsidRDefault="00AC2131" w:rsidP="00AC2131">
                  <w:pPr>
                    <w:pStyle w:val="TableBodyText"/>
                    <w:jc w:val="left"/>
                  </w:pPr>
                  <w:r>
                    <w:t>Metal product manufacturing</w:t>
                  </w:r>
                </w:p>
              </w:tc>
              <w:tc>
                <w:tcPr>
                  <w:tcW w:w="1666" w:type="pct"/>
                </w:tcPr>
                <w:p w:rsidR="00AC2131" w:rsidRDefault="00AC2131" w:rsidP="00AC2131">
                  <w:pPr>
                    <w:pStyle w:val="TableBodyText"/>
                    <w:ind w:right="28"/>
                    <w:jc w:val="left"/>
                  </w:pPr>
                  <w:r>
                    <w:t>People’s Republic of China</w:t>
                  </w:r>
                </w:p>
              </w:tc>
            </w:tr>
            <w:tr w:rsidR="00AC2131" w:rsidTr="00AC2131">
              <w:trPr>
                <w:trHeight w:val="170"/>
              </w:trPr>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Tr="00AC2131">
              <w:tc>
                <w:tcPr>
                  <w:tcW w:w="1667" w:type="pct"/>
                </w:tcPr>
                <w:p w:rsidR="00AC2131" w:rsidRDefault="00AC2131" w:rsidP="00AC2131">
                  <w:pPr>
                    <w:pStyle w:val="TableBodyText"/>
                    <w:jc w:val="left"/>
                  </w:pPr>
                  <w:r>
                    <w:t>Tomatoes, prepared and preserved</w:t>
                  </w:r>
                  <w:r>
                    <w:br/>
                    <w:t>(1 tariff item) (Dumping)</w:t>
                  </w:r>
                </w:p>
              </w:tc>
              <w:tc>
                <w:tcPr>
                  <w:tcW w:w="1667" w:type="pct"/>
                </w:tcPr>
                <w:p w:rsidR="00AC2131" w:rsidRDefault="00AC2131" w:rsidP="00AC2131">
                  <w:pPr>
                    <w:pStyle w:val="TableBodyText"/>
                    <w:jc w:val="left"/>
                  </w:pPr>
                  <w:r>
                    <w:t>Food, beverages and tobacco manufacturing</w:t>
                  </w:r>
                </w:p>
              </w:tc>
              <w:tc>
                <w:tcPr>
                  <w:tcW w:w="1666" w:type="pct"/>
                </w:tcPr>
                <w:p w:rsidR="00AC2131" w:rsidRDefault="00AC2131" w:rsidP="00AC2131">
                  <w:pPr>
                    <w:pStyle w:val="TableBodyText"/>
                    <w:ind w:right="28"/>
                    <w:jc w:val="left"/>
                  </w:pPr>
                  <w:r>
                    <w:t>Italy</w:t>
                  </w:r>
                </w:p>
              </w:tc>
            </w:tr>
            <w:tr w:rsidR="00AC2131" w:rsidTr="00AC2131">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Tr="00AC2131">
              <w:tc>
                <w:tcPr>
                  <w:tcW w:w="1667" w:type="pct"/>
                </w:tcPr>
                <w:p w:rsidR="00AC2131" w:rsidRDefault="00AC2131" w:rsidP="00AC2131">
                  <w:pPr>
                    <w:pStyle w:val="TableBodyText"/>
                    <w:jc w:val="left"/>
                  </w:pPr>
                  <w:r>
                    <w:t>Wind towers</w:t>
                  </w:r>
                  <w:r>
                    <w:br/>
                    <w:t>(4 tariff items) (Dumping)</w:t>
                  </w:r>
                </w:p>
              </w:tc>
              <w:tc>
                <w:tcPr>
                  <w:tcW w:w="1667" w:type="pct"/>
                </w:tcPr>
                <w:p w:rsidR="00AC2131" w:rsidRDefault="00AC2131" w:rsidP="00AC2131">
                  <w:pPr>
                    <w:pStyle w:val="TableBodyText"/>
                    <w:jc w:val="left"/>
                  </w:pPr>
                  <w:r>
                    <w:t>Fabricated metal products manufacturing</w:t>
                  </w:r>
                </w:p>
              </w:tc>
              <w:tc>
                <w:tcPr>
                  <w:tcW w:w="1666" w:type="pct"/>
                </w:tcPr>
                <w:p w:rsidR="00AC2131" w:rsidRDefault="00AC2131" w:rsidP="00AC2131">
                  <w:pPr>
                    <w:pStyle w:val="TableBodyText"/>
                    <w:ind w:right="28"/>
                    <w:jc w:val="left"/>
                  </w:pPr>
                  <w:r>
                    <w:t>People’s Republic of China</w:t>
                  </w:r>
                  <w:r>
                    <w:br/>
                    <w:t>Republic of Korea</w:t>
                  </w:r>
                </w:p>
              </w:tc>
            </w:tr>
            <w:tr w:rsidR="00AC2131" w:rsidTr="00AC2131">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Tr="00AC2131">
              <w:tc>
                <w:tcPr>
                  <w:tcW w:w="1667" w:type="pct"/>
                </w:tcPr>
                <w:p w:rsidR="00AC2131" w:rsidRDefault="00AC2131" w:rsidP="00AC2131">
                  <w:pPr>
                    <w:pStyle w:val="TableBodyText"/>
                    <w:jc w:val="left"/>
                  </w:pPr>
                  <w:r>
                    <w:t>Zinc coated (galvanised) steel)</w:t>
                  </w:r>
                  <w:r>
                    <w:br/>
                    <w:t>(2 tariff items) (Dumping)</w:t>
                  </w:r>
                </w:p>
              </w:tc>
              <w:tc>
                <w:tcPr>
                  <w:tcW w:w="1667" w:type="pct"/>
                </w:tcPr>
                <w:p w:rsidR="00AC2131" w:rsidRDefault="00AC2131" w:rsidP="00AC2131">
                  <w:pPr>
                    <w:pStyle w:val="TableBodyText"/>
                    <w:jc w:val="left"/>
                  </w:pPr>
                  <w:r>
                    <w:t>Metal product manufacturing</w:t>
                  </w:r>
                </w:p>
              </w:tc>
              <w:tc>
                <w:tcPr>
                  <w:tcW w:w="1666" w:type="pct"/>
                </w:tcPr>
                <w:p w:rsidR="00AC2131" w:rsidRDefault="00AC2131" w:rsidP="00AC2131">
                  <w:pPr>
                    <w:pStyle w:val="TableBodyText"/>
                    <w:ind w:right="28"/>
                    <w:jc w:val="left"/>
                  </w:pPr>
                  <w:r>
                    <w:t>People’s Republic of China</w:t>
                  </w:r>
                  <w:r>
                    <w:br/>
                    <w:t>Republic of Korea, Taiwan</w:t>
                  </w:r>
                </w:p>
              </w:tc>
            </w:tr>
            <w:tr w:rsidR="00AC2131" w:rsidTr="00AC2131">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Tr="00AC2131">
              <w:tc>
                <w:tcPr>
                  <w:tcW w:w="1667" w:type="pct"/>
                </w:tcPr>
                <w:p w:rsidR="00AC2131" w:rsidRDefault="00AC2131" w:rsidP="00AC2131">
                  <w:pPr>
                    <w:pStyle w:val="TableBodyText"/>
                    <w:jc w:val="left"/>
                  </w:pPr>
                  <w:r>
                    <w:t>Zinc coated (galvanised) steel)</w:t>
                  </w:r>
                  <w:r>
                    <w:br/>
                    <w:t>(2 tariff items) (Countervailing)</w:t>
                  </w:r>
                </w:p>
              </w:tc>
              <w:tc>
                <w:tcPr>
                  <w:tcW w:w="1667" w:type="pct"/>
                </w:tcPr>
                <w:p w:rsidR="00AC2131" w:rsidRDefault="00AC2131" w:rsidP="00AC2131">
                  <w:pPr>
                    <w:pStyle w:val="TableBodyText"/>
                    <w:jc w:val="left"/>
                  </w:pPr>
                  <w:r>
                    <w:t>Metal product manufacturing</w:t>
                  </w:r>
                </w:p>
              </w:tc>
              <w:tc>
                <w:tcPr>
                  <w:tcW w:w="1666" w:type="pct"/>
                </w:tcPr>
                <w:p w:rsidR="00AC2131" w:rsidRDefault="00AC2131" w:rsidP="00AC2131">
                  <w:pPr>
                    <w:pStyle w:val="TableBodyText"/>
                    <w:ind w:right="28"/>
                    <w:jc w:val="left"/>
                  </w:pPr>
                  <w:r>
                    <w:t>People’s Republic of China</w:t>
                  </w:r>
                </w:p>
              </w:tc>
            </w:tr>
            <w:tr w:rsidR="00AC2131" w:rsidTr="00AC2131">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RPr="002632A7" w:rsidTr="00AC2131">
              <w:tc>
                <w:tcPr>
                  <w:tcW w:w="1667" w:type="pct"/>
                </w:tcPr>
                <w:p w:rsidR="00AC2131" w:rsidRPr="002632A7" w:rsidRDefault="00AC2131" w:rsidP="00AC2131">
                  <w:pPr>
                    <w:pStyle w:val="TableBodyText"/>
                    <w:jc w:val="left"/>
                    <w:rPr>
                      <w:b/>
                    </w:rPr>
                  </w:pPr>
                  <w:r w:rsidRPr="002632A7">
                    <w:rPr>
                      <w:b/>
                    </w:rPr>
                    <w:t>Measures expired (= 7)</w:t>
                  </w:r>
                </w:p>
              </w:tc>
              <w:tc>
                <w:tcPr>
                  <w:tcW w:w="1667" w:type="pct"/>
                </w:tcPr>
                <w:p w:rsidR="00AC2131" w:rsidRPr="002632A7" w:rsidRDefault="00AC2131" w:rsidP="00AC2131">
                  <w:pPr>
                    <w:pStyle w:val="TableBodyText"/>
                    <w:jc w:val="left"/>
                    <w:rPr>
                      <w:b/>
                    </w:rPr>
                  </w:pPr>
                </w:p>
              </w:tc>
              <w:tc>
                <w:tcPr>
                  <w:tcW w:w="1666" w:type="pct"/>
                </w:tcPr>
                <w:p w:rsidR="00AC2131" w:rsidRPr="002632A7" w:rsidRDefault="00AC2131" w:rsidP="00AC2131">
                  <w:pPr>
                    <w:pStyle w:val="TableBodyText"/>
                    <w:ind w:right="28"/>
                    <w:jc w:val="left"/>
                    <w:rPr>
                      <w:b/>
                    </w:rPr>
                  </w:pPr>
                </w:p>
              </w:tc>
            </w:tr>
            <w:tr w:rsidR="00AC2131" w:rsidTr="00AC2131">
              <w:tc>
                <w:tcPr>
                  <w:tcW w:w="1667" w:type="pct"/>
                </w:tcPr>
                <w:p w:rsidR="00AC2131" w:rsidRDefault="00AC2131" w:rsidP="00AC2131">
                  <w:pPr>
                    <w:pStyle w:val="TableBodyText"/>
                    <w:jc w:val="left"/>
                  </w:pPr>
                  <w:r>
                    <w:t>Greyback cartonboard</w:t>
                  </w:r>
                  <w:r>
                    <w:br/>
                    <w:t>(5 tariff items) (Dumping)</w:t>
                  </w:r>
                </w:p>
              </w:tc>
              <w:tc>
                <w:tcPr>
                  <w:tcW w:w="1667" w:type="pct"/>
                </w:tcPr>
                <w:p w:rsidR="00AC2131" w:rsidRDefault="00AC2131" w:rsidP="00AC2131">
                  <w:pPr>
                    <w:pStyle w:val="TableBodyText"/>
                    <w:jc w:val="left"/>
                  </w:pPr>
                  <w:r>
                    <w:t>Pulp, paper and paper products manufacturing</w:t>
                  </w:r>
                </w:p>
              </w:tc>
              <w:tc>
                <w:tcPr>
                  <w:tcW w:w="1666" w:type="pct"/>
                </w:tcPr>
                <w:p w:rsidR="00AC2131" w:rsidRDefault="00AC2131" w:rsidP="00AC2131">
                  <w:pPr>
                    <w:pStyle w:val="TableBodyText"/>
                    <w:ind w:right="28"/>
                    <w:jc w:val="left"/>
                  </w:pPr>
                  <w:r>
                    <w:t>Republic of Korea</w:t>
                  </w:r>
                </w:p>
              </w:tc>
            </w:tr>
            <w:tr w:rsidR="00AC2131" w:rsidTr="00AC2131">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Tr="00AC2131">
              <w:tc>
                <w:tcPr>
                  <w:tcW w:w="1667" w:type="pct"/>
                </w:tcPr>
                <w:p w:rsidR="00AC2131" w:rsidRDefault="00AC2131" w:rsidP="00AC2131">
                  <w:pPr>
                    <w:pStyle w:val="TableBodyText"/>
                    <w:jc w:val="left"/>
                  </w:pPr>
                  <w:r>
                    <w:t>Greyback cartonboard</w:t>
                  </w:r>
                  <w:r>
                    <w:br/>
                    <w:t>(5 tariff items) (Price undertaking)</w:t>
                  </w:r>
                </w:p>
              </w:tc>
              <w:tc>
                <w:tcPr>
                  <w:tcW w:w="1667" w:type="pct"/>
                </w:tcPr>
                <w:p w:rsidR="00AC2131" w:rsidRDefault="00AC2131" w:rsidP="00AC2131">
                  <w:pPr>
                    <w:pStyle w:val="TableBodyText"/>
                    <w:jc w:val="left"/>
                  </w:pPr>
                  <w:r>
                    <w:t>Pulp, paper and paper products manufacturing</w:t>
                  </w:r>
                </w:p>
              </w:tc>
              <w:tc>
                <w:tcPr>
                  <w:tcW w:w="1666" w:type="pct"/>
                </w:tcPr>
                <w:p w:rsidR="00AC2131" w:rsidRDefault="00AC2131" w:rsidP="00AC2131">
                  <w:pPr>
                    <w:pStyle w:val="TableBodyText"/>
                    <w:ind w:right="28"/>
                    <w:jc w:val="left"/>
                  </w:pPr>
                  <w:r>
                    <w:t>Republic of Korea</w:t>
                  </w:r>
                </w:p>
              </w:tc>
            </w:tr>
            <w:tr w:rsidR="00AC2131" w:rsidTr="00AC2131">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Tr="00AC2131">
              <w:tc>
                <w:tcPr>
                  <w:tcW w:w="1667" w:type="pct"/>
                </w:tcPr>
                <w:p w:rsidR="00AC2131" w:rsidRDefault="00AC2131" w:rsidP="00AC2131">
                  <w:pPr>
                    <w:pStyle w:val="TableBodyText"/>
                    <w:jc w:val="left"/>
                  </w:pPr>
                  <w:r>
                    <w:t>Iron and steel grinding mill liners</w:t>
                  </w:r>
                  <w:r>
                    <w:br/>
                    <w:t>(1 tariff item) (Dumping)</w:t>
                  </w:r>
                </w:p>
              </w:tc>
              <w:tc>
                <w:tcPr>
                  <w:tcW w:w="1667" w:type="pct"/>
                </w:tcPr>
                <w:p w:rsidR="00AC2131" w:rsidRDefault="00AC2131" w:rsidP="00AC2131">
                  <w:pPr>
                    <w:pStyle w:val="TableBodyText"/>
                    <w:jc w:val="left"/>
                  </w:pPr>
                  <w:r>
                    <w:t>Metal product manufacturing</w:t>
                  </w:r>
                </w:p>
              </w:tc>
              <w:tc>
                <w:tcPr>
                  <w:tcW w:w="1666" w:type="pct"/>
                </w:tcPr>
                <w:p w:rsidR="00AC2131" w:rsidRDefault="00AC2131" w:rsidP="00AC2131">
                  <w:pPr>
                    <w:pStyle w:val="TableBodyText"/>
                    <w:ind w:right="28"/>
                    <w:jc w:val="left"/>
                  </w:pPr>
                  <w:r>
                    <w:t>Canada</w:t>
                  </w:r>
                </w:p>
              </w:tc>
            </w:tr>
            <w:tr w:rsidR="00AC2131" w:rsidTr="00AC2131">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Tr="00AC2131">
              <w:tc>
                <w:tcPr>
                  <w:tcW w:w="1667" w:type="pct"/>
                </w:tcPr>
                <w:p w:rsidR="00AC2131" w:rsidRDefault="00AC2131" w:rsidP="00AC2131">
                  <w:pPr>
                    <w:pStyle w:val="TableBodyText"/>
                    <w:jc w:val="left"/>
                  </w:pPr>
                  <w:r>
                    <w:t>Polyethylene, linear low density</w:t>
                  </w:r>
                  <w:r>
                    <w:br/>
                    <w:t>(2 tariff items) (Dumping)</w:t>
                  </w:r>
                </w:p>
              </w:tc>
              <w:tc>
                <w:tcPr>
                  <w:tcW w:w="1667" w:type="pct"/>
                </w:tcPr>
                <w:p w:rsidR="00AC2131" w:rsidRDefault="00AC2131" w:rsidP="00AC2131">
                  <w:pPr>
                    <w:pStyle w:val="TableBodyText"/>
                    <w:jc w:val="left"/>
                  </w:pPr>
                  <w:r>
                    <w:t>Petroleum, coal, chemical and associated products</w:t>
                  </w:r>
                </w:p>
              </w:tc>
              <w:tc>
                <w:tcPr>
                  <w:tcW w:w="1666" w:type="pct"/>
                </w:tcPr>
                <w:p w:rsidR="00AC2131" w:rsidRDefault="00AC2131" w:rsidP="00AC2131">
                  <w:pPr>
                    <w:pStyle w:val="TableBodyText"/>
                    <w:ind w:right="28"/>
                    <w:jc w:val="left"/>
                  </w:pPr>
                  <w:r>
                    <w:t>Thailand</w:t>
                  </w:r>
                </w:p>
              </w:tc>
            </w:tr>
            <w:tr w:rsidR="00AC2131" w:rsidTr="00AC2131">
              <w:tc>
                <w:tcPr>
                  <w:tcW w:w="1667" w:type="pct"/>
                </w:tcPr>
                <w:p w:rsidR="00AC2131" w:rsidRDefault="00AC2131" w:rsidP="00AC2131">
                  <w:pPr>
                    <w:pStyle w:val="TableBodyText"/>
                    <w:spacing w:after="0"/>
                    <w:jc w:val="left"/>
                  </w:pPr>
                </w:p>
              </w:tc>
              <w:tc>
                <w:tcPr>
                  <w:tcW w:w="1667" w:type="pct"/>
                </w:tcPr>
                <w:p w:rsidR="00AC2131" w:rsidRDefault="00AC2131" w:rsidP="00AC2131">
                  <w:pPr>
                    <w:pStyle w:val="TableBodyText"/>
                    <w:spacing w:after="0"/>
                    <w:jc w:val="left"/>
                  </w:pPr>
                </w:p>
              </w:tc>
              <w:tc>
                <w:tcPr>
                  <w:tcW w:w="1666" w:type="pct"/>
                </w:tcPr>
                <w:p w:rsidR="00AC2131" w:rsidRDefault="00AC2131" w:rsidP="00AC2131">
                  <w:pPr>
                    <w:pStyle w:val="TableBodyText"/>
                    <w:spacing w:after="0"/>
                    <w:ind w:right="28"/>
                    <w:jc w:val="left"/>
                  </w:pPr>
                </w:p>
              </w:tc>
            </w:tr>
            <w:tr w:rsidR="00AC2131" w:rsidTr="00AC2131">
              <w:tc>
                <w:tcPr>
                  <w:tcW w:w="1667" w:type="pct"/>
                </w:tcPr>
                <w:p w:rsidR="00AC2131" w:rsidRDefault="00AC2131" w:rsidP="00AC2131">
                  <w:pPr>
                    <w:pStyle w:val="TableBodyText"/>
                    <w:jc w:val="left"/>
                  </w:pPr>
                  <w:r>
                    <w:t>Rims, certain tubeless demountable</w:t>
                  </w:r>
                  <w:r>
                    <w:br/>
                    <w:t>(1 tariff item) (Dumping)</w:t>
                  </w:r>
                </w:p>
              </w:tc>
              <w:tc>
                <w:tcPr>
                  <w:tcW w:w="1667" w:type="pct"/>
                </w:tcPr>
                <w:p w:rsidR="00AC2131" w:rsidRDefault="00AC2131" w:rsidP="00AC2131">
                  <w:pPr>
                    <w:pStyle w:val="TableBodyText"/>
                    <w:jc w:val="left"/>
                  </w:pPr>
                  <w:r>
                    <w:t>Metal product manufacturing</w:t>
                  </w:r>
                </w:p>
              </w:tc>
              <w:tc>
                <w:tcPr>
                  <w:tcW w:w="1666" w:type="pct"/>
                </w:tcPr>
                <w:p w:rsidR="00AC2131" w:rsidRDefault="00AC2131" w:rsidP="00AC2131">
                  <w:pPr>
                    <w:pStyle w:val="TableBodyText"/>
                    <w:ind w:right="28"/>
                    <w:jc w:val="left"/>
                  </w:pPr>
                  <w:r>
                    <w:t>People’s Republic of China</w:t>
                  </w:r>
                </w:p>
              </w:tc>
            </w:tr>
            <w:tr w:rsidR="00AC2131" w:rsidTr="00AC2131">
              <w:trPr>
                <w:trHeight w:val="113"/>
              </w:trPr>
              <w:tc>
                <w:tcPr>
                  <w:tcW w:w="1667" w:type="pct"/>
                  <w:shd w:val="clear" w:color="auto" w:fill="auto"/>
                </w:tcPr>
                <w:p w:rsidR="00AC2131" w:rsidRDefault="00AC2131" w:rsidP="00AC2131">
                  <w:pPr>
                    <w:pStyle w:val="TableBodyText"/>
                    <w:spacing w:after="0"/>
                    <w:jc w:val="left"/>
                  </w:pPr>
                </w:p>
              </w:tc>
              <w:tc>
                <w:tcPr>
                  <w:tcW w:w="1667" w:type="pct"/>
                  <w:shd w:val="clear" w:color="auto" w:fill="auto"/>
                </w:tcPr>
                <w:p w:rsidR="00AC2131" w:rsidRDefault="00AC2131" w:rsidP="00AC2131">
                  <w:pPr>
                    <w:pStyle w:val="TableBodyText"/>
                    <w:spacing w:after="0"/>
                    <w:jc w:val="left"/>
                  </w:pPr>
                </w:p>
              </w:tc>
              <w:tc>
                <w:tcPr>
                  <w:tcW w:w="1666" w:type="pct"/>
                  <w:shd w:val="clear" w:color="auto" w:fill="auto"/>
                </w:tcPr>
                <w:p w:rsidR="00AC2131" w:rsidRDefault="00AC2131" w:rsidP="00AC2131">
                  <w:pPr>
                    <w:pStyle w:val="TableBodyText"/>
                    <w:spacing w:after="0"/>
                    <w:ind w:right="28"/>
                    <w:jc w:val="left"/>
                  </w:pPr>
                </w:p>
              </w:tc>
            </w:tr>
            <w:tr w:rsidR="00AC2131" w:rsidTr="00AC2131">
              <w:tc>
                <w:tcPr>
                  <w:tcW w:w="1667" w:type="pct"/>
                  <w:tcBorders>
                    <w:bottom w:val="single" w:sz="6" w:space="0" w:color="BFBFBF"/>
                  </w:tcBorders>
                  <w:shd w:val="clear" w:color="auto" w:fill="auto"/>
                </w:tcPr>
                <w:p w:rsidR="00AC2131" w:rsidRDefault="00AC2131" w:rsidP="00AC2131">
                  <w:pPr>
                    <w:pStyle w:val="TableBodyText"/>
                    <w:jc w:val="left"/>
                  </w:pPr>
                  <w:r>
                    <w:t>Rims, certain tubeless demountable</w:t>
                  </w:r>
                  <w:r>
                    <w:br/>
                    <w:t>(1 tariff item) (Price undertaking)</w:t>
                  </w:r>
                </w:p>
              </w:tc>
              <w:tc>
                <w:tcPr>
                  <w:tcW w:w="1667" w:type="pct"/>
                  <w:tcBorders>
                    <w:bottom w:val="single" w:sz="6" w:space="0" w:color="BFBFBF"/>
                  </w:tcBorders>
                  <w:shd w:val="clear" w:color="auto" w:fill="auto"/>
                </w:tcPr>
                <w:p w:rsidR="00AC2131" w:rsidRDefault="00AC2131" w:rsidP="00AC2131">
                  <w:pPr>
                    <w:pStyle w:val="TableBodyText"/>
                    <w:jc w:val="left"/>
                  </w:pPr>
                  <w:r>
                    <w:t>Metal product manufacturing</w:t>
                  </w:r>
                </w:p>
              </w:tc>
              <w:tc>
                <w:tcPr>
                  <w:tcW w:w="1666" w:type="pct"/>
                  <w:tcBorders>
                    <w:bottom w:val="single" w:sz="6" w:space="0" w:color="BFBFBF"/>
                  </w:tcBorders>
                  <w:shd w:val="clear" w:color="auto" w:fill="auto"/>
                </w:tcPr>
                <w:p w:rsidR="00AC2131" w:rsidRDefault="00AC2131" w:rsidP="00AC2131">
                  <w:pPr>
                    <w:pStyle w:val="TableBodyText"/>
                    <w:ind w:right="28"/>
                    <w:jc w:val="left"/>
                  </w:pPr>
                  <w:r>
                    <w:t>People’s Republic of China</w:t>
                  </w:r>
                </w:p>
              </w:tc>
            </w:tr>
          </w:tbl>
          <w:p w:rsidR="00AC2131" w:rsidRDefault="00AC2131" w:rsidP="00AC2131">
            <w:pPr>
              <w:pStyle w:val="Box"/>
            </w:pPr>
          </w:p>
        </w:tc>
      </w:tr>
      <w:tr w:rsidR="00AC2131" w:rsidTr="00AC2131">
        <w:trPr>
          <w:cantSplit/>
        </w:trPr>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Anti-Dumping Commission (2014, latest).</w:t>
            </w:r>
          </w:p>
        </w:tc>
      </w:tr>
      <w:tr w:rsidR="00AC2131" w:rsidTr="00AC2131">
        <w:trPr>
          <w:cantSplit/>
        </w:trPr>
        <w:tc>
          <w:tcPr>
            <w:tcW w:w="8771" w:type="dxa"/>
            <w:tcBorders>
              <w:top w:val="nil"/>
              <w:left w:val="nil"/>
              <w:bottom w:val="single" w:sz="6" w:space="0" w:color="78A22F"/>
              <w:right w:val="nil"/>
            </w:tcBorders>
            <w:shd w:val="clear" w:color="auto" w:fill="auto"/>
          </w:tcPr>
          <w:p w:rsidR="00AC2131" w:rsidRDefault="00AC2131" w:rsidP="00AC2131">
            <w:pPr>
              <w:pStyle w:val="Box"/>
              <w:spacing w:before="0" w:line="120" w:lineRule="exact"/>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r>
        <w:t xml:space="preserve">At 30 June 2014 there were 48 antidumping and countervailing measures </w:t>
      </w:r>
      <w:r w:rsidRPr="0060326A">
        <w:rPr>
          <w:i/>
        </w:rPr>
        <w:t>in force</w:t>
      </w:r>
      <w:r>
        <w:t xml:space="preserve"> (figure E.1), up from 40 the previous year. This is about half the level that existed around the early 1990s — when there was an upsurge in antidumping investigations after the June 1990 economic recession. </w:t>
      </w:r>
    </w:p>
    <w:p w:rsidR="00AC2131" w:rsidRDefault="00AC2131" w:rsidP="00AC213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C2131" w:rsidTr="00AC2131">
        <w:tc>
          <w:tcPr>
            <w:tcW w:w="8771" w:type="dxa"/>
            <w:tcBorders>
              <w:top w:val="single" w:sz="6" w:space="0" w:color="78A22F"/>
              <w:left w:val="nil"/>
              <w:bottom w:val="nil"/>
              <w:right w:val="nil"/>
            </w:tcBorders>
            <w:shd w:val="clear" w:color="auto" w:fill="auto"/>
          </w:tcPr>
          <w:p w:rsidR="00AC2131" w:rsidRPr="00176D3F" w:rsidRDefault="00AC2131" w:rsidP="00AC2131">
            <w:pPr>
              <w:pStyle w:val="FigureTitle"/>
            </w:pPr>
            <w:r w:rsidRPr="00784A05">
              <w:rPr>
                <w:b w:val="0"/>
              </w:rPr>
              <w:t xml:space="preserve">Figure </w:t>
            </w:r>
            <w:r>
              <w:rPr>
                <w:b w:val="0"/>
              </w:rPr>
              <w:t>E.</w:t>
            </w:r>
            <w:r>
              <w:rPr>
                <w:b w:val="0"/>
                <w:noProof/>
              </w:rPr>
              <w:t>1</w:t>
            </w:r>
            <w:r>
              <w:tab/>
              <w:t xml:space="preserve">Australian anti-dumping and countervailing activity, </w:t>
            </w:r>
            <w:r>
              <w:br/>
              <w:t>1978</w:t>
            </w:r>
            <w:r>
              <w:noBreakHyphen/>
              <w:t>79 to 2013</w:t>
            </w:r>
            <w:r>
              <w:noBreakHyphen/>
            </w:r>
            <w:r w:rsidRPr="00437D75">
              <w:t>14</w:t>
            </w:r>
            <w:r w:rsidRPr="00437D75">
              <w:rPr>
                <w:rStyle w:val="NoteLabel"/>
                <w:b/>
              </w:rPr>
              <w:t>a,b</w:t>
            </w:r>
          </w:p>
        </w:tc>
      </w:tr>
      <w:tr w:rsidR="00AC2131" w:rsidTr="00AC213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C2131" w:rsidTr="00AC2131">
              <w:trPr>
                <w:jc w:val="center"/>
              </w:trPr>
              <w:tc>
                <w:tcPr>
                  <w:tcW w:w="8504" w:type="dxa"/>
                  <w:tcBorders>
                    <w:top w:val="nil"/>
                    <w:bottom w:val="nil"/>
                  </w:tcBorders>
                </w:tcPr>
                <w:p w:rsidR="00AC2131" w:rsidRDefault="00AC2131" w:rsidP="00AC2131">
                  <w:pPr>
                    <w:pStyle w:val="Figure"/>
                    <w:spacing w:before="60" w:after="60"/>
                  </w:pPr>
                  <w:r>
                    <w:rPr>
                      <w:noProof/>
                    </w:rPr>
                    <w:drawing>
                      <wp:inline distT="0" distB="0" distL="0" distR="0" wp14:anchorId="7FE87EB4" wp14:editId="1551CB49">
                        <wp:extent cx="5257800" cy="2809875"/>
                        <wp:effectExtent l="0" t="0" r="0" b="9525"/>
                        <wp:docPr id="47" name="Picture 47" descr="Figure E.1 presents Australian anti-dumping and countervailing activity from 1978-79 to 2013-14. More details can be found within the text immediately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AC2131" w:rsidRDefault="00AC2131" w:rsidP="00AC2131">
            <w:pPr>
              <w:pStyle w:val="Figure"/>
            </w:pPr>
          </w:p>
        </w:tc>
      </w:tr>
      <w:tr w:rsidR="00AC2131" w:rsidRPr="00176D3F" w:rsidTr="00AC2131">
        <w:tc>
          <w:tcPr>
            <w:tcW w:w="8771" w:type="dxa"/>
            <w:tcBorders>
              <w:top w:val="nil"/>
              <w:left w:val="nil"/>
              <w:bottom w:val="nil"/>
              <w:right w:val="nil"/>
            </w:tcBorders>
            <w:shd w:val="clear" w:color="auto" w:fill="auto"/>
          </w:tcPr>
          <w:p w:rsidR="00AC2131" w:rsidRDefault="00AC2131" w:rsidP="00AC2131">
            <w:pPr>
              <w:pStyle w:val="Note"/>
              <w:rPr>
                <w:i/>
              </w:rPr>
            </w:pPr>
            <w:r>
              <w:rPr>
                <w:rStyle w:val="NoteLabel"/>
              </w:rPr>
              <w:t xml:space="preserve"> a</w:t>
            </w:r>
            <w:r>
              <w:t xml:space="preserve"> Formal investigations by Anti-Dumping Commission. Complaints by industry must meet certain requirements before investigations are initiated. </w:t>
            </w:r>
            <w:r>
              <w:rPr>
                <w:rStyle w:val="NoteLabel"/>
              </w:rPr>
              <w:t>b</w:t>
            </w:r>
            <w:r>
              <w:t> Initiations are counted as actions applying to one commodity from one economy. Actions may be solely dumping, solely countervailing or both dumping and countervailing.</w:t>
            </w:r>
          </w:p>
        </w:tc>
      </w:tr>
      <w:tr w:rsidR="00AC2131" w:rsidRPr="00176D3F" w:rsidTr="00AC2131">
        <w:tc>
          <w:tcPr>
            <w:tcW w:w="8771" w:type="dxa"/>
            <w:tcBorders>
              <w:top w:val="nil"/>
              <w:left w:val="nil"/>
              <w:bottom w:val="nil"/>
              <w:right w:val="nil"/>
            </w:tcBorders>
            <w:shd w:val="clear" w:color="auto" w:fill="auto"/>
          </w:tcPr>
          <w:p w:rsidR="00AC2131" w:rsidRDefault="00AC2131" w:rsidP="00AC2131">
            <w:pPr>
              <w:pStyle w:val="Source"/>
            </w:pPr>
            <w:r>
              <w:rPr>
                <w:i/>
              </w:rPr>
              <w:t>Source</w:t>
            </w:r>
            <w:r w:rsidRPr="00167F06">
              <w:t xml:space="preserve">: </w:t>
            </w:r>
            <w:r>
              <w:t>Anti-Dumping Commission (2014, latest).</w:t>
            </w:r>
          </w:p>
        </w:tc>
      </w:tr>
      <w:tr w:rsidR="00AC2131" w:rsidTr="00AC2131">
        <w:tc>
          <w:tcPr>
            <w:tcW w:w="8771" w:type="dxa"/>
            <w:tcBorders>
              <w:top w:val="nil"/>
              <w:left w:val="nil"/>
              <w:bottom w:val="single" w:sz="6" w:space="0" w:color="78A22F"/>
              <w:right w:val="nil"/>
            </w:tcBorders>
            <w:shd w:val="clear" w:color="auto" w:fill="auto"/>
          </w:tcPr>
          <w:p w:rsidR="00AC2131" w:rsidRDefault="00AC2131" w:rsidP="00AC2131">
            <w:pPr>
              <w:pStyle w:val="Figurespace"/>
            </w:pPr>
          </w:p>
        </w:tc>
      </w:tr>
      <w:tr w:rsidR="00AC2131" w:rsidRPr="000863A5" w:rsidTr="00AC2131">
        <w:tc>
          <w:tcPr>
            <w:tcW w:w="8771" w:type="dxa"/>
            <w:tcBorders>
              <w:top w:val="single" w:sz="6" w:space="0" w:color="78A22F"/>
              <w:left w:val="nil"/>
              <w:bottom w:val="nil"/>
              <w:right w:val="nil"/>
            </w:tcBorders>
          </w:tcPr>
          <w:p w:rsidR="00AC2131" w:rsidRPr="00626D32" w:rsidRDefault="00AC2131" w:rsidP="00AC2131">
            <w:pPr>
              <w:pStyle w:val="BoxSpaceBelow"/>
            </w:pPr>
          </w:p>
        </w:tc>
      </w:tr>
    </w:tbl>
    <w:p w:rsidR="00AC2131" w:rsidRDefault="00AC2131" w:rsidP="00120072">
      <w:pPr>
        <w:pStyle w:val="BodyText"/>
      </w:pPr>
    </w:p>
    <w:p w:rsidR="00AC2131" w:rsidRDefault="00AC2131" w:rsidP="00AC2131">
      <w:pPr>
        <w:sectPr w:rsidR="00AC2131" w:rsidSect="00AC2131">
          <w:headerReference w:type="even" r:id="rId116"/>
          <w:headerReference w:type="default" r:id="rId117"/>
          <w:footerReference w:type="even" r:id="rId118"/>
          <w:footerReference w:type="default" r:id="rId119"/>
          <w:type w:val="oddPage"/>
          <w:pgSz w:w="11907" w:h="16840" w:code="9"/>
          <w:pgMar w:top="1985" w:right="1304" w:bottom="1247" w:left="1814" w:header="1701" w:footer="397" w:gutter="0"/>
          <w:pgNumType w:chapSep="period"/>
          <w:cols w:space="720"/>
          <w:docGrid w:linePitch="326"/>
        </w:sectPr>
      </w:pPr>
    </w:p>
    <w:p w:rsidR="00AC2131" w:rsidRPr="005F57C9" w:rsidRDefault="00AC2131" w:rsidP="00AC2131">
      <w:pPr>
        <w:pStyle w:val="Heading1"/>
        <w:spacing w:before="0"/>
      </w:pPr>
      <w:bookmarkStart w:id="22" w:name="_References"/>
      <w:bookmarkEnd w:id="22"/>
      <w:r w:rsidRPr="005F57C9">
        <w:t>References</w:t>
      </w:r>
    </w:p>
    <w:p w:rsidR="00AC2131" w:rsidRPr="005F57C9" w:rsidRDefault="00AC2131" w:rsidP="00AC2131">
      <w:pPr>
        <w:pStyle w:val="Reference"/>
      </w:pPr>
      <w:r w:rsidRPr="005F57C9">
        <w:t xml:space="preserve">Abbott, T. (Prime Minister) and Robb, A. (Minister for Trade and Investment) 2014, </w:t>
      </w:r>
      <w:r w:rsidRPr="005F57C9">
        <w:rPr>
          <w:i/>
        </w:rPr>
        <w:t>Landmark China-Australia Free Trade Agreement</w:t>
      </w:r>
      <w:r w:rsidRPr="005F57C9">
        <w:t xml:space="preserve">, Joint Media Release, 17 November. </w:t>
      </w:r>
    </w:p>
    <w:p w:rsidR="00AC2131" w:rsidRPr="005F57C9" w:rsidRDefault="00AC2131" w:rsidP="00AC2131">
      <w:pPr>
        <w:pStyle w:val="Reference"/>
      </w:pPr>
      <w:r w:rsidRPr="005F57C9">
        <w:t>Abbott, T. (Prime Minister),</w:t>
      </w:r>
      <w:r w:rsidRPr="005F57C9" w:rsidDel="006C354E">
        <w:t xml:space="preserve"> </w:t>
      </w:r>
      <w:r w:rsidRPr="005F57C9">
        <w:t xml:space="preserve">Hockey, J. (Treasurer) and Billson, B. (Minister for Small Business) 2014, </w:t>
      </w:r>
      <w:r w:rsidRPr="005F57C9">
        <w:rPr>
          <w:i/>
          <w:iCs/>
        </w:rPr>
        <w:t>Encouraging employee share ownership and entrepreneurship</w:t>
      </w:r>
      <w:r w:rsidRPr="005F57C9">
        <w:t>, Joint Media Release, 14 October.</w:t>
      </w:r>
    </w:p>
    <w:p w:rsidR="00AC2131" w:rsidRPr="005F57C9" w:rsidRDefault="00AC2131" w:rsidP="00AC2131">
      <w:pPr>
        <w:pStyle w:val="Reference"/>
      </w:pPr>
      <w:r w:rsidRPr="005F57C9">
        <w:t xml:space="preserve">Abbott, T. (Prime Minister) and Macfarlane, I. (Minister for Industry and Science) 2014a, Press Conference, </w:t>
      </w:r>
      <w:r w:rsidRPr="0023316C">
        <w:t>https://www.pm.gov.au/media/2014-01-30/joint-press-conference-hon-ian-macfarlane-mp-parliament-house-canberra</w:t>
      </w:r>
      <w:r w:rsidRPr="005F57C9">
        <w:t xml:space="preserve"> (accessed 1 June 2015).</w:t>
      </w:r>
    </w:p>
    <w:p w:rsidR="00AC2131" w:rsidRPr="005F57C9" w:rsidRDefault="00AC2131" w:rsidP="00AC2131">
      <w:pPr>
        <w:pStyle w:val="Reference"/>
      </w:pPr>
      <w:r w:rsidRPr="005F57C9">
        <w:t xml:space="preserve">Abetz, E. (Liberal Senator for Tasmania) 2013, </w:t>
      </w:r>
      <w:r w:rsidRPr="005F57C9">
        <w:rPr>
          <w:i/>
        </w:rPr>
        <w:t>$16 million Cadbury funding to stay in Tasmania</w:t>
      </w:r>
      <w:r w:rsidRPr="005F57C9">
        <w:t>, Press Release, 5 March.</w:t>
      </w:r>
    </w:p>
    <w:p w:rsidR="00AC2131" w:rsidRPr="005F57C9" w:rsidRDefault="00AC2131" w:rsidP="00AC2131">
      <w:pPr>
        <w:pStyle w:val="Reference"/>
      </w:pPr>
      <w:r w:rsidRPr="005F57C9">
        <w:rPr>
          <w:color w:val="000000" w:themeColor="text1"/>
        </w:rPr>
        <w:t>—— </w:t>
      </w:r>
      <w:r w:rsidRPr="005F57C9">
        <w:t xml:space="preserve">2015, </w:t>
      </w:r>
      <w:r w:rsidRPr="005F57C9">
        <w:rPr>
          <w:i/>
        </w:rPr>
        <w:t>Hobart Airport runway extension funding</w:t>
      </w:r>
      <w:r w:rsidRPr="005F57C9">
        <w:t>, Press Release, 16 February.</w:t>
      </w:r>
    </w:p>
    <w:p w:rsidR="00AC2131" w:rsidRPr="005F57C9" w:rsidRDefault="00AC2131" w:rsidP="00AC2131">
      <w:pPr>
        <w:pStyle w:val="Reference"/>
      </w:pPr>
      <w:r w:rsidRPr="005F57C9">
        <w:t>ABS (Australian Bureau of Statistics)</w:t>
      </w:r>
      <w:r w:rsidRPr="005F57C9">
        <w:rPr>
          <w:color w:val="000000" w:themeColor="text1"/>
        </w:rPr>
        <w:t> </w:t>
      </w:r>
      <w:r w:rsidRPr="005F57C9">
        <w:t xml:space="preserve">2014, </w:t>
      </w:r>
      <w:r w:rsidRPr="005F57C9">
        <w:rPr>
          <w:i/>
        </w:rPr>
        <w:t>Australian System of National Accounts</w:t>
      </w:r>
      <w:r w:rsidRPr="005F57C9">
        <w:t xml:space="preserve">, </w:t>
      </w:r>
      <w:r w:rsidRPr="005F57C9">
        <w:rPr>
          <w:i/>
        </w:rPr>
        <w:t>2013</w:t>
      </w:r>
      <w:r w:rsidRPr="005F57C9">
        <w:rPr>
          <w:i/>
        </w:rPr>
        <w:noBreakHyphen/>
        <w:t>14</w:t>
      </w:r>
      <w:r w:rsidRPr="005F57C9">
        <w:t xml:space="preserve">, Cat. no. 5204.0, ABS, Canberra. </w:t>
      </w:r>
    </w:p>
    <w:p w:rsidR="00AC2131" w:rsidRPr="005F57C9" w:rsidRDefault="00AC2131" w:rsidP="00AC2131">
      <w:pPr>
        <w:pStyle w:val="Reference"/>
      </w:pPr>
      <w:r w:rsidRPr="005F57C9">
        <w:rPr>
          <w:color w:val="000000" w:themeColor="text1"/>
        </w:rPr>
        <w:t>——</w:t>
      </w:r>
      <w:r w:rsidRPr="005F57C9">
        <w:t xml:space="preserve"> 2015a, </w:t>
      </w:r>
      <w:r w:rsidRPr="005F57C9">
        <w:rPr>
          <w:i/>
        </w:rPr>
        <w:t>International Trade in Goods and Services, Australia</w:t>
      </w:r>
      <w:r w:rsidRPr="005F57C9">
        <w:t xml:space="preserve">, Cat. no. 5368.0, March 2015, ABS, Canberra. </w:t>
      </w:r>
    </w:p>
    <w:p w:rsidR="00AC2131" w:rsidRPr="005F57C9" w:rsidRDefault="00AC2131" w:rsidP="00AC2131">
      <w:pPr>
        <w:pStyle w:val="Reference"/>
      </w:pPr>
      <w:r w:rsidRPr="005F57C9">
        <w:rPr>
          <w:color w:val="000000" w:themeColor="text1"/>
        </w:rPr>
        <w:t>—— </w:t>
      </w:r>
      <w:r w:rsidRPr="005F57C9">
        <w:t xml:space="preserve">2015b, </w:t>
      </w:r>
      <w:r w:rsidRPr="005F57C9">
        <w:rPr>
          <w:i/>
        </w:rPr>
        <w:t>International Investment Position: Supplementary Statistics</w:t>
      </w:r>
      <w:r w:rsidRPr="005F57C9">
        <w:t xml:space="preserve">, </w:t>
      </w:r>
      <w:r w:rsidRPr="005F57C9">
        <w:rPr>
          <w:i/>
        </w:rPr>
        <w:t>2014</w:t>
      </w:r>
      <w:r w:rsidRPr="005F57C9">
        <w:t>, Cat. no. 5352.0, ABS, Canberra.</w:t>
      </w:r>
    </w:p>
    <w:p w:rsidR="00AC2131" w:rsidRPr="005F57C9" w:rsidRDefault="00AC2131" w:rsidP="00AC2131">
      <w:pPr>
        <w:pStyle w:val="Reference"/>
        <w:rPr>
          <w:color w:val="000000" w:themeColor="text1"/>
        </w:rPr>
      </w:pPr>
      <w:r w:rsidRPr="005F57C9">
        <w:t xml:space="preserve">ACC (Australian Copyright Council) 2015, </w:t>
      </w:r>
      <w:r w:rsidRPr="005F57C9">
        <w:rPr>
          <w:i/>
        </w:rPr>
        <w:t>Geo-blocking, VPNs &amp; Copyright</w:t>
      </w:r>
      <w:r w:rsidRPr="005F57C9">
        <w:t xml:space="preserve">, </w:t>
      </w:r>
      <w:r w:rsidRPr="0023316C">
        <w:t>http://www.copyright.org.au/acc_prod/ACC/Information_Sheets/Geo-blocking__VPNs___Copyright.aspx?WebsiteKey=8a471e74-3f78-4994-9023-316f0ecef4ef</w:t>
      </w:r>
      <w:r w:rsidRPr="005F57C9">
        <w:t xml:space="preserve"> (accessed 5 June 2015).</w:t>
      </w:r>
    </w:p>
    <w:p w:rsidR="00AC2131" w:rsidRPr="005F57C9" w:rsidRDefault="00AC2131" w:rsidP="00AC2131">
      <w:pPr>
        <w:pStyle w:val="Reference"/>
        <w:rPr>
          <w:color w:val="000000" w:themeColor="text1"/>
        </w:rPr>
      </w:pPr>
      <w:r w:rsidRPr="005F57C9">
        <w:rPr>
          <w:color w:val="000000" w:themeColor="text1"/>
        </w:rPr>
        <w:t xml:space="preserve">ACCI (Australian Chamber of Commerce and Industry) 2013, </w:t>
      </w:r>
      <w:r w:rsidRPr="005F57C9">
        <w:rPr>
          <w:i/>
          <w:color w:val="000000" w:themeColor="text1"/>
        </w:rPr>
        <w:t>Harmonising Administrative Procedures in PTA to Support Trade Facilitation</w:t>
      </w:r>
      <w:r w:rsidRPr="005F57C9">
        <w:rPr>
          <w:color w:val="000000" w:themeColor="text1"/>
        </w:rPr>
        <w:t xml:space="preserve">, </w:t>
      </w:r>
      <w:r w:rsidRPr="0023316C">
        <w:t>http://dfat.gov.au/trade/agreements/aifta/Documents/acci-1.pdf</w:t>
      </w:r>
      <w:r w:rsidRPr="005F57C9">
        <w:rPr>
          <w:color w:val="000000" w:themeColor="text1"/>
        </w:rPr>
        <w:t xml:space="preserve"> (accessed 30 April 2015).</w:t>
      </w:r>
    </w:p>
    <w:p w:rsidR="00AC2131" w:rsidRPr="005F57C9" w:rsidRDefault="00AC2131" w:rsidP="00AC2131">
      <w:pPr>
        <w:pStyle w:val="Reference"/>
      </w:pPr>
      <w:r w:rsidRPr="005F57C9">
        <w:t xml:space="preserve">ACMA (Australian Communication and Media Authority) 2012, </w:t>
      </w:r>
      <w:r w:rsidRPr="005F57C9">
        <w:rPr>
          <w:i/>
        </w:rPr>
        <w:t>Report 1 – Online video content services</w:t>
      </w:r>
      <w:r w:rsidRPr="005F57C9">
        <w:t>, Communications Report 2011</w:t>
      </w:r>
      <w:r w:rsidRPr="005F57C9">
        <w:noBreakHyphen/>
        <w:t>12 Series, Melbourne.</w:t>
      </w:r>
    </w:p>
    <w:p w:rsidR="00AC2131" w:rsidRPr="005F57C9" w:rsidRDefault="00AC2131" w:rsidP="00AC2131">
      <w:pPr>
        <w:pStyle w:val="Reference"/>
      </w:pPr>
      <w:r w:rsidRPr="005F57C9">
        <w:rPr>
          <w:color w:val="000000" w:themeColor="text1"/>
        </w:rPr>
        <w:t>—— </w:t>
      </w:r>
      <w:r w:rsidRPr="005F57C9">
        <w:t xml:space="preserve">2015, </w:t>
      </w:r>
      <w:r w:rsidRPr="005F57C9">
        <w:rPr>
          <w:i/>
        </w:rPr>
        <w:t>Supply &amp; demand: Catch-up TV leads Australians’ online video use</w:t>
      </w:r>
      <w:r w:rsidRPr="005F57C9">
        <w:t xml:space="preserve">, </w:t>
      </w:r>
      <w:r w:rsidRPr="0023316C">
        <w:t>http://www.acma.gov.au/theACMA/engage-blogs/engage-blogs/Research-snapshots/Supply-and-demand-Catch-up-TV-leads-Australians-use-of-catch-up#12</w:t>
      </w:r>
      <w:r w:rsidRPr="005F57C9">
        <w:t xml:space="preserve"> (accessed 22 May 2015). </w:t>
      </w:r>
    </w:p>
    <w:p w:rsidR="00AC2131" w:rsidRPr="005F57C9" w:rsidRDefault="00AC2131" w:rsidP="00AC2131">
      <w:pPr>
        <w:pStyle w:val="Reference"/>
      </w:pPr>
      <w:r w:rsidRPr="005F57C9">
        <w:t xml:space="preserve">Amitti, M. and Konings, J. 2007, ‘Trade liberalization, Intermediate Inputs, and Productivity: Evidence for Indonesia’, </w:t>
      </w:r>
      <w:r w:rsidRPr="005F57C9">
        <w:rPr>
          <w:i/>
        </w:rPr>
        <w:t>American Economic Review</w:t>
      </w:r>
      <w:r w:rsidRPr="005F57C9">
        <w:t>, vol. 97, no. 5.</w:t>
      </w:r>
    </w:p>
    <w:p w:rsidR="00AC2131" w:rsidRPr="005F57C9" w:rsidRDefault="00AC2131" w:rsidP="00AC2131">
      <w:pPr>
        <w:pStyle w:val="Reference"/>
      </w:pPr>
      <w:r w:rsidRPr="005F57C9">
        <w:t xml:space="preserve">ANAO (Australian National Audit Office) 2014, </w:t>
      </w:r>
      <w:r w:rsidRPr="005F57C9">
        <w:rPr>
          <w:i/>
          <w:iCs/>
        </w:rPr>
        <w:t>Audit summary</w:t>
      </w:r>
      <w:r w:rsidRPr="005F57C9">
        <w:t>, http://www.anao.gov.au/Publications/Audit-Reports/2014-2015/Administration-of-the-Biodiversity-Fund-Program/Audit-summary (accessed 24 February 2015).</w:t>
      </w:r>
    </w:p>
    <w:p w:rsidR="00AC2131" w:rsidRPr="005F57C9" w:rsidRDefault="00AC2131" w:rsidP="00AC2131">
      <w:pPr>
        <w:pStyle w:val="Reference"/>
      </w:pPr>
      <w:r w:rsidRPr="005F57C9">
        <w:rPr>
          <w:color w:val="000000" w:themeColor="text1"/>
        </w:rPr>
        <w:t>—— 2015,</w:t>
      </w:r>
      <w:r w:rsidRPr="005F57C9">
        <w:rPr>
          <w:i/>
        </w:rPr>
        <w:t xml:space="preserve"> The Ethanol Production Grants Program</w:t>
      </w:r>
      <w:r w:rsidRPr="005F57C9">
        <w:t>, Report No. 18 2014</w:t>
      </w:r>
      <w:r w:rsidRPr="005F57C9">
        <w:noBreakHyphen/>
        <w:t xml:space="preserve">15. </w:t>
      </w:r>
    </w:p>
    <w:p w:rsidR="00AC2131" w:rsidRPr="005F57C9" w:rsidRDefault="00AC2131" w:rsidP="00AC2131">
      <w:pPr>
        <w:pStyle w:val="Reference"/>
        <w:rPr>
          <w:color w:val="000000" w:themeColor="text1"/>
        </w:rPr>
      </w:pPr>
      <w:r w:rsidRPr="005F57C9">
        <w:rPr>
          <w:color w:val="000000" w:themeColor="text1"/>
        </w:rPr>
        <w:t xml:space="preserve">Anti-Dumping Commission 2014, </w:t>
      </w:r>
      <w:r w:rsidRPr="005F57C9">
        <w:rPr>
          <w:i/>
          <w:color w:val="000000" w:themeColor="text1"/>
        </w:rPr>
        <w:t>Anti-Dumping and Countervailing Actions — Status Report at 30 June 2014</w:t>
      </w:r>
      <w:r w:rsidRPr="005F57C9">
        <w:rPr>
          <w:color w:val="000000" w:themeColor="text1"/>
        </w:rPr>
        <w:t>, Anti-Dumping Notice No. 2014/54, Canberra.</w:t>
      </w:r>
    </w:p>
    <w:p w:rsidR="00AC2131" w:rsidRPr="005F57C9" w:rsidRDefault="00AC2131" w:rsidP="00AC2131">
      <w:pPr>
        <w:pStyle w:val="Reference"/>
        <w:rPr>
          <w:color w:val="000000" w:themeColor="text1"/>
        </w:rPr>
      </w:pPr>
      <w:r w:rsidRPr="005F57C9">
        <w:rPr>
          <w:color w:val="000000" w:themeColor="text1"/>
        </w:rPr>
        <w:t xml:space="preserve">APEC (Asia Pacific Economic Cooperation) 2009, </w:t>
      </w:r>
      <w:r w:rsidRPr="005F57C9">
        <w:rPr>
          <w:i/>
          <w:color w:val="000000" w:themeColor="text1"/>
        </w:rPr>
        <w:t>APEC Elements for Simplifying Customs Documents and Procedures Relating to Rules of Origin</w:t>
      </w:r>
      <w:r w:rsidRPr="005F57C9">
        <w:rPr>
          <w:color w:val="000000" w:themeColor="text1"/>
        </w:rPr>
        <w:t xml:space="preserve">, </w:t>
      </w:r>
      <w:r w:rsidRPr="0023316C">
        <w:t>http://www.apec.org/Groups/Committee-on-Trade-and-Investment/~/media/</w:t>
      </w:r>
      <w:r w:rsidRPr="005F57C9">
        <w:rPr>
          <w:color w:val="000000" w:themeColor="text1"/>
        </w:rPr>
        <w:t xml:space="preserve"> Files/Groups/ROO/App3_09_cti_rpt_Simplifying%20Procedures.ashx (accessed 11 November 2013).</w:t>
      </w:r>
    </w:p>
    <w:p w:rsidR="00AC2131" w:rsidRPr="005F57C9" w:rsidRDefault="00AC2131" w:rsidP="00AC2131">
      <w:pPr>
        <w:pStyle w:val="Reference"/>
      </w:pPr>
      <w:r w:rsidRPr="005F57C9">
        <w:t xml:space="preserve">—— 2014a, </w:t>
      </w:r>
      <w:r w:rsidRPr="005F57C9">
        <w:rPr>
          <w:i/>
        </w:rPr>
        <w:t>The 26</w:t>
      </w:r>
      <w:r w:rsidRPr="005F57C9">
        <w:rPr>
          <w:i/>
          <w:vertAlign w:val="superscript"/>
        </w:rPr>
        <w:t>th</w:t>
      </w:r>
      <w:r w:rsidRPr="005F57C9">
        <w:rPr>
          <w:i/>
        </w:rPr>
        <w:t xml:space="preserve"> APEC Ministerial Meeting Joint Ministerial Statement</w:t>
      </w:r>
      <w:r w:rsidRPr="005F57C9">
        <w:t>, Beijing, China, News Release, 8 November.</w:t>
      </w:r>
    </w:p>
    <w:p w:rsidR="00AC2131" w:rsidRPr="005F57C9" w:rsidRDefault="00AC2131" w:rsidP="00AC2131">
      <w:pPr>
        <w:pStyle w:val="Reference"/>
      </w:pPr>
      <w:r w:rsidRPr="005F57C9">
        <w:t xml:space="preserve">—— 2014b, </w:t>
      </w:r>
      <w:r w:rsidRPr="005F57C9">
        <w:rPr>
          <w:i/>
        </w:rPr>
        <w:t>Landmark Agreement to Extend APEC Business Travel Card Announced</w:t>
      </w:r>
      <w:r w:rsidRPr="005F57C9">
        <w:t>, Beijing, China News Release, 13 November.</w:t>
      </w:r>
    </w:p>
    <w:p w:rsidR="00AC2131" w:rsidRPr="005F57C9" w:rsidRDefault="00AC2131" w:rsidP="00AC2131">
      <w:pPr>
        <w:pStyle w:val="Reference"/>
      </w:pPr>
      <w:r w:rsidRPr="005F57C9">
        <w:t xml:space="preserve">—— 2014c, </w:t>
      </w:r>
      <w:r w:rsidRPr="005F57C9">
        <w:rPr>
          <w:i/>
        </w:rPr>
        <w:t>Supporting Continued Growth in Trade and Facilitation: End to End Review of the APEC Business Travel Card Scheme: Travel Study Report</w:t>
      </w:r>
      <w:r w:rsidRPr="005F57C9">
        <w:t>, Business Mobility Group, July.</w:t>
      </w:r>
    </w:p>
    <w:p w:rsidR="00AC2131" w:rsidRPr="005F57C9" w:rsidRDefault="00AC2131" w:rsidP="00AC2131">
      <w:pPr>
        <w:pStyle w:val="Reference"/>
      </w:pPr>
      <w:r w:rsidRPr="005F57C9">
        <w:t xml:space="preserve">APRA (Australian Prudential Regulation Authority) 2013a, </w:t>
      </w:r>
      <w:r w:rsidRPr="005F57C9">
        <w:rPr>
          <w:i/>
        </w:rPr>
        <w:t>Prudential Practice Guide, SPG 530</w:t>
      </w:r>
      <w:r w:rsidRPr="005F57C9">
        <w:t xml:space="preserve"> — </w:t>
      </w:r>
      <w:r w:rsidRPr="005F57C9">
        <w:rPr>
          <w:i/>
        </w:rPr>
        <w:t xml:space="preserve">Investment Governance, </w:t>
      </w:r>
      <w:r w:rsidRPr="005F57C9">
        <w:t>November</w:t>
      </w:r>
      <w:r w:rsidRPr="005F57C9">
        <w:rPr>
          <w:i/>
        </w:rPr>
        <w:t>.</w:t>
      </w:r>
    </w:p>
    <w:p w:rsidR="00AC2131" w:rsidRPr="005F57C9" w:rsidRDefault="00AC2131" w:rsidP="00AC2131">
      <w:pPr>
        <w:pStyle w:val="Reference"/>
        <w:rPr>
          <w:i/>
        </w:rPr>
      </w:pPr>
      <w:r w:rsidRPr="005F57C9">
        <w:t>—— 2013b,</w:t>
      </w:r>
      <w:r w:rsidRPr="005F57C9">
        <w:rPr>
          <w:i/>
        </w:rPr>
        <w:t xml:space="preserve"> Prudential Standard, SPS 530</w:t>
      </w:r>
      <w:r w:rsidRPr="005F57C9">
        <w:t xml:space="preserve"> — </w:t>
      </w:r>
      <w:r w:rsidRPr="005F57C9">
        <w:rPr>
          <w:i/>
        </w:rPr>
        <w:t xml:space="preserve">Investment Governance, </w:t>
      </w:r>
      <w:r w:rsidRPr="005F57C9">
        <w:t>July.</w:t>
      </w:r>
    </w:p>
    <w:p w:rsidR="00AC2131" w:rsidRPr="005F57C9" w:rsidRDefault="00AC2131" w:rsidP="00AC2131">
      <w:pPr>
        <w:pStyle w:val="Reference"/>
      </w:pPr>
      <w:r w:rsidRPr="005F57C9">
        <w:t xml:space="preserve">Arkolakis, C., Ramondo, N., Rodríguez-Clare, A. and Yeaple, S. 2013, </w:t>
      </w:r>
      <w:r w:rsidRPr="005F57C9">
        <w:rPr>
          <w:i/>
        </w:rPr>
        <w:t>Innovation and Production in the Global Economy,</w:t>
      </w:r>
      <w:r w:rsidRPr="005F57C9">
        <w:t xml:space="preserve"> National Bureau of Economics Research, Working Paper no. 18972, Cambridge.</w:t>
      </w:r>
    </w:p>
    <w:p w:rsidR="00AC2131" w:rsidRPr="005F57C9" w:rsidRDefault="00AC2131" w:rsidP="00AC2131">
      <w:pPr>
        <w:pStyle w:val="Reference"/>
      </w:pPr>
      <w:r w:rsidRPr="005F57C9">
        <w:t xml:space="preserve">Armenter, R. and Koren, M. 2014, ‘A Balls-and-Bins Model of Trade’, </w:t>
      </w:r>
      <w:r w:rsidRPr="005F57C9">
        <w:rPr>
          <w:i/>
        </w:rPr>
        <w:t>American Economic Review</w:t>
      </w:r>
      <w:r w:rsidRPr="005F57C9">
        <w:t>, vol. 104, no. 7, pp. 2127-2151.</w:t>
      </w:r>
    </w:p>
    <w:p w:rsidR="00AC2131" w:rsidRPr="005F57C9" w:rsidRDefault="00AC2131" w:rsidP="00AC2131">
      <w:pPr>
        <w:pStyle w:val="Reference"/>
      </w:pPr>
      <w:r w:rsidRPr="005F57C9">
        <w:t xml:space="preserve">AUSFTA (Australia-United States Free Trade Agreement) 2005, </w:t>
      </w:r>
      <w:r w:rsidRPr="005F57C9">
        <w:rPr>
          <w:i/>
        </w:rPr>
        <w:t>Chapter Seventeen – Intellectual Property Rights</w:t>
      </w:r>
      <w:r w:rsidRPr="005F57C9">
        <w:t xml:space="preserve">, </w:t>
      </w:r>
      <w:r w:rsidRPr="0023316C">
        <w:t>http://dfat.gov.au/about-us/publications/trade-investment/australia-united-states-free-trade-agreement/Pages/chapter-seventeen-intellectual-property-rights.aspx</w:t>
      </w:r>
      <w:r w:rsidRPr="005F57C9">
        <w:t xml:space="preserve"> (accessed 28 April 2015).</w:t>
      </w:r>
    </w:p>
    <w:p w:rsidR="00AC2131" w:rsidRPr="005F57C9" w:rsidRDefault="00AC2131" w:rsidP="00AC2131">
      <w:pPr>
        <w:pStyle w:val="Reference"/>
      </w:pPr>
      <w:r w:rsidRPr="005F57C9">
        <w:t xml:space="preserve">Austrade 2014, </w:t>
      </w:r>
      <w:r w:rsidRPr="005F57C9">
        <w:rPr>
          <w:i/>
        </w:rPr>
        <w:t>Annual Report 2013</w:t>
      </w:r>
      <w:r w:rsidRPr="005F57C9">
        <w:rPr>
          <w:i/>
        </w:rPr>
        <w:noBreakHyphen/>
        <w:t>14</w:t>
      </w:r>
      <w:r w:rsidRPr="005F57C9">
        <w:t xml:space="preserve">, Canberra. </w:t>
      </w:r>
    </w:p>
    <w:p w:rsidR="00AC2131" w:rsidRPr="005F57C9" w:rsidRDefault="00AC2131" w:rsidP="00AC2131">
      <w:pPr>
        <w:pStyle w:val="Reference"/>
      </w:pPr>
      <w:r w:rsidRPr="005F57C9">
        <w:t xml:space="preserve">—— 2015, </w:t>
      </w:r>
      <w:r w:rsidRPr="005F57C9">
        <w:rPr>
          <w:i/>
        </w:rPr>
        <w:t>2015 Review of the Export Market Development Grants (EMDG) Scheme</w:t>
      </w:r>
      <w:r w:rsidRPr="005F57C9">
        <w:t xml:space="preserve">, </w:t>
      </w:r>
      <w:r w:rsidRPr="0023316C">
        <w:t>http://www.austrade.gov.au/Export/Export-Grants/review</w:t>
      </w:r>
      <w:r w:rsidRPr="005F57C9">
        <w:t xml:space="preserve"> (accessed 22 May 2015). </w:t>
      </w:r>
    </w:p>
    <w:p w:rsidR="00AC2131" w:rsidRPr="005F57C9" w:rsidRDefault="00AC2131" w:rsidP="00AC2131">
      <w:pPr>
        <w:pStyle w:val="Reference"/>
      </w:pPr>
      <w:r w:rsidRPr="005F57C9">
        <w:t>Australian Customs and Border Protection Service</w:t>
      </w:r>
      <w:r w:rsidRPr="005F57C9">
        <w:rPr>
          <w:color w:val="000000" w:themeColor="text1"/>
        </w:rPr>
        <w:t xml:space="preserve"> 2015, </w:t>
      </w:r>
      <w:r w:rsidRPr="005F57C9">
        <w:rPr>
          <w:i/>
          <w:color w:val="000000" w:themeColor="text1"/>
        </w:rPr>
        <w:t>Free Trade Agreements –</w:t>
      </w:r>
      <w:r w:rsidRPr="005F57C9">
        <w:rPr>
          <w:i/>
        </w:rPr>
        <w:t xml:space="preserve"> Rules of Origin</w:t>
      </w:r>
      <w:r w:rsidRPr="005F57C9">
        <w:t xml:space="preserve">, </w:t>
      </w:r>
      <w:r w:rsidRPr="0023316C">
        <w:t>http://www.customs.gov.au/site/page6010.asp</w:t>
      </w:r>
      <w:r w:rsidRPr="005F57C9">
        <w:t xml:space="preserve"> (accessed 10 April 2015).</w:t>
      </w:r>
    </w:p>
    <w:p w:rsidR="00AC2131" w:rsidRPr="005F57C9" w:rsidRDefault="00AC2131" w:rsidP="00AC2131">
      <w:pPr>
        <w:pStyle w:val="Reference"/>
      </w:pPr>
      <w:r w:rsidRPr="005F57C9">
        <w:t xml:space="preserve">Australian Government 2012a, </w:t>
      </w:r>
      <w:r w:rsidRPr="005F57C9">
        <w:rPr>
          <w:i/>
        </w:rPr>
        <w:t xml:space="preserve">How the GM Holden investment will benefit Australia: Fact Sheet, </w:t>
      </w:r>
      <w:r w:rsidRPr="0023316C">
        <w:t>http://www.afr.com/rw/2009-2014/AFR/2012/03/22/Photos/cebf2912-73b7-11e1-a601-5e50a8afd8be_120322%20FACT%20SHEET.pdf</w:t>
      </w:r>
      <w:r w:rsidRPr="005F57C9">
        <w:t xml:space="preserve"> (accessed 7 May 2015).</w:t>
      </w:r>
    </w:p>
    <w:p w:rsidR="00AC2131" w:rsidRPr="005F57C9" w:rsidRDefault="00AC2131" w:rsidP="00AC2131">
      <w:pPr>
        <w:pStyle w:val="Reference"/>
        <w:rPr>
          <w:szCs w:val="26"/>
        </w:rPr>
      </w:pPr>
      <w:r w:rsidRPr="005F57C9">
        <w:rPr>
          <w:color w:val="000000" w:themeColor="text1"/>
        </w:rPr>
        <w:t>—— 2012b</w:t>
      </w:r>
      <w:r w:rsidRPr="005F57C9">
        <w:rPr>
          <w:szCs w:val="26"/>
        </w:rPr>
        <w:t xml:space="preserve">, </w:t>
      </w:r>
      <w:r w:rsidRPr="005F57C9">
        <w:rPr>
          <w:i/>
          <w:szCs w:val="26"/>
        </w:rPr>
        <w:t>Rural Research and Development Policy Statement</w:t>
      </w:r>
      <w:r w:rsidRPr="005F57C9">
        <w:rPr>
          <w:szCs w:val="26"/>
        </w:rPr>
        <w:t xml:space="preserve">, July, </w:t>
      </w:r>
      <w:r w:rsidRPr="0023316C">
        <w:rPr>
          <w:szCs w:val="26"/>
        </w:rPr>
        <w:t>http://www.agriculture.gov.au/SiteCollectionDocuments/ag-food/innovation2/rural-research-and-development/research-and-development-policy-statement.pdf</w:t>
      </w:r>
      <w:r w:rsidRPr="005F57C9">
        <w:rPr>
          <w:szCs w:val="26"/>
        </w:rPr>
        <w:t xml:space="preserve"> (accessed 30 April 2015).</w:t>
      </w:r>
    </w:p>
    <w:p w:rsidR="00AC2131" w:rsidRPr="005F57C9" w:rsidRDefault="00AC2131" w:rsidP="00AC2131">
      <w:pPr>
        <w:pStyle w:val="Reference"/>
        <w:rPr>
          <w:szCs w:val="26"/>
        </w:rPr>
      </w:pPr>
      <w:r w:rsidRPr="005F57C9">
        <w:rPr>
          <w:color w:val="000000" w:themeColor="text1"/>
        </w:rPr>
        <w:t xml:space="preserve">–––– 2013, </w:t>
      </w:r>
      <w:r w:rsidRPr="005F57C9">
        <w:rPr>
          <w:i/>
        </w:rPr>
        <w:t>Budget 2013-14</w:t>
      </w:r>
      <w:r w:rsidRPr="005F57C9">
        <w:t>, Budget Measures, Budget Paper No. 2, May.</w:t>
      </w:r>
    </w:p>
    <w:p w:rsidR="00AC2131" w:rsidRPr="005F57C9" w:rsidRDefault="00AC2131" w:rsidP="00AC2131">
      <w:pPr>
        <w:pStyle w:val="Reference"/>
        <w:rPr>
          <w:color w:val="000000" w:themeColor="text1"/>
        </w:rPr>
      </w:pPr>
      <w:r w:rsidRPr="005F57C9">
        <w:rPr>
          <w:color w:val="000000" w:themeColor="text1"/>
        </w:rPr>
        <w:t xml:space="preserve">–––– 2014a, </w:t>
      </w:r>
      <w:r w:rsidRPr="005F57C9">
        <w:rPr>
          <w:i/>
          <w:color w:val="000000" w:themeColor="text1"/>
        </w:rPr>
        <w:t>The Australian Government Guide to Regulation</w:t>
      </w:r>
      <w:r w:rsidRPr="005F57C9">
        <w:rPr>
          <w:color w:val="000000" w:themeColor="text1"/>
        </w:rPr>
        <w:t xml:space="preserve">, March, at </w:t>
      </w:r>
      <w:r w:rsidRPr="0023316C">
        <w:t>www.cuttingredtape.gov.au</w:t>
      </w:r>
      <w:r w:rsidRPr="005F57C9">
        <w:rPr>
          <w:color w:val="000000" w:themeColor="text1"/>
        </w:rPr>
        <w:t xml:space="preserve"> (accessed 10 April 2015).</w:t>
      </w:r>
    </w:p>
    <w:p w:rsidR="00AC2131" w:rsidRPr="005F57C9" w:rsidRDefault="00AC2131" w:rsidP="00AC2131">
      <w:pPr>
        <w:pStyle w:val="Reference"/>
      </w:pPr>
      <w:r w:rsidRPr="005F57C9">
        <w:rPr>
          <w:color w:val="000000" w:themeColor="text1"/>
        </w:rPr>
        <w:t>–––– 2014b,</w:t>
      </w:r>
      <w:r w:rsidRPr="005F57C9">
        <w:rPr>
          <w:i/>
        </w:rPr>
        <w:t xml:space="preserve"> Industry Innovation and Competitiveness Agenda: An action plan for a stronger Australia</w:t>
      </w:r>
      <w:r w:rsidRPr="005F57C9">
        <w:t xml:space="preserve">, October, </w:t>
      </w:r>
      <w:r w:rsidRPr="0023316C">
        <w:t>http://www.industry.gov.au/industry/Pages/Industry-Innovation-and-Competitiveness-Agenda.aspx#header</w:t>
      </w:r>
      <w:r w:rsidRPr="005F57C9">
        <w:t xml:space="preserve"> (accessed 1 May 2015).</w:t>
      </w:r>
    </w:p>
    <w:p w:rsidR="00AC2131" w:rsidRPr="005F57C9" w:rsidRDefault="00AC2131" w:rsidP="00AC2131">
      <w:pPr>
        <w:pStyle w:val="Reference"/>
      </w:pPr>
      <w:r w:rsidRPr="005F57C9">
        <w:rPr>
          <w:color w:val="000000" w:themeColor="text1"/>
        </w:rPr>
        <w:t>—— 201</w:t>
      </w:r>
      <w:r w:rsidRPr="005F57C9">
        <w:rPr>
          <w:szCs w:val="26"/>
        </w:rPr>
        <w:t>4c</w:t>
      </w:r>
      <w:r w:rsidRPr="005F57C9">
        <w:t xml:space="preserve">, </w:t>
      </w:r>
      <w:r w:rsidRPr="005F57C9">
        <w:rPr>
          <w:i/>
        </w:rPr>
        <w:t>Budget 2014-15, Budget Paper No. 1, Statement 8: Statement of Risks,</w:t>
      </w:r>
      <w:r w:rsidRPr="005F57C9">
        <w:t xml:space="preserve"> http://www.budget.gov.au/2014-15/content/bp1/html/bp1_bst8-06.htm (accessed 5 May 2015).</w:t>
      </w:r>
    </w:p>
    <w:p w:rsidR="00AC2131" w:rsidRPr="005F57C9" w:rsidRDefault="00AC2131" w:rsidP="00AC2131">
      <w:pPr>
        <w:pStyle w:val="Reference"/>
        <w:rPr>
          <w:szCs w:val="26"/>
        </w:rPr>
      </w:pPr>
      <w:r w:rsidRPr="005F57C9">
        <w:rPr>
          <w:szCs w:val="26"/>
        </w:rPr>
        <w:t>—— </w:t>
      </w:r>
      <w:r w:rsidRPr="005F57C9">
        <w:t>2014d</w:t>
      </w:r>
      <w:r w:rsidRPr="005F57C9">
        <w:rPr>
          <w:i/>
        </w:rPr>
        <w:t>, Budget 2014</w:t>
      </w:r>
      <w:r w:rsidRPr="005F57C9">
        <w:rPr>
          <w:i/>
        </w:rPr>
        <w:noBreakHyphen/>
        <w:t>15, Budget Paper No. 2</w:t>
      </w:r>
      <w:r w:rsidRPr="005F57C9">
        <w:t>, Budget Measures, May.</w:t>
      </w:r>
    </w:p>
    <w:p w:rsidR="00AC2131" w:rsidRPr="005F57C9" w:rsidRDefault="00AC2131" w:rsidP="00AC2131">
      <w:pPr>
        <w:pStyle w:val="Reference"/>
      </w:pPr>
      <w:r w:rsidRPr="005F57C9">
        <w:t xml:space="preserve">—— 2014e, </w:t>
      </w:r>
      <w:r w:rsidRPr="005F57C9">
        <w:rPr>
          <w:i/>
        </w:rPr>
        <w:t>Exploration Development Incentive: Operational Details Treasury</w:t>
      </w:r>
      <w:r w:rsidRPr="005F57C9">
        <w:t>, July 2014.</w:t>
      </w:r>
    </w:p>
    <w:p w:rsidR="00AC2131" w:rsidRPr="005F57C9" w:rsidRDefault="00AC2131" w:rsidP="00AC2131">
      <w:pPr>
        <w:pStyle w:val="Reference"/>
      </w:pPr>
      <w:r w:rsidRPr="005F57C9">
        <w:t xml:space="preserve">—— 2014f, </w:t>
      </w:r>
      <w:r w:rsidRPr="005F57C9">
        <w:rPr>
          <w:i/>
        </w:rPr>
        <w:t>Towards Responsible Government</w:t>
      </w:r>
      <w:r w:rsidRPr="005F57C9">
        <w:t>, The Report of the National Commission of Audit, Canberra.</w:t>
      </w:r>
    </w:p>
    <w:p w:rsidR="00AC2131" w:rsidRPr="005F57C9" w:rsidRDefault="00AC2131" w:rsidP="00AC2131">
      <w:pPr>
        <w:pStyle w:val="Reference"/>
      </w:pPr>
      <w:r w:rsidRPr="005F57C9">
        <w:t xml:space="preserve">—— 2014g, </w:t>
      </w:r>
      <w:r w:rsidRPr="005F57C9">
        <w:rPr>
          <w:i/>
        </w:rPr>
        <w:t>Exploration Development Incentive</w:t>
      </w:r>
      <w:r w:rsidRPr="005F57C9">
        <w:t>, Exposure Draft, Explanatory Material, October.</w:t>
      </w:r>
    </w:p>
    <w:p w:rsidR="00AC2131" w:rsidRPr="005F57C9" w:rsidRDefault="00AC2131" w:rsidP="00AC2131">
      <w:pPr>
        <w:pStyle w:val="Reference"/>
      </w:pPr>
      <w:r w:rsidRPr="005F57C9">
        <w:t xml:space="preserve">—— 2014h, </w:t>
      </w:r>
      <w:r w:rsidRPr="005F57C9">
        <w:rPr>
          <w:i/>
        </w:rPr>
        <w:t>Online Copyright Infringement</w:t>
      </w:r>
      <w:r w:rsidRPr="005F57C9">
        <w:t xml:space="preserve">, Discussion Paper, July. </w:t>
      </w:r>
    </w:p>
    <w:p w:rsidR="00AC2131" w:rsidRPr="005F57C9" w:rsidRDefault="00AC2131" w:rsidP="00AC2131">
      <w:pPr>
        <w:pStyle w:val="Reference"/>
      </w:pPr>
      <w:r w:rsidRPr="005F57C9">
        <w:rPr>
          <w:color w:val="000000" w:themeColor="text1"/>
        </w:rPr>
        <w:t xml:space="preserve">–––– 2015a, </w:t>
      </w:r>
      <w:r w:rsidRPr="005F57C9">
        <w:rPr>
          <w:i/>
        </w:rPr>
        <w:t>Tax Expenditure Statement 2014</w:t>
      </w:r>
      <w:r w:rsidRPr="005F57C9">
        <w:t>, Department of Treasury, Canberra, January.</w:t>
      </w:r>
    </w:p>
    <w:p w:rsidR="00AC2131" w:rsidRPr="005F57C9" w:rsidRDefault="00AC2131" w:rsidP="00AC2131">
      <w:pPr>
        <w:spacing w:before="120" w:line="300" w:lineRule="atLeast"/>
        <w:ind w:left="340" w:hanging="340"/>
        <w:jc w:val="both"/>
        <w:rPr>
          <w:rFonts w:eastAsia="Calibri"/>
        </w:rPr>
      </w:pPr>
      <w:r w:rsidRPr="005F57C9">
        <w:rPr>
          <w:color w:val="000000" w:themeColor="text1"/>
        </w:rPr>
        <w:t xml:space="preserve">–––– 2015b, </w:t>
      </w:r>
      <w:r w:rsidRPr="005F57C9">
        <w:rPr>
          <w:rFonts w:eastAsia="Calibri"/>
        </w:rPr>
        <w:t xml:space="preserve">‘Industry and competitiveness initiatives’, Department of Industry and Science, Brochure, </w:t>
      </w:r>
      <w:r w:rsidRPr="00DD2ECC">
        <w:rPr>
          <w:rFonts w:eastAsia="Calibri"/>
        </w:rPr>
        <w:t>http://industry.gov.au/industry/Documents/GrowthCentre-Booklet.pdf (accessed 26 May 2015</w:t>
      </w:r>
      <w:r w:rsidRPr="005F57C9">
        <w:rPr>
          <w:rFonts w:eastAsia="Calibri"/>
        </w:rPr>
        <w:t xml:space="preserve">). </w:t>
      </w:r>
    </w:p>
    <w:p w:rsidR="00AC2131" w:rsidRPr="005F57C9" w:rsidRDefault="00AC2131" w:rsidP="00AC2131">
      <w:pPr>
        <w:pStyle w:val="Reference"/>
      </w:pPr>
      <w:r w:rsidRPr="005F57C9">
        <w:t xml:space="preserve">Baldwin, J. and Yang, B. 2014, </w:t>
      </w:r>
      <w:r w:rsidRPr="005F57C9">
        <w:rPr>
          <w:i/>
        </w:rPr>
        <w:t>Global value chains and the productivity of Canadian Manufacturing firms</w:t>
      </w:r>
      <w:r w:rsidRPr="005F57C9">
        <w:t>, Research paper no 090, Statistics Canada.</w:t>
      </w:r>
    </w:p>
    <w:p w:rsidR="00AC2131" w:rsidRPr="005F57C9" w:rsidRDefault="00AC2131" w:rsidP="00AC2131">
      <w:pPr>
        <w:pStyle w:val="Reference"/>
      </w:pPr>
      <w:r w:rsidRPr="005F57C9">
        <w:t xml:space="preserve">Baldwin, R. 2011, </w:t>
      </w:r>
      <w:r w:rsidRPr="005F57C9">
        <w:rPr>
          <w:i/>
        </w:rPr>
        <w:t>Trade and Industrialisation after Globalisation’s 2</w:t>
      </w:r>
      <w:r w:rsidRPr="005F57C9">
        <w:rPr>
          <w:i/>
          <w:vertAlign w:val="superscript"/>
        </w:rPr>
        <w:t>nd</w:t>
      </w:r>
      <w:r w:rsidRPr="005F57C9">
        <w:rPr>
          <w:i/>
        </w:rPr>
        <w:t xml:space="preserve"> Unbundling: How Building and Joining a Supply Chain are different and why it matters,</w:t>
      </w:r>
      <w:r w:rsidRPr="005F57C9">
        <w:t xml:space="preserve"> National Bureau of Economic Research, Working Paper no 17716, Cambridge.</w:t>
      </w:r>
    </w:p>
    <w:p w:rsidR="00AC2131" w:rsidRPr="005F57C9" w:rsidRDefault="00AC2131" w:rsidP="00AC2131">
      <w:pPr>
        <w:pStyle w:val="Reference"/>
      </w:pPr>
      <w:r w:rsidRPr="005F57C9">
        <w:t xml:space="preserve">—— and Lopez-Gonzalez, J. 2013, </w:t>
      </w:r>
      <w:r w:rsidRPr="005F57C9">
        <w:rPr>
          <w:i/>
        </w:rPr>
        <w:t>Supply-Chain Trade: A Portrait of Global Patterns and Several Testable Hypotheses,</w:t>
      </w:r>
      <w:r w:rsidRPr="005F57C9">
        <w:t xml:space="preserve"> National Bureau of Economic Research, Working Paper no 18957, Cambridge.</w:t>
      </w:r>
    </w:p>
    <w:p w:rsidR="00AC2131" w:rsidRPr="005F57C9" w:rsidRDefault="00AC2131" w:rsidP="00AC2131">
      <w:pPr>
        <w:pStyle w:val="Reference"/>
      </w:pPr>
      <w:r w:rsidRPr="005F57C9">
        <w:rPr>
          <w:sz w:val="23"/>
          <w:szCs w:val="23"/>
        </w:rPr>
        <w:t xml:space="preserve">Barnes, P., Soames, L., Li, C. and Munoz, M. 2013, </w:t>
      </w:r>
      <w:r w:rsidRPr="005F57C9">
        <w:rPr>
          <w:i/>
          <w:iCs/>
          <w:sz w:val="23"/>
          <w:szCs w:val="23"/>
        </w:rPr>
        <w:t>Productivity in Manufacturing: Measurement and Interpretation</w:t>
      </w:r>
      <w:r w:rsidRPr="005F57C9">
        <w:rPr>
          <w:iCs/>
          <w:sz w:val="23"/>
          <w:szCs w:val="23"/>
        </w:rPr>
        <w:t>,</w:t>
      </w:r>
      <w:r w:rsidRPr="005F57C9">
        <w:rPr>
          <w:i/>
          <w:iCs/>
          <w:sz w:val="23"/>
          <w:szCs w:val="23"/>
        </w:rPr>
        <w:t xml:space="preserve"> </w:t>
      </w:r>
      <w:r w:rsidRPr="005F57C9">
        <w:rPr>
          <w:sz w:val="23"/>
          <w:szCs w:val="23"/>
        </w:rPr>
        <w:t>Productivity Commission Staff Working Paper, Canberra.</w:t>
      </w:r>
    </w:p>
    <w:p w:rsidR="00AC2131" w:rsidRPr="005F57C9" w:rsidRDefault="00AC2131" w:rsidP="00AC2131">
      <w:pPr>
        <w:pStyle w:val="Reference"/>
      </w:pPr>
      <w:r w:rsidRPr="005F57C9">
        <w:t xml:space="preserve">Beltramello, A., De Backer, K. and Moussiegt, L. 2012, </w:t>
      </w:r>
      <w:r w:rsidRPr="005F57C9">
        <w:rPr>
          <w:i/>
        </w:rPr>
        <w:t>The Export Performance of Countries within Global Value Chains (GVCs),</w:t>
      </w:r>
      <w:r w:rsidRPr="005F57C9">
        <w:t xml:space="preserve"> OECD Science and Technology Working Paper no 2012/02, Paris.</w:t>
      </w:r>
    </w:p>
    <w:p w:rsidR="00AC2131" w:rsidRPr="005F57C9" w:rsidRDefault="00AC2131" w:rsidP="00AC2131">
      <w:pPr>
        <w:pStyle w:val="Reference"/>
      </w:pPr>
      <w:r w:rsidRPr="005F57C9">
        <w:t xml:space="preserve">Birmingham, S. (Minister for the Environment) 2014a, </w:t>
      </w:r>
      <w:r w:rsidRPr="005F57C9">
        <w:rPr>
          <w:i/>
          <w:iCs/>
        </w:rPr>
        <w:t xml:space="preserve">$158 million for on-farm irrigation upgrades, </w:t>
      </w:r>
      <w:r w:rsidRPr="005F57C9">
        <w:rPr>
          <w:iCs/>
        </w:rPr>
        <w:t>Media Release, 1 April</w:t>
      </w:r>
      <w:r w:rsidRPr="005F57C9">
        <w:t>.</w:t>
      </w:r>
    </w:p>
    <w:p w:rsidR="00AC2131" w:rsidRPr="005F57C9" w:rsidRDefault="00AC2131" w:rsidP="00AC2131">
      <w:pPr>
        <w:pStyle w:val="Reference"/>
      </w:pPr>
      <w:r w:rsidRPr="005F57C9">
        <w:t xml:space="preserve">—— 2014b, </w:t>
      </w:r>
      <w:r w:rsidRPr="005F57C9">
        <w:rPr>
          <w:i/>
          <w:iCs/>
        </w:rPr>
        <w:t xml:space="preserve">New water sale opportunities in the southern New South Wales Murray-Darling Basin, </w:t>
      </w:r>
      <w:r w:rsidRPr="005F57C9">
        <w:rPr>
          <w:iCs/>
        </w:rPr>
        <w:t>Media Release, 8 April.</w:t>
      </w:r>
    </w:p>
    <w:p w:rsidR="00AC2131" w:rsidRPr="005F57C9" w:rsidRDefault="00AC2131" w:rsidP="00AC2131">
      <w:pPr>
        <w:pStyle w:val="Reference"/>
      </w:pPr>
      <w:r w:rsidRPr="005F57C9">
        <w:t xml:space="preserve">—— 2014c. </w:t>
      </w:r>
      <w:r w:rsidRPr="005F57C9">
        <w:rPr>
          <w:i/>
          <w:lang w:val="en"/>
        </w:rPr>
        <w:t xml:space="preserve">Water Recovery Strategy to provide greater certainty to business, </w:t>
      </w:r>
      <w:r w:rsidRPr="005F57C9">
        <w:rPr>
          <w:iCs/>
        </w:rPr>
        <w:t>Media Release, 2 June.</w:t>
      </w:r>
    </w:p>
    <w:p w:rsidR="00AC2131" w:rsidRPr="005F57C9" w:rsidRDefault="00AC2131" w:rsidP="00AC2131">
      <w:pPr>
        <w:pStyle w:val="Reference"/>
      </w:pPr>
      <w:r w:rsidRPr="005F57C9">
        <w:t>—— 2014d, New water purchase round for the Queensland Lower Balonne, Media Release, 23 September.</w:t>
      </w:r>
    </w:p>
    <w:p w:rsidR="00AC2131" w:rsidRPr="005F57C9" w:rsidRDefault="00AC2131" w:rsidP="00AC2131">
      <w:pPr>
        <w:pStyle w:val="Reference"/>
      </w:pPr>
      <w:r w:rsidRPr="005F57C9">
        <w:t>—— 2014e, $125 million OFIEP Round 5 Open, Media Release, 24 November.</w:t>
      </w:r>
    </w:p>
    <w:p w:rsidR="00AC2131" w:rsidRPr="005F57C9" w:rsidRDefault="00AC2131" w:rsidP="00AC2131">
      <w:pPr>
        <w:pStyle w:val="Reference"/>
      </w:pPr>
      <w:r w:rsidRPr="005F57C9">
        <w:t xml:space="preserve">Birmingham, S. (Minister for the Environment) and Weatherill, J. (Premier of South Australia) 2014, </w:t>
      </w:r>
      <w:r w:rsidRPr="005F57C9">
        <w:rPr>
          <w:i/>
          <w:iCs/>
        </w:rPr>
        <w:t>Major economic stimulus for River Murray communities</w:t>
      </w:r>
      <w:r w:rsidRPr="005F57C9">
        <w:rPr>
          <w:iCs/>
        </w:rPr>
        <w:t xml:space="preserve"> Joint Media Release, 24 July.</w:t>
      </w:r>
    </w:p>
    <w:p w:rsidR="00AC2131" w:rsidRPr="005F57C9" w:rsidRDefault="00AC2131" w:rsidP="00AC2131">
      <w:pPr>
        <w:pStyle w:val="Reference"/>
      </w:pPr>
      <w:r w:rsidRPr="005F57C9">
        <w:t xml:space="preserve">Brandis, G. (Attorney-General and Minister for the Arts) and Turnbull, M. (Minister for Communications) 2014, </w:t>
      </w:r>
      <w:r w:rsidRPr="005F57C9">
        <w:rPr>
          <w:i/>
        </w:rPr>
        <w:t>Collaboration to tackle online copyright infringement</w:t>
      </w:r>
      <w:r w:rsidRPr="005F57C9">
        <w:t xml:space="preserve">, Joint Media Release, 10 December. </w:t>
      </w:r>
    </w:p>
    <w:p w:rsidR="00AC2131" w:rsidRPr="005F57C9" w:rsidRDefault="00AC2131" w:rsidP="00AC2131">
      <w:pPr>
        <w:pStyle w:val="Reference"/>
      </w:pPr>
      <w:r w:rsidRPr="005F57C9">
        <w:t xml:space="preserve">Brulhart, M. 2008, </w:t>
      </w:r>
      <w:r w:rsidRPr="005F57C9">
        <w:rPr>
          <w:i/>
        </w:rPr>
        <w:t>An account of global intra-industry trade 1962-200</w:t>
      </w:r>
      <w:r w:rsidRPr="005F57C9">
        <w:t>6, World Development Report, Background Paper.</w:t>
      </w:r>
    </w:p>
    <w:p w:rsidR="00AC2131" w:rsidRPr="005F57C9" w:rsidRDefault="00AC2131" w:rsidP="00AC2131">
      <w:pPr>
        <w:pStyle w:val="Reference"/>
      </w:pPr>
      <w:r w:rsidRPr="005F57C9">
        <w:t xml:space="preserve">Carr, K. (former Minister for Innovation, Industry, Science &amp; Research) and Thomson, K. (Federal Member for Wills) 2010, </w:t>
      </w:r>
      <w:r w:rsidRPr="005F57C9">
        <w:rPr>
          <w:i/>
        </w:rPr>
        <w:t>Investing in CSL Research to Secure Australia’s Health</w:t>
      </w:r>
      <w:r w:rsidRPr="005F57C9">
        <w:t>, Joint Media Release, 16 July</w:t>
      </w:r>
    </w:p>
    <w:p w:rsidR="00AC2131" w:rsidRPr="005F57C9" w:rsidRDefault="00AC2131" w:rsidP="00AC2131">
      <w:pPr>
        <w:pStyle w:val="Reference"/>
      </w:pPr>
      <w:r w:rsidRPr="005F57C9">
        <w:t xml:space="preserve">Carr, K. (former Minister for Innovation, Industry, Science &amp; Research) and Hodgett, D. (former </w:t>
      </w:r>
      <w:r w:rsidRPr="005F57C9">
        <w:rPr>
          <w:bCs/>
        </w:rPr>
        <w:t>Victorian Minister for Manufacturing)</w:t>
      </w:r>
      <w:r w:rsidRPr="005F57C9">
        <w:t xml:space="preserve"> 2013, </w:t>
      </w:r>
      <w:r w:rsidRPr="005F57C9">
        <w:rPr>
          <w:i/>
        </w:rPr>
        <w:t>$123 million investment in Toyota Australia’s future</w:t>
      </w:r>
      <w:r w:rsidRPr="005F57C9">
        <w:t>, Joint Media Release, 5 August.</w:t>
      </w:r>
    </w:p>
    <w:p w:rsidR="00AC2131" w:rsidRPr="005F57C9" w:rsidRDefault="00AC2131" w:rsidP="00AC2131">
      <w:pPr>
        <w:pStyle w:val="Reference"/>
      </w:pPr>
      <w:r w:rsidRPr="005F57C9">
        <w:t xml:space="preserve">Chaney, T. 2011, </w:t>
      </w:r>
      <w:r w:rsidRPr="005F57C9">
        <w:rPr>
          <w:i/>
        </w:rPr>
        <w:t>The Network Structure of International Trade,</w:t>
      </w:r>
      <w:r w:rsidRPr="005F57C9">
        <w:t xml:space="preserve"> National Bureau of Economic Research, Working Paper no 16753, Cambridge.</w:t>
      </w:r>
    </w:p>
    <w:p w:rsidR="00AC2131" w:rsidRPr="005F57C9" w:rsidRDefault="00AC2131" w:rsidP="00AC2131">
      <w:pPr>
        <w:pStyle w:val="Reference"/>
        <w:rPr>
          <w:i/>
        </w:rPr>
      </w:pPr>
      <w:r w:rsidRPr="005F57C9">
        <w:t xml:space="preserve">Chaney, T. 2014, ‘The Network Structure of International Trade,’ </w:t>
      </w:r>
      <w:r w:rsidRPr="005F57C9">
        <w:rPr>
          <w:i/>
        </w:rPr>
        <w:t>American Economic Review</w:t>
      </w:r>
      <w:r w:rsidRPr="005F57C9">
        <w:t>, vol 104, no. 11, pp. 3600-3634.</w:t>
      </w:r>
    </w:p>
    <w:p w:rsidR="00AC2131" w:rsidRPr="005F57C9" w:rsidRDefault="00AC2131" w:rsidP="00AC2131">
      <w:pPr>
        <w:pStyle w:val="Reference"/>
      </w:pPr>
      <w:r w:rsidRPr="005F57C9">
        <w:t xml:space="preserve">CIE (Centre for International Economics) 2003, </w:t>
      </w:r>
      <w:r w:rsidRPr="005F57C9">
        <w:rPr>
          <w:i/>
        </w:rPr>
        <w:t>Review of the R&amp;D Start Program</w:t>
      </w:r>
      <w:r w:rsidRPr="005F57C9">
        <w:t>, Prepared for the Department of Industry, Tourism and Resources, June.</w:t>
      </w:r>
    </w:p>
    <w:p w:rsidR="00AC2131" w:rsidRPr="005F57C9" w:rsidRDefault="00AC2131" w:rsidP="00AC2131">
      <w:pPr>
        <w:pStyle w:val="Reference"/>
      </w:pPr>
      <w:r w:rsidRPr="005F57C9">
        <w:t xml:space="preserve">Combet, G., (former Minister for Climate Change, Industry and Innovation) Ryan, P. (former Victorian Deputy Premier) and Dalla-Riva, R. (former Victorian Minister for Manufacturing, Exports and Trade). 2012a, </w:t>
      </w:r>
      <w:r w:rsidRPr="005F57C9">
        <w:rPr>
          <w:i/>
        </w:rPr>
        <w:t xml:space="preserve">$90 million paper investment supports Latrobe Valley jobs, </w:t>
      </w:r>
      <w:r w:rsidRPr="005F57C9">
        <w:t>Joint Media Release, 10 October.</w:t>
      </w:r>
    </w:p>
    <w:p w:rsidR="00AC2131" w:rsidRPr="005F57C9" w:rsidRDefault="00AC2131" w:rsidP="00AC2131">
      <w:pPr>
        <w:pStyle w:val="Reference"/>
      </w:pPr>
      <w:r w:rsidRPr="005F57C9">
        <w:t xml:space="preserve">Combet, G., (former Minister for Climate Change, Industry and Innovation), Baillieu, T. (former Premier of Victoria) and Napthine, D. (former Victorian Minister for Regional Cities and Racing and Minister for Ports and Minister for Major Projects) 2012b, </w:t>
      </w:r>
      <w:r w:rsidRPr="005F57C9">
        <w:rPr>
          <w:i/>
        </w:rPr>
        <w:t>$40 million funding for Point Henry aluminium smelter</w:t>
      </w:r>
      <w:r w:rsidRPr="005F57C9">
        <w:t>, Joint Media Release, 29 June.</w:t>
      </w:r>
    </w:p>
    <w:p w:rsidR="00AC2131" w:rsidRPr="005F57C9" w:rsidRDefault="00AC2131" w:rsidP="00AC2131">
      <w:pPr>
        <w:pStyle w:val="Reference"/>
      </w:pPr>
      <w:r w:rsidRPr="005F57C9">
        <w:t xml:space="preserve">Competition Policy Review 2015, </w:t>
      </w:r>
      <w:r w:rsidRPr="005F57C9">
        <w:rPr>
          <w:i/>
          <w:iCs/>
        </w:rPr>
        <w:t>Competition Policy Review</w:t>
      </w:r>
      <w:r w:rsidRPr="005F57C9">
        <w:rPr>
          <w:i/>
        </w:rPr>
        <w:t xml:space="preserve"> Final Report </w:t>
      </w:r>
      <w:r w:rsidRPr="005F57C9">
        <w:t xml:space="preserve">(Professor Ian Harper, Chairman), Canberra, March. </w:t>
      </w:r>
    </w:p>
    <w:p w:rsidR="00AC2131" w:rsidRPr="005F57C9" w:rsidRDefault="00AC2131" w:rsidP="00AC2131">
      <w:pPr>
        <w:pStyle w:val="Reference"/>
      </w:pPr>
      <w:r w:rsidRPr="005F57C9">
        <w:rPr>
          <w:sz w:val="25"/>
          <w:szCs w:val="25"/>
        </w:rPr>
        <w:t xml:space="preserve">Crean, S. (former Minister of Trade), Green, B. (former Tasmanian Deputy Premier) and Sidebottom, S. (former Parliamentary Secretary for Agriculture, Fisheries and Forestry) 2012, </w:t>
      </w:r>
      <w:r w:rsidRPr="005F57C9">
        <w:rPr>
          <w:i/>
          <w:iCs/>
          <w:sz w:val="25"/>
          <w:szCs w:val="25"/>
        </w:rPr>
        <w:t>Dairy expansion drives economic diversification in Burnie</w:t>
      </w:r>
      <w:r w:rsidRPr="005F57C9">
        <w:rPr>
          <w:sz w:val="25"/>
          <w:szCs w:val="25"/>
        </w:rPr>
        <w:t>, Media Release, 15 June.</w:t>
      </w:r>
    </w:p>
    <w:p w:rsidR="00AC2131" w:rsidRPr="005F57C9" w:rsidRDefault="00AC2131" w:rsidP="00AC2131">
      <w:pPr>
        <w:pStyle w:val="Reference"/>
      </w:pPr>
      <w:r w:rsidRPr="005F57C9">
        <w:t xml:space="preserve">De Backer, K. and Yamano, N. 2012, </w:t>
      </w:r>
      <w:r w:rsidRPr="005F57C9">
        <w:rPr>
          <w:i/>
        </w:rPr>
        <w:t>International Comparative Evidence on Global Value Chains,</w:t>
      </w:r>
      <w:r w:rsidRPr="005F57C9">
        <w:t xml:space="preserve"> OECD Science, Technology and Industry Working Papers, no 2012/13, Paris.</w:t>
      </w:r>
    </w:p>
    <w:p w:rsidR="00AC2131" w:rsidRPr="005F57C9" w:rsidRDefault="00AC2131" w:rsidP="00AC2131">
      <w:pPr>
        <w:pStyle w:val="Reference"/>
      </w:pPr>
      <w:r w:rsidRPr="005F57C9">
        <w:t xml:space="preserve">Dee, P. 2005, </w:t>
      </w:r>
      <w:r w:rsidRPr="005F57C9">
        <w:rPr>
          <w:i/>
        </w:rPr>
        <w:t>The Australia–US Free Trade Agreement: An Assessment</w:t>
      </w:r>
      <w:r w:rsidRPr="005F57C9">
        <w:t>, Pacific Economic Papers, No. 345, Australia-Japan Research Centre, Asia Pacific School of Economics and Government, Australian National University.</w:t>
      </w:r>
    </w:p>
    <w:p w:rsidR="00AC2131" w:rsidRPr="005F57C9" w:rsidRDefault="00AC2131" w:rsidP="00AC2131">
      <w:pPr>
        <w:pStyle w:val="Reference"/>
      </w:pPr>
      <w:r w:rsidRPr="005F57C9">
        <w:t xml:space="preserve">Deloitte 2014, </w:t>
      </w:r>
      <w:r w:rsidRPr="005F57C9">
        <w:rPr>
          <w:i/>
        </w:rPr>
        <w:t xml:space="preserve">Positioning for prosperity? Catching the next wave, </w:t>
      </w:r>
      <w:r w:rsidRPr="0023316C">
        <w:t>https://www2.deloitte.com/content/dam/Deloitte/au/Documents/Building%20Lucky%20Country/Deloitte_au_business_positioning_for_prosperity_2014.pdf</w:t>
      </w:r>
      <w:r w:rsidRPr="005F57C9">
        <w:t xml:space="preserve"> (accessed 30 April 2015).</w:t>
      </w:r>
    </w:p>
    <w:p w:rsidR="00AC2131" w:rsidRPr="005F57C9" w:rsidRDefault="00AC2131" w:rsidP="00AC2131">
      <w:pPr>
        <w:pStyle w:val="Reference"/>
      </w:pPr>
      <w:r w:rsidRPr="005F57C9">
        <w:t xml:space="preserve">Department of Agriculture 2015a, </w:t>
      </w:r>
      <w:r w:rsidRPr="005F57C9">
        <w:rPr>
          <w:i/>
          <w:iCs/>
        </w:rPr>
        <w:t>Rural Research and Development for Profit</w:t>
      </w:r>
      <w:r w:rsidRPr="005F57C9">
        <w:t>, Agriculture &amp; Food Rural Research and Development for Profit, Department of Agriculture, http://www.agriculture.gov.au/agriculture-food/innovation/rural-research-development-for-profit (accessed 23 February 2015).</w:t>
      </w:r>
    </w:p>
    <w:p w:rsidR="00AC2131" w:rsidRPr="005F57C9" w:rsidRDefault="00AC2131" w:rsidP="00AC2131">
      <w:pPr>
        <w:pStyle w:val="Reference"/>
      </w:pPr>
      <w:r w:rsidRPr="005F57C9">
        <w:t xml:space="preserve">—— 2015b, </w:t>
      </w:r>
      <w:r w:rsidRPr="005F57C9">
        <w:rPr>
          <w:i/>
        </w:rPr>
        <w:t>Farm Household Allowance Questions and Answers</w:t>
      </w:r>
      <w:r w:rsidRPr="005F57C9">
        <w:t>, http://www.agriculture.gov.au/ag-farm-food/drought/assistance/income-support-for-farmers/farm-household-allowance/farm-household-allowance-questions-and-answers (accessed 11 March).</w:t>
      </w:r>
    </w:p>
    <w:p w:rsidR="00AC2131" w:rsidRPr="005F57C9" w:rsidRDefault="00AC2131" w:rsidP="00AC2131">
      <w:pPr>
        <w:pStyle w:val="Reference"/>
      </w:pPr>
      <w:r w:rsidRPr="005F57C9">
        <w:t xml:space="preserve">—— 2015c, </w:t>
      </w:r>
      <w:r w:rsidRPr="005F57C9">
        <w:rPr>
          <w:i/>
        </w:rPr>
        <w:t xml:space="preserve">Drought Concessional Loans, </w:t>
      </w:r>
      <w:r w:rsidRPr="005F57C9">
        <w:t>Information page,</w:t>
      </w:r>
      <w:r w:rsidRPr="005F57C9">
        <w:rPr>
          <w:i/>
        </w:rPr>
        <w:t xml:space="preserve"> </w:t>
      </w:r>
      <w:r w:rsidRPr="0023316C">
        <w:t>http://www.agriculture.gov.au/ag-farm-food/drought/assistance/concessional-loans</w:t>
      </w:r>
      <w:r w:rsidRPr="005F57C9">
        <w:t xml:space="preserve"> (accessed 5 March).</w:t>
      </w:r>
    </w:p>
    <w:p w:rsidR="00AC2131" w:rsidRPr="005F57C9" w:rsidRDefault="00AC2131" w:rsidP="00AC2131">
      <w:pPr>
        <w:pStyle w:val="Reference"/>
      </w:pPr>
      <w:r w:rsidRPr="005F57C9">
        <w:t xml:space="preserve">Department of the Environment 2014a, </w:t>
      </w:r>
      <w:r w:rsidRPr="005F57C9">
        <w:rPr>
          <w:i/>
        </w:rPr>
        <w:t>Portfolio Budget Statements 2014</w:t>
      </w:r>
      <w:r w:rsidRPr="005F57C9">
        <w:rPr>
          <w:i/>
        </w:rPr>
        <w:noBreakHyphen/>
        <w:t>15</w:t>
      </w:r>
      <w:r w:rsidRPr="005F57C9">
        <w:t xml:space="preserve">, Budget Related Paper No. 1.7, Environment Portfolio, Canberra. </w:t>
      </w:r>
    </w:p>
    <w:p w:rsidR="00AC2131" w:rsidRPr="005F57C9" w:rsidRDefault="00AC2131" w:rsidP="00AC2131">
      <w:pPr>
        <w:pStyle w:val="Reference"/>
      </w:pPr>
      <w:r w:rsidRPr="005F57C9">
        <w:t xml:space="preserve">—— 2014b, </w:t>
      </w:r>
      <w:r w:rsidRPr="005F57C9">
        <w:rPr>
          <w:i/>
          <w:iCs/>
        </w:rPr>
        <w:t>New groundwater purchase round in the Queensland Central Condamine Alluvium</w:t>
      </w:r>
      <w:r w:rsidRPr="005F57C9">
        <w:t>, Media Release, 15 July.</w:t>
      </w:r>
    </w:p>
    <w:p w:rsidR="00AC2131" w:rsidRPr="005F57C9" w:rsidRDefault="00AC2131" w:rsidP="00AC2131">
      <w:pPr>
        <w:pStyle w:val="Reference"/>
      </w:pPr>
      <w:r w:rsidRPr="005F57C9">
        <w:t xml:space="preserve">—— 2014c, </w:t>
      </w:r>
      <w:r w:rsidRPr="005F57C9">
        <w:rPr>
          <w:i/>
          <w:iCs/>
        </w:rPr>
        <w:t>New water purchase tender in southern New South Wales</w:t>
      </w:r>
      <w:r w:rsidRPr="005F57C9">
        <w:t>, Media Release, 28 November.</w:t>
      </w:r>
    </w:p>
    <w:p w:rsidR="00AC2131" w:rsidRPr="005F57C9" w:rsidRDefault="00AC2131" w:rsidP="00AC2131">
      <w:pPr>
        <w:pStyle w:val="Reference"/>
      </w:pPr>
      <w:r w:rsidRPr="005F57C9">
        <w:t xml:space="preserve">—— 2014d, </w:t>
      </w:r>
      <w:r w:rsidRPr="005F57C9">
        <w:rPr>
          <w:i/>
        </w:rPr>
        <w:t>Annual Report 2013</w:t>
      </w:r>
      <w:r w:rsidRPr="005F57C9">
        <w:rPr>
          <w:i/>
        </w:rPr>
        <w:noBreakHyphen/>
        <w:t>14</w:t>
      </w:r>
      <w:r w:rsidRPr="005F57C9">
        <w:t xml:space="preserve">, Commonwealth of Australia, Canberra. </w:t>
      </w:r>
    </w:p>
    <w:p w:rsidR="00AC2131" w:rsidRPr="005F57C9" w:rsidRDefault="00AC2131" w:rsidP="00AC2131">
      <w:pPr>
        <w:pStyle w:val="Reference"/>
      </w:pPr>
      <w:r w:rsidRPr="005F57C9">
        <w:t xml:space="preserve">—— 2015, </w:t>
      </w:r>
      <w:r w:rsidRPr="005F57C9">
        <w:rPr>
          <w:i/>
        </w:rPr>
        <w:t>National Landcare Programme</w:t>
      </w:r>
      <w:r w:rsidRPr="005F57C9">
        <w:t xml:space="preserve">, http://www.nrm.gov.au/ (accessed 9 June 2015). </w:t>
      </w:r>
    </w:p>
    <w:p w:rsidR="00AC2131" w:rsidRPr="005F57C9" w:rsidRDefault="00AC2131" w:rsidP="00AC2131">
      <w:pPr>
        <w:pStyle w:val="Reference"/>
      </w:pPr>
      <w:r w:rsidRPr="005F57C9">
        <w:t xml:space="preserve">DFAT (Department of Foreign Affairs and Trade) 2013, </w:t>
      </w:r>
      <w:r w:rsidRPr="005F57C9">
        <w:rPr>
          <w:i/>
        </w:rPr>
        <w:t>Trade in value added</w:t>
      </w:r>
      <w:r w:rsidRPr="005F57C9">
        <w:t>, Canberra.</w:t>
      </w:r>
    </w:p>
    <w:p w:rsidR="00AC2131" w:rsidRPr="005F57C9" w:rsidRDefault="00AC2131" w:rsidP="00AC2131">
      <w:pPr>
        <w:pStyle w:val="Reference"/>
      </w:pPr>
      <w:r w:rsidRPr="005F57C9">
        <w:t xml:space="preserve">—— 2014a, </w:t>
      </w:r>
      <w:r w:rsidRPr="005F57C9">
        <w:rPr>
          <w:i/>
        </w:rPr>
        <w:t>China-Australia Free Trade Agreement – Key Outcomes</w:t>
      </w:r>
      <w:r w:rsidRPr="005F57C9">
        <w:t>, http://www.dfat.gov.au/fta/chafta/fact-sheets/key-outcomes.html (accessed 4 December 2014).</w:t>
      </w:r>
    </w:p>
    <w:p w:rsidR="00AC2131" w:rsidRPr="005F57C9" w:rsidRDefault="00AC2131" w:rsidP="00AC2131">
      <w:pPr>
        <w:pStyle w:val="Reference"/>
      </w:pPr>
      <w:r w:rsidRPr="005F57C9">
        <w:t xml:space="preserve">—— 2014b, </w:t>
      </w:r>
      <w:r w:rsidRPr="005F57C9">
        <w:rPr>
          <w:i/>
        </w:rPr>
        <w:t>International Investment Australia 2013</w:t>
      </w:r>
      <w:r w:rsidRPr="005F57C9">
        <w:t>, Canberra.</w:t>
      </w:r>
    </w:p>
    <w:p w:rsidR="00AC2131" w:rsidRPr="005F57C9" w:rsidRDefault="00AC2131" w:rsidP="00AC2131">
      <w:pPr>
        <w:pStyle w:val="Reference"/>
      </w:pPr>
      <w:r w:rsidRPr="005F57C9">
        <w:t xml:space="preserve">—— 2015a, </w:t>
      </w:r>
      <w:r w:rsidRPr="005F57C9">
        <w:rPr>
          <w:i/>
        </w:rPr>
        <w:t>East Asia Summit</w:t>
      </w:r>
      <w:r w:rsidRPr="005F57C9">
        <w:t>, http://dfat.gov.au/international-relations/regional-architecture/eas/Pages/east-asia-summit-eas.aspx (accessed 29 April 2015).</w:t>
      </w:r>
    </w:p>
    <w:p w:rsidR="00AC2131" w:rsidRPr="005F57C9" w:rsidRDefault="00AC2131" w:rsidP="00AC2131">
      <w:pPr>
        <w:pStyle w:val="Reference"/>
      </w:pPr>
      <w:r w:rsidRPr="005F57C9">
        <w:t xml:space="preserve">—— 2015b, </w:t>
      </w:r>
      <w:r w:rsidRPr="005F57C9">
        <w:rPr>
          <w:i/>
        </w:rPr>
        <w:t>Environmental Goods Agreement</w:t>
      </w:r>
      <w:r w:rsidRPr="005F57C9">
        <w:t>, http://www.dfat.gov.au/trade/agreements</w:t>
      </w:r>
      <w:r>
        <w:br/>
      </w:r>
      <w:r w:rsidRPr="005F57C9">
        <w:t>/environmental-goods-agreement/Pages/environmental-goods-agreement.aspx, (accessed 10 April 2015).</w:t>
      </w:r>
    </w:p>
    <w:p w:rsidR="00AC2131" w:rsidRPr="005F57C9" w:rsidRDefault="00AC2131" w:rsidP="00AC2131">
      <w:pPr>
        <w:pStyle w:val="Reference"/>
      </w:pPr>
      <w:r w:rsidRPr="005F57C9">
        <w:t xml:space="preserve">—— 2015c, </w:t>
      </w:r>
      <w:r w:rsidRPr="005F57C9">
        <w:rPr>
          <w:i/>
        </w:rPr>
        <w:t>Free Trade Agreements</w:t>
      </w:r>
      <w:r w:rsidRPr="005F57C9">
        <w:t>, http://www.dfat.gov.au/fta/ (accessed 10 April 2015).</w:t>
      </w:r>
    </w:p>
    <w:p w:rsidR="00AC2131" w:rsidRPr="005F57C9" w:rsidRDefault="00AC2131" w:rsidP="00AC2131">
      <w:pPr>
        <w:pStyle w:val="Reference"/>
      </w:pPr>
      <w:r w:rsidRPr="005F57C9">
        <w:t xml:space="preserve">—— 2015d, </w:t>
      </w:r>
      <w:r w:rsidRPr="005F57C9">
        <w:rPr>
          <w:i/>
        </w:rPr>
        <w:t>Trade in Services Agreement</w:t>
      </w:r>
      <w:r w:rsidRPr="005F57C9">
        <w:t>, http://dfat.gov.au/trade/agreements/trade-in-services-agreement/Pages/trade-in-services-agreement.aspx (accessed 29 April 2015)</w:t>
      </w:r>
    </w:p>
    <w:p w:rsidR="00AC2131" w:rsidRPr="005F57C9" w:rsidRDefault="00AC2131" w:rsidP="00AC2131">
      <w:pPr>
        <w:pStyle w:val="Reference"/>
      </w:pPr>
      <w:r w:rsidRPr="005F57C9">
        <w:t xml:space="preserve">—— 2015e, </w:t>
      </w:r>
      <w:r w:rsidRPr="005F57C9">
        <w:rPr>
          <w:i/>
        </w:rPr>
        <w:t>WTO Agreement on Government Procurement</w:t>
      </w:r>
      <w:r w:rsidRPr="005F57C9">
        <w:t>, http://dfat.gov.au</w:t>
      </w:r>
      <w:r>
        <w:br/>
      </w:r>
      <w:r w:rsidRPr="005F57C9">
        <w:t>/international-relations/international-organisations/wto/Pages/wto-agreement-on-government-procurement.aspx (accessed 29 April 2015).</w:t>
      </w:r>
    </w:p>
    <w:p w:rsidR="00AC2131" w:rsidRPr="005F57C9" w:rsidRDefault="00AC2131" w:rsidP="00AC2131">
      <w:pPr>
        <w:pStyle w:val="Reference"/>
      </w:pPr>
      <w:r w:rsidRPr="005F57C9">
        <w:t xml:space="preserve">Department of Human Services 2012, </w:t>
      </w:r>
      <w:r w:rsidRPr="005F57C9">
        <w:rPr>
          <w:i/>
        </w:rPr>
        <w:t>Transitional Farm Family Payment</w:t>
      </w:r>
      <w:r w:rsidRPr="005F57C9">
        <w:t xml:space="preserve">, </w:t>
      </w:r>
      <w:r w:rsidRPr="0023316C">
        <w:t>http://www.frcc.org.au/wp-content/uploads/T-F-F-P-factsheet.pdf</w:t>
      </w:r>
      <w:r w:rsidRPr="005F57C9">
        <w:t xml:space="preserve"> (accessed 5 June 2015).</w:t>
      </w:r>
    </w:p>
    <w:p w:rsidR="00AC2131" w:rsidRPr="005F57C9" w:rsidRDefault="00AC2131" w:rsidP="00AC2131">
      <w:pPr>
        <w:pStyle w:val="Reference"/>
      </w:pPr>
      <w:r w:rsidRPr="005F57C9">
        <w:t xml:space="preserve">Department of Industry and Science 2014a, </w:t>
      </w:r>
      <w:r w:rsidRPr="005F57C9">
        <w:rPr>
          <w:i/>
        </w:rPr>
        <w:t>Customer Information Guide: Manufacturing Transition Programme</w:t>
      </w:r>
      <w:r w:rsidRPr="005F57C9">
        <w:t xml:space="preserve">, </w:t>
      </w:r>
      <w:r w:rsidRPr="0023316C">
        <w:t>http://www.business.gov.au/grants-and-assistance/</w:t>
      </w:r>
      <w:r>
        <w:br/>
      </w:r>
      <w:r w:rsidRPr="0023316C">
        <w:t>manufacturing/Manufacturing-Transition-Programme/Pages/Guidelines.aspx</w:t>
      </w:r>
      <w:r w:rsidRPr="005F57C9">
        <w:t xml:space="preserve"> (accessed 12 May 2015).</w:t>
      </w:r>
    </w:p>
    <w:p w:rsidR="00AC2131" w:rsidRPr="005F57C9" w:rsidRDefault="00AC2131" w:rsidP="00AC2131">
      <w:pPr>
        <w:pStyle w:val="Reference"/>
      </w:pPr>
      <w:r w:rsidRPr="005F57C9">
        <w:t xml:space="preserve">—— 2014b, </w:t>
      </w:r>
      <w:r w:rsidRPr="005F57C9">
        <w:rPr>
          <w:i/>
        </w:rPr>
        <w:t>Portfolio Budget Statements 2014</w:t>
      </w:r>
      <w:r w:rsidRPr="005F57C9">
        <w:rPr>
          <w:i/>
        </w:rPr>
        <w:noBreakHyphen/>
        <w:t>15</w:t>
      </w:r>
      <w:r w:rsidRPr="005F57C9">
        <w:t>, Budget Related Paper no. 1.12, Canberra.</w:t>
      </w:r>
    </w:p>
    <w:p w:rsidR="00AC2131" w:rsidRPr="005F57C9" w:rsidRDefault="00AC2131" w:rsidP="00AC2131">
      <w:pPr>
        <w:pStyle w:val="Reference"/>
      </w:pPr>
      <w:r w:rsidRPr="00841204">
        <w:t xml:space="preserve">EAS (East Asia Summit) 2014, </w:t>
      </w:r>
      <w:r w:rsidRPr="00841204">
        <w:rPr>
          <w:i/>
        </w:rPr>
        <w:t>Chairman’s Statement</w:t>
      </w:r>
      <w:r w:rsidRPr="005F57C9">
        <w:rPr>
          <w:i/>
        </w:rPr>
        <w:t xml:space="preserve"> of 9</w:t>
      </w:r>
      <w:r w:rsidRPr="005F57C9">
        <w:rPr>
          <w:i/>
          <w:vertAlign w:val="superscript"/>
        </w:rPr>
        <w:t>th</w:t>
      </w:r>
      <w:r w:rsidRPr="005F57C9">
        <w:rPr>
          <w:i/>
        </w:rPr>
        <w:t xml:space="preserve"> East Asia Summit (9</w:t>
      </w:r>
      <w:r w:rsidRPr="005F57C9">
        <w:rPr>
          <w:i/>
          <w:vertAlign w:val="superscript"/>
        </w:rPr>
        <w:t>th</w:t>
      </w:r>
      <w:r w:rsidRPr="005F57C9">
        <w:rPr>
          <w:i/>
        </w:rPr>
        <w:t xml:space="preserve"> EAS), </w:t>
      </w:r>
      <w:r w:rsidRPr="005F57C9">
        <w:t xml:space="preserve">13 November, </w:t>
      </w:r>
      <w:r w:rsidRPr="0023316C">
        <w:t>http://www.asean.org/images/pdf/2014_upload/Chairman%20Statement %20of%20the%2025th%20ASEAN%20Summit.pdf</w:t>
      </w:r>
      <w:r w:rsidRPr="005F57C9">
        <w:t>, (accessed on 1 June 2015).</w:t>
      </w:r>
    </w:p>
    <w:p w:rsidR="00AC2131" w:rsidRPr="005F57C9" w:rsidRDefault="00AC2131" w:rsidP="00AC2131">
      <w:pPr>
        <w:pStyle w:val="Reference"/>
      </w:pPr>
      <w:r w:rsidRPr="005F57C9">
        <w:t xml:space="preserve">EFIC (Export Finance and Insurance Corporation) 2014a, </w:t>
      </w:r>
      <w:r w:rsidRPr="005F57C9">
        <w:rPr>
          <w:i/>
        </w:rPr>
        <w:t>Annual Report 2013-14</w:t>
      </w:r>
      <w:r w:rsidRPr="005F57C9">
        <w:t>, Sydney.</w:t>
      </w:r>
    </w:p>
    <w:p w:rsidR="00AC2131" w:rsidRPr="005F57C9" w:rsidRDefault="00AC2131" w:rsidP="00AC2131">
      <w:pPr>
        <w:pStyle w:val="Reference"/>
      </w:pPr>
      <w:r w:rsidRPr="005F57C9">
        <w:t xml:space="preserve">—— 2014b, </w:t>
      </w:r>
      <w:r w:rsidRPr="005F57C9">
        <w:rPr>
          <w:i/>
        </w:rPr>
        <w:t>Budget Announcement — Return of Capital,</w:t>
      </w:r>
      <w:r w:rsidRPr="005F57C9">
        <w:t xml:space="preserve"> </w:t>
      </w:r>
      <w:r w:rsidRPr="0023316C">
        <w:t>http://www.efic.gov.au/news-room/latest-news/2014/may/budget-announcement-retrun-of-capital</w:t>
      </w:r>
      <w:r w:rsidRPr="005F57C9">
        <w:rPr>
          <w:rStyle w:val="BodyTextChar"/>
        </w:rPr>
        <w:t>, (</w:t>
      </w:r>
      <w:r w:rsidRPr="005F57C9">
        <w:t>accessed 29 April 2015).</w:t>
      </w:r>
    </w:p>
    <w:p w:rsidR="00AC2131" w:rsidRPr="005F57C9" w:rsidRDefault="00AC2131" w:rsidP="00AC2131">
      <w:pPr>
        <w:pStyle w:val="Reference"/>
      </w:pPr>
      <w:r w:rsidRPr="005F57C9">
        <w:t xml:space="preserve">Financial System Inquiry 2014, </w:t>
      </w:r>
      <w:r w:rsidRPr="005F57C9">
        <w:rPr>
          <w:i/>
        </w:rPr>
        <w:t>Financial System Inquiry Final Report</w:t>
      </w:r>
      <w:r w:rsidRPr="005F57C9">
        <w:t xml:space="preserve"> (David Murray Chairman), Commonwealth of Australia, Canberra, November. </w:t>
      </w:r>
    </w:p>
    <w:p w:rsidR="00AC2131" w:rsidRPr="005F57C9" w:rsidRDefault="00AC2131" w:rsidP="00AC2131">
      <w:pPr>
        <w:pStyle w:val="Reference"/>
      </w:pPr>
      <w:r w:rsidRPr="005F57C9">
        <w:t>Findlay, C. and Rammal, H. 2013, ‘Australia-EU Trade in Services: The Case of Australian Architecture Firms’, paper presented to: Bringing Australia and the EU Closer: Is an FTA the solution?, Conference, ANU Centre for European Studies, 27-28 November, Canberra.</w:t>
      </w:r>
    </w:p>
    <w:p w:rsidR="00AC2131" w:rsidRPr="005F57C9" w:rsidRDefault="00AC2131" w:rsidP="00AC2131">
      <w:pPr>
        <w:pStyle w:val="Reference"/>
      </w:pPr>
      <w:r w:rsidRPr="005F57C9">
        <w:t xml:space="preserve">Fink, C. and Nikomborirak, D. 2007, </w:t>
      </w:r>
      <w:r w:rsidRPr="005F57C9">
        <w:rPr>
          <w:i/>
        </w:rPr>
        <w:t>Rules of Origin in Services: A Case Study of Five ASEAN Countries,</w:t>
      </w:r>
      <w:r w:rsidRPr="005F57C9">
        <w:t xml:space="preserve"> World Bank Policy Research Working Paper no 4130.</w:t>
      </w:r>
    </w:p>
    <w:p w:rsidR="00AC2131" w:rsidRPr="005F57C9" w:rsidRDefault="00AC2131" w:rsidP="00AC2131">
      <w:pPr>
        <w:pStyle w:val="Reference"/>
      </w:pPr>
      <w:r w:rsidRPr="005F57C9">
        <w:t>French, R. (Chief Justice) 2014, ‘Trade Law and the Australia Courts</w:t>
      </w:r>
      <w:r w:rsidRPr="005F57C9">
        <w:rPr>
          <w:i/>
        </w:rPr>
        <w:t>’</w:t>
      </w:r>
      <w:r w:rsidRPr="005F57C9">
        <w:t>, Law Council of Australia, International Trade Law Symposium, 18 September, National Portrait Gallery, Canberra.</w:t>
      </w:r>
    </w:p>
    <w:p w:rsidR="00AC2131" w:rsidRPr="005F57C9" w:rsidRDefault="00AC2131" w:rsidP="00AC2131">
      <w:pPr>
        <w:pStyle w:val="Reference"/>
      </w:pPr>
      <w:r w:rsidRPr="005F57C9">
        <w:t xml:space="preserve">G20 (Group of 20) 2014a, </w:t>
      </w:r>
      <w:r w:rsidRPr="005F57C9">
        <w:rPr>
          <w:i/>
        </w:rPr>
        <w:t>G20 Leaders’ Communique</w:t>
      </w:r>
      <w:r w:rsidRPr="005F57C9">
        <w:t>, Brisbane Summit, 15-16 November 2014.</w:t>
      </w:r>
    </w:p>
    <w:p w:rsidR="00AC2131" w:rsidRPr="005F57C9" w:rsidRDefault="00AC2131" w:rsidP="00AC2131">
      <w:pPr>
        <w:pStyle w:val="Reference"/>
      </w:pPr>
      <w:r w:rsidRPr="005F57C9">
        <w:t xml:space="preserve">—— 2014b, </w:t>
      </w:r>
      <w:r w:rsidRPr="005F57C9">
        <w:rPr>
          <w:i/>
        </w:rPr>
        <w:t>Comprehensive Growth Strategy — Australia</w:t>
      </w:r>
      <w:r w:rsidRPr="005F57C9">
        <w:t xml:space="preserve">, </w:t>
      </w:r>
      <w:r w:rsidRPr="0023316C">
        <w:t>http://www.g20australia.org/sites/default/files/g20_resources/library/g20_comprehensive_growth_strategy_australia.pdf</w:t>
      </w:r>
      <w:r w:rsidRPr="005F57C9">
        <w:t xml:space="preserve"> (accessed 29 April 2015)</w:t>
      </w:r>
    </w:p>
    <w:p w:rsidR="00AC2131" w:rsidRPr="005F57C9" w:rsidRDefault="00AC2131" w:rsidP="00AC2131">
      <w:pPr>
        <w:pStyle w:val="Reference"/>
      </w:pPr>
      <w:r w:rsidRPr="005F57C9">
        <w:t xml:space="preserve">—— 2014c, </w:t>
      </w:r>
      <w:r w:rsidRPr="005F57C9">
        <w:rPr>
          <w:i/>
        </w:rPr>
        <w:t>Comprehensive Growth Strategy — European Union</w:t>
      </w:r>
      <w:r w:rsidRPr="005F57C9">
        <w:t xml:space="preserve">, </w:t>
      </w:r>
      <w:r w:rsidRPr="0023316C">
        <w:t>http://www.g20australia.org/sites/default/files/g20_resources/library/g20_comprehensive_growth_strategy_european_union.pdf</w:t>
      </w:r>
      <w:r w:rsidRPr="005F57C9">
        <w:t xml:space="preserve"> (accessed 29 April 2015)</w:t>
      </w:r>
    </w:p>
    <w:p w:rsidR="00AC2131" w:rsidRPr="005F57C9" w:rsidRDefault="00AC2131" w:rsidP="00AC2131">
      <w:pPr>
        <w:pStyle w:val="Reference"/>
      </w:pPr>
      <w:r w:rsidRPr="005F57C9">
        <w:t xml:space="preserve">—— 2014d, </w:t>
      </w:r>
      <w:r w:rsidRPr="005F57C9">
        <w:rPr>
          <w:i/>
        </w:rPr>
        <w:t>Comprehensive Growth Strategy — Japan</w:t>
      </w:r>
      <w:r w:rsidRPr="005F57C9">
        <w:t xml:space="preserve">, </w:t>
      </w:r>
      <w:r w:rsidRPr="0023316C">
        <w:t>http://www.g20australia.org/sites/default/files/g20_resources/library/g20_comprehensive_growth_strategy_japan.pdf</w:t>
      </w:r>
      <w:r w:rsidRPr="005F57C9">
        <w:t xml:space="preserve"> (accessed 29 April 2015)</w:t>
      </w:r>
    </w:p>
    <w:p w:rsidR="00AC2131" w:rsidRPr="005F57C9" w:rsidRDefault="00AC2131" w:rsidP="00AC2131">
      <w:pPr>
        <w:pStyle w:val="Reference"/>
      </w:pPr>
      <w:r w:rsidRPr="005F57C9">
        <w:t xml:space="preserve">—— 2014e, </w:t>
      </w:r>
      <w:r w:rsidRPr="005F57C9">
        <w:rPr>
          <w:i/>
        </w:rPr>
        <w:t>Comprehensive Growth Strategy — United States</w:t>
      </w:r>
      <w:r w:rsidRPr="005F57C9">
        <w:t xml:space="preserve">, </w:t>
      </w:r>
      <w:r w:rsidRPr="0023316C">
        <w:t>http://www.g20australia.org/sites/default/files/g20_resources/library/g20_comprehensive_growth_strategy_united_states.pdf</w:t>
      </w:r>
      <w:r w:rsidRPr="005F57C9">
        <w:t xml:space="preserve"> (accessed 29 April 2015)</w:t>
      </w:r>
    </w:p>
    <w:p w:rsidR="00AC2131" w:rsidRPr="005F57C9" w:rsidRDefault="00AC2131" w:rsidP="00AC2131">
      <w:pPr>
        <w:pStyle w:val="Reference"/>
      </w:pPr>
      <w:r w:rsidRPr="005F57C9">
        <w:t xml:space="preserve">Gillard, J. (former Prime Minister) 2012, </w:t>
      </w:r>
      <w:r w:rsidRPr="005F57C9">
        <w:rPr>
          <w:i/>
        </w:rPr>
        <w:t>Speech to GM Holden</w:t>
      </w:r>
      <w:r w:rsidRPr="005F57C9">
        <w:t>, 22 March, Canberra.</w:t>
      </w:r>
    </w:p>
    <w:p w:rsidR="00AC2131" w:rsidRPr="005F57C9" w:rsidRDefault="00AC2131" w:rsidP="00AC2131">
      <w:pPr>
        <w:pStyle w:val="Reference"/>
      </w:pPr>
      <w:r w:rsidRPr="005F57C9">
        <w:t xml:space="preserve">—— , Carr K. (former Minister for Manufacturing), Ryan, P. (former Victorian Acting Premier) and Dalla-Riva, R. (former Victorian Minister for Manufacturing, Exports and Trade) 2012, </w:t>
      </w:r>
      <w:r w:rsidRPr="005F57C9">
        <w:rPr>
          <w:i/>
        </w:rPr>
        <w:t>$103 million upgrade for Ford Falcon and Territory</w:t>
      </w:r>
      <w:r w:rsidRPr="005F57C9">
        <w:t>, Media Release, 10 January.</w:t>
      </w:r>
    </w:p>
    <w:p w:rsidR="00AC2131" w:rsidRPr="005F57C9" w:rsidRDefault="00AC2131" w:rsidP="00AC2131">
      <w:pPr>
        <w:pStyle w:val="Reference"/>
      </w:pPr>
      <w:r w:rsidRPr="005F57C9">
        <w:t xml:space="preserve">Giovanni, J.D. and Levchenko, A. A. 2010, </w:t>
      </w:r>
      <w:r w:rsidRPr="005F57C9">
        <w:rPr>
          <w:i/>
        </w:rPr>
        <w:t>Firm Entry, Trade and Welfare in Zipf’s World,</w:t>
      </w:r>
      <w:r w:rsidRPr="005F57C9">
        <w:t xml:space="preserve"> National Bureau of Economic Research, Working Paper no 16313, Cambridge. </w:t>
      </w:r>
    </w:p>
    <w:p w:rsidR="00AC2131" w:rsidRPr="005F57C9" w:rsidRDefault="00AC2131" w:rsidP="00AC2131">
      <w:pPr>
        <w:pStyle w:val="Reference"/>
      </w:pPr>
      <w:r w:rsidRPr="005F57C9">
        <w:rPr>
          <w:rFonts w:ascii="TimesNewRomanPSMT" w:hAnsi="TimesNewRomanPSMT" w:cs="TimesNewRomanPSMT"/>
          <w:szCs w:val="26"/>
        </w:rPr>
        <w:t xml:space="preserve">Grattan Institute 2011, </w:t>
      </w:r>
      <w:r w:rsidRPr="005F57C9">
        <w:rPr>
          <w:rFonts w:ascii="TimesNewRomanPSMT" w:hAnsi="TimesNewRomanPSMT" w:cs="TimesNewRomanPSMT"/>
          <w:i/>
          <w:szCs w:val="26"/>
        </w:rPr>
        <w:t>Investing in regions: Making a difference</w:t>
      </w:r>
      <w:r w:rsidRPr="005F57C9">
        <w:rPr>
          <w:rFonts w:ascii="TimesNewRomanPSMT" w:hAnsi="TimesNewRomanPSMT" w:cs="TimesNewRomanPSMT"/>
          <w:szCs w:val="26"/>
        </w:rPr>
        <w:t>, Grattan Institute Report No. 2011-4, May.</w:t>
      </w:r>
    </w:p>
    <w:p w:rsidR="00AC2131" w:rsidRPr="005F57C9" w:rsidRDefault="00AC2131" w:rsidP="00AC2131">
      <w:pPr>
        <w:pStyle w:val="Reference"/>
        <w:rPr>
          <w:color w:val="000000" w:themeColor="text1"/>
        </w:rPr>
      </w:pPr>
      <w:r w:rsidRPr="005F57C9">
        <w:rPr>
          <w:color w:val="000000" w:themeColor="text1"/>
        </w:rPr>
        <w:t xml:space="preserve">Gretton, P. 2013, </w:t>
      </w:r>
      <w:r w:rsidRPr="005F57C9">
        <w:rPr>
          <w:i/>
          <w:color w:val="000000" w:themeColor="text1"/>
        </w:rPr>
        <w:t>On Input-Output tables: uses and abuses</w:t>
      </w:r>
      <w:r w:rsidRPr="005F57C9">
        <w:rPr>
          <w:color w:val="000000" w:themeColor="text1"/>
        </w:rPr>
        <w:t>, Staff Research Note, October.</w:t>
      </w:r>
    </w:p>
    <w:p w:rsidR="00AC2131" w:rsidRPr="005F57C9" w:rsidRDefault="00AC2131" w:rsidP="00AC2131">
      <w:pPr>
        <w:pStyle w:val="Reference"/>
      </w:pPr>
      <w:r w:rsidRPr="005F57C9">
        <w:t xml:space="preserve">—— and Gabbitas, O. 2003, </w:t>
      </w:r>
      <w:r w:rsidRPr="005F57C9">
        <w:rPr>
          <w:i/>
        </w:rPr>
        <w:t>Firm Size and Export Performance: some empirical evidence</w:t>
      </w:r>
      <w:r w:rsidRPr="005F57C9">
        <w:t>, Productivity Commission Staff Research Paper.</w:t>
      </w:r>
    </w:p>
    <w:p w:rsidR="00AC2131" w:rsidRPr="005F57C9" w:rsidRDefault="00AC2131" w:rsidP="00AC2131">
      <w:pPr>
        <w:pStyle w:val="Reference"/>
      </w:pPr>
      <w:r w:rsidRPr="005F57C9">
        <w:t xml:space="preserve">Hanson, G.H., Lind, N. and Muendler, M.A. 2014, </w:t>
      </w:r>
      <w:r w:rsidRPr="005F57C9">
        <w:rPr>
          <w:i/>
        </w:rPr>
        <w:t xml:space="preserve">The Dynamics of Comparative Advantage, </w:t>
      </w:r>
      <w:r w:rsidRPr="0023316C">
        <w:t>http://www.princeton.edu/mwg-internal/de5fs23hu73ds/progress?id=YFTVBtGYcN</w:t>
      </w:r>
      <w:r w:rsidRPr="005F57C9">
        <w:t xml:space="preserve">, (accesses 29 April 2015) </w:t>
      </w:r>
    </w:p>
    <w:p w:rsidR="00AC2131" w:rsidRPr="005F57C9" w:rsidRDefault="00AC2131" w:rsidP="00AC2131">
      <w:pPr>
        <w:pStyle w:val="Reference"/>
      </w:pPr>
      <w:r w:rsidRPr="005F57C9">
        <w:t xml:space="preserve">Harper review 2015. </w:t>
      </w:r>
      <w:r w:rsidRPr="005F57C9">
        <w:rPr>
          <w:i/>
        </w:rPr>
        <w:t>See</w:t>
      </w:r>
      <w:r w:rsidRPr="005F57C9">
        <w:t xml:space="preserve"> </w:t>
      </w:r>
      <w:r w:rsidRPr="005F57C9">
        <w:rPr>
          <w:iCs/>
        </w:rPr>
        <w:t>Competition Policy Review 2015</w:t>
      </w:r>
      <w:r w:rsidRPr="005F57C9">
        <w:t>.</w:t>
      </w:r>
    </w:p>
    <w:p w:rsidR="00AC2131" w:rsidRPr="005F57C9" w:rsidRDefault="00AC2131" w:rsidP="00AC2131">
      <w:pPr>
        <w:pStyle w:val="Reference"/>
      </w:pPr>
      <w:r w:rsidRPr="005F57C9">
        <w:t xml:space="preserve">Helpman, E. 2013, </w:t>
      </w:r>
      <w:r w:rsidRPr="005F57C9">
        <w:rPr>
          <w:i/>
        </w:rPr>
        <w:t xml:space="preserve">Foreign Trade and Investment: Firm level Perspectives, </w:t>
      </w:r>
      <w:r w:rsidRPr="005F57C9">
        <w:t>National Bureau of Economics Research, Working Paper no 19057, Cambridge.</w:t>
      </w:r>
    </w:p>
    <w:p w:rsidR="00AC2131" w:rsidRPr="005F57C9" w:rsidRDefault="00AC2131" w:rsidP="00AC2131">
      <w:pPr>
        <w:pStyle w:val="Reference"/>
      </w:pPr>
      <w:r w:rsidRPr="005F57C9">
        <w:t xml:space="preserve">Hunt, G. (Minister for the Environment) 2014, </w:t>
      </w:r>
      <w:r w:rsidRPr="005F57C9">
        <w:rPr>
          <w:i/>
          <w:iCs/>
        </w:rPr>
        <w:t>Shortlisted companies announced to build new Antarctic icebreaker,</w:t>
      </w:r>
      <w:r w:rsidRPr="005F57C9">
        <w:rPr>
          <w:iCs/>
        </w:rPr>
        <w:t xml:space="preserve"> Media Release, 30 May. </w:t>
      </w:r>
    </w:p>
    <w:p w:rsidR="00AC2131" w:rsidRPr="005F57C9" w:rsidRDefault="00AC2131" w:rsidP="00AC2131">
      <w:pPr>
        <w:pStyle w:val="Reference"/>
      </w:pPr>
      <w:r w:rsidRPr="005F57C9">
        <w:t xml:space="preserve">IBIS World 2013, </w:t>
      </w:r>
      <w:r w:rsidRPr="005F57C9">
        <w:rPr>
          <w:i/>
        </w:rPr>
        <w:t>Australia’s Top 5 New Exports</w:t>
      </w:r>
      <w:r w:rsidRPr="005F57C9">
        <w:t xml:space="preserve">, Media Team, 12 November. </w:t>
      </w:r>
    </w:p>
    <w:p w:rsidR="00AC2131" w:rsidRPr="005F57C9" w:rsidRDefault="00AC2131" w:rsidP="00AC2131">
      <w:pPr>
        <w:pStyle w:val="Reference"/>
      </w:pPr>
      <w:r w:rsidRPr="005F57C9">
        <w:t xml:space="preserve">IC (Industry Commission) 1992, </w:t>
      </w:r>
      <w:r w:rsidRPr="005F57C9">
        <w:rPr>
          <w:i/>
        </w:rPr>
        <w:t>Review of Overseas Export Enhancement Measures</w:t>
      </w:r>
      <w:r w:rsidRPr="005F57C9">
        <w:t xml:space="preserve">, Inquiry Report, no. 22, Canberra. </w:t>
      </w:r>
    </w:p>
    <w:p w:rsidR="00AC2131" w:rsidRPr="005F57C9" w:rsidRDefault="00AC2131" w:rsidP="00AC2131">
      <w:pPr>
        <w:pStyle w:val="Reference"/>
      </w:pPr>
      <w:r w:rsidRPr="005F57C9">
        <w:t xml:space="preserve">—— 1995, </w:t>
      </w:r>
      <w:r w:rsidRPr="005F57C9">
        <w:rPr>
          <w:i/>
        </w:rPr>
        <w:t>Assistance to agricultural and manufacturing industries</w:t>
      </w:r>
      <w:r w:rsidRPr="005F57C9">
        <w:t>, Information Paper, Canberra.</w:t>
      </w:r>
    </w:p>
    <w:p w:rsidR="00AC2131" w:rsidRPr="005F57C9" w:rsidRDefault="00AC2131" w:rsidP="00AC2131">
      <w:pPr>
        <w:pStyle w:val="Reference"/>
      </w:pPr>
      <w:r w:rsidRPr="005F57C9">
        <w:t xml:space="preserve">ICTSD (International Centre for Trade and Sustainable Development) 2014, </w:t>
      </w:r>
      <w:r w:rsidRPr="005F57C9">
        <w:rPr>
          <w:i/>
        </w:rPr>
        <w:t>EU, Canada sign trade deal as Germany raises ISDS questions</w:t>
      </w:r>
      <w:r w:rsidRPr="005F57C9">
        <w:t>, Media Release, 2 October.</w:t>
      </w:r>
    </w:p>
    <w:p w:rsidR="00AC2131" w:rsidRPr="005F57C9" w:rsidRDefault="00AC2131" w:rsidP="00AC2131">
      <w:pPr>
        <w:pStyle w:val="Reference"/>
        <w:rPr>
          <w:i/>
        </w:rPr>
      </w:pPr>
      <w:r w:rsidRPr="005F57C9">
        <w:t xml:space="preserve">Johannson, A. and Olaberria, E. 2014 </w:t>
      </w:r>
      <w:r w:rsidRPr="005F57C9">
        <w:rPr>
          <w:i/>
        </w:rPr>
        <w:t>New Evidence on the Determinants of Industrial Specialisation</w:t>
      </w:r>
      <w:r w:rsidRPr="005F57C9">
        <w:t>, Organisation for Economic Co-operation and Development, Working Paper no 1112, Paris</w:t>
      </w:r>
      <w:r w:rsidRPr="005F57C9">
        <w:rPr>
          <w:i/>
        </w:rPr>
        <w:t>.</w:t>
      </w:r>
    </w:p>
    <w:p w:rsidR="00AC2131" w:rsidRPr="005F57C9" w:rsidRDefault="00AC2131" w:rsidP="00AC2131">
      <w:pPr>
        <w:pStyle w:val="Reference"/>
        <w:rPr>
          <w:i/>
        </w:rPr>
      </w:pPr>
      <w:r w:rsidRPr="005F57C9">
        <w:t>Johnson, R. C 2014, ‘Five Facts about Value-Added Exports and Implications for Macroeconomics and Trade Research’</w:t>
      </w:r>
      <w:r w:rsidRPr="005F57C9">
        <w:rPr>
          <w:i/>
        </w:rPr>
        <w:t xml:space="preserve">, Journal of Economic Perspectives, </w:t>
      </w:r>
      <w:r w:rsidRPr="005F57C9">
        <w:t>vol. 28, no. 2, pp. 119-142</w:t>
      </w:r>
      <w:r w:rsidRPr="005F57C9">
        <w:rPr>
          <w:i/>
        </w:rPr>
        <w:t xml:space="preserve">. </w:t>
      </w:r>
    </w:p>
    <w:p w:rsidR="00AC2131" w:rsidRPr="005F57C9" w:rsidRDefault="00AC2131" w:rsidP="00AC2131">
      <w:pPr>
        <w:pStyle w:val="Reference"/>
      </w:pPr>
      <w:r w:rsidRPr="005F57C9">
        <w:t xml:space="preserve">—— and Noguera, G. 2012a, </w:t>
      </w:r>
      <w:r w:rsidRPr="005F57C9">
        <w:rPr>
          <w:i/>
        </w:rPr>
        <w:t>Fragmentation and Trade in Value Added over Four Decades</w:t>
      </w:r>
      <w:r w:rsidRPr="005F57C9">
        <w:t>,</w:t>
      </w:r>
      <w:r w:rsidRPr="005F57C9">
        <w:rPr>
          <w:i/>
        </w:rPr>
        <w:t xml:space="preserve"> </w:t>
      </w:r>
      <w:r w:rsidRPr="005F57C9">
        <w:t>National Bureau of Economic Research, Working Paper no 18186, Cambridge.</w:t>
      </w:r>
    </w:p>
    <w:p w:rsidR="00AC2131" w:rsidRPr="005F57C9" w:rsidRDefault="00AC2131" w:rsidP="00AC2131">
      <w:pPr>
        <w:pStyle w:val="Reference"/>
      </w:pPr>
      <w:r w:rsidRPr="005F57C9">
        <w:t xml:space="preserve">—— and Noguera, G. 2012b, Accounting for Intermediates: Production Sharing and Trade in Value Added, </w:t>
      </w:r>
      <w:r w:rsidRPr="005F57C9">
        <w:rPr>
          <w:i/>
        </w:rPr>
        <w:t>Journal of International Economics</w:t>
      </w:r>
      <w:r w:rsidRPr="005F57C9">
        <w:t>, vol. 86 (2), pp. 224-236.</w:t>
      </w:r>
    </w:p>
    <w:p w:rsidR="00AC2131" w:rsidRPr="005F57C9" w:rsidRDefault="00AC2131" w:rsidP="00AC2131">
      <w:pPr>
        <w:pStyle w:val="Reference"/>
      </w:pPr>
      <w:r w:rsidRPr="005F57C9">
        <w:rPr>
          <w:rFonts w:ascii="TimesNewRomanPSMT" w:hAnsi="TimesNewRomanPSMT" w:cs="TimesNewRomanPSMT"/>
          <w:szCs w:val="26"/>
        </w:rPr>
        <w:t>Joyce, B. (Minister for Agriculture) 2014a</w:t>
      </w:r>
      <w:r w:rsidRPr="005F57C9">
        <w:t xml:space="preserve">, </w:t>
      </w:r>
      <w:r w:rsidRPr="005F57C9">
        <w:rPr>
          <w:i/>
        </w:rPr>
        <w:t>100 million reasons for rural R&amp;D innovation</w:t>
      </w:r>
      <w:r w:rsidRPr="005F57C9">
        <w:t xml:space="preserve">, Media Release, 15 October. </w:t>
      </w:r>
    </w:p>
    <w:p w:rsidR="00AC2131" w:rsidRPr="005F57C9" w:rsidRDefault="00AC2131" w:rsidP="00AC2131">
      <w:pPr>
        <w:pStyle w:val="Reference"/>
      </w:pPr>
      <w:r w:rsidRPr="005F57C9">
        <w:t>—— </w:t>
      </w:r>
      <w:r w:rsidRPr="005F57C9">
        <w:rPr>
          <w:rFonts w:ascii="TimesNewRomanPSMT" w:hAnsi="TimesNewRomanPSMT" w:cs="TimesNewRomanPSMT"/>
          <w:szCs w:val="26"/>
        </w:rPr>
        <w:t xml:space="preserve">2014b, </w:t>
      </w:r>
      <w:r w:rsidRPr="005F57C9">
        <w:rPr>
          <w:i/>
          <w:iCs/>
        </w:rPr>
        <w:t>$100 million new drought recovery loan announced</w:t>
      </w:r>
      <w:r w:rsidRPr="005F57C9">
        <w:t xml:space="preserve">, Media Release, 4 December. </w:t>
      </w:r>
    </w:p>
    <w:p w:rsidR="00AC2131" w:rsidRPr="005F57C9" w:rsidRDefault="00AC2131" w:rsidP="00AC2131">
      <w:pPr>
        <w:pStyle w:val="Reference"/>
      </w:pPr>
      <w:r w:rsidRPr="005F57C9">
        <w:rPr>
          <w:rFonts w:ascii="TimesNewRomanPSMT" w:hAnsi="TimesNewRomanPSMT" w:cs="TimesNewRomanPSMT"/>
          <w:szCs w:val="26"/>
        </w:rPr>
        <w:t>Joyce, B. (Minister for Agriculture)</w:t>
      </w:r>
      <w:r w:rsidRPr="005F57C9">
        <w:t xml:space="preserve"> and Hunt, G. (Minister of the Environment) 2014, </w:t>
      </w:r>
      <w:r w:rsidRPr="005F57C9">
        <w:rPr>
          <w:i/>
          <w:iCs/>
        </w:rPr>
        <w:t>Christmas comes early for Landcare</w:t>
      </w:r>
      <w:r w:rsidRPr="005F57C9">
        <w:t>, Joint Media Release, 18 December.</w:t>
      </w:r>
    </w:p>
    <w:p w:rsidR="00AC2131" w:rsidRPr="005F57C9" w:rsidRDefault="00AC2131" w:rsidP="00AC2131">
      <w:pPr>
        <w:pStyle w:val="Reference"/>
      </w:pPr>
      <w:r w:rsidRPr="005F57C9">
        <w:t xml:space="preserve">JSCOT (Joint Standing Committee on Treaties) 2014, </w:t>
      </w:r>
      <w:r w:rsidRPr="005F57C9">
        <w:rPr>
          <w:i/>
        </w:rPr>
        <w:t>Agreement between Australia and Japan for an Economic Partnership</w:t>
      </w:r>
      <w:r w:rsidRPr="005F57C9">
        <w:t>, Report No. 144, October.</w:t>
      </w:r>
    </w:p>
    <w:p w:rsidR="00AC2131" w:rsidRPr="005F57C9" w:rsidRDefault="00AC2131" w:rsidP="00AC2131">
      <w:pPr>
        <w:pStyle w:val="Reference"/>
      </w:pPr>
      <w:r w:rsidRPr="005F57C9">
        <w:t xml:space="preserve">Keenan, M. (Minister for Justice) 2015, </w:t>
      </w:r>
      <w:r w:rsidRPr="005F57C9">
        <w:rPr>
          <w:i/>
        </w:rPr>
        <w:t>Australian Government to consult on changes to natural disaster funding</w:t>
      </w:r>
      <w:r w:rsidRPr="005F57C9">
        <w:t xml:space="preserve">, Media Release, 1 May. </w:t>
      </w:r>
    </w:p>
    <w:p w:rsidR="00AC2131" w:rsidRPr="005F57C9" w:rsidRDefault="00AC2131" w:rsidP="00AC2131">
      <w:pPr>
        <w:pStyle w:val="Reference"/>
      </w:pPr>
      <w:r w:rsidRPr="005F57C9">
        <w:t xml:space="preserve">Kelly, G. and La Cava, G. L. 2014, </w:t>
      </w:r>
      <w:r w:rsidRPr="005F57C9">
        <w:rPr>
          <w:i/>
        </w:rPr>
        <w:t>International Trade Costs, Global Supply Chains and Value-added Trade in Australia</w:t>
      </w:r>
      <w:r w:rsidRPr="005F57C9">
        <w:t>, Research Discussion Paper, Economic Group, Reserve Bank of Australia, August.</w:t>
      </w:r>
    </w:p>
    <w:p w:rsidR="00AC2131" w:rsidRPr="005F57C9" w:rsidRDefault="00AC2131" w:rsidP="00AC2131">
      <w:pPr>
        <w:pStyle w:val="Reference"/>
        <w:rPr>
          <w:i/>
        </w:rPr>
      </w:pPr>
      <w:r w:rsidRPr="005F57C9">
        <w:t xml:space="preserve">Koopman, R., Wang, Z. and Wei, S.J. 2014, ‘Tracing Value-Added and Double Counting in Gross Exports’, </w:t>
      </w:r>
      <w:r w:rsidRPr="005F57C9">
        <w:rPr>
          <w:i/>
        </w:rPr>
        <w:t xml:space="preserve">American Economic Review, </w:t>
      </w:r>
      <w:r w:rsidRPr="005F57C9">
        <w:t>vol. 102, no. 2, pp. 459-494</w:t>
      </w:r>
      <w:r w:rsidRPr="005F57C9">
        <w:rPr>
          <w:i/>
        </w:rPr>
        <w:t>.</w:t>
      </w:r>
    </w:p>
    <w:p w:rsidR="00AC2131" w:rsidRPr="005F57C9" w:rsidRDefault="00AC2131" w:rsidP="00AC2131">
      <w:pPr>
        <w:pStyle w:val="Reference"/>
      </w:pPr>
      <w:r w:rsidRPr="005F57C9">
        <w:t xml:space="preserve">Kowalski, P. 2011, </w:t>
      </w:r>
      <w:r w:rsidRPr="005F57C9">
        <w:rPr>
          <w:i/>
        </w:rPr>
        <w:t>Comparative Advantage and Trade Performance: Policy Implications,</w:t>
      </w:r>
      <w:r w:rsidRPr="005F57C9">
        <w:t xml:space="preserve"> OECD Trade Policy, Working Papers, no 121, Paris.</w:t>
      </w:r>
    </w:p>
    <w:p w:rsidR="00AC2131" w:rsidRPr="005F57C9" w:rsidRDefault="00AC2131" w:rsidP="00AC2131">
      <w:pPr>
        <w:pStyle w:val="Reference"/>
      </w:pPr>
      <w:r w:rsidRPr="005F57C9">
        <w:t xml:space="preserve">Krugman, P. and Obstfeld, M. 2009, ‘International economics theory and policy’, Eighth Edition, Pearson Addision-Wesley, Boston. </w:t>
      </w:r>
    </w:p>
    <w:p w:rsidR="00AC2131" w:rsidRPr="005F57C9" w:rsidRDefault="00AC2131" w:rsidP="00AC2131">
      <w:pPr>
        <w:pStyle w:val="Reference"/>
      </w:pPr>
      <w:r w:rsidRPr="005F57C9">
        <w:t xml:space="preserve">Leighton, A. 2012, </w:t>
      </w:r>
      <w:r w:rsidRPr="005F57C9">
        <w:rPr>
          <w:i/>
        </w:rPr>
        <w:t>Norske Skog to restructure Australian operations</w:t>
      </w:r>
      <w:r w:rsidRPr="005F57C9">
        <w:t xml:space="preserve">, Regional Media Release, 9 September. </w:t>
      </w:r>
    </w:p>
    <w:p w:rsidR="00AC2131" w:rsidRPr="005F57C9" w:rsidRDefault="00AC2131" w:rsidP="00AC2131">
      <w:pPr>
        <w:pStyle w:val="Reference"/>
      </w:pPr>
      <w:r w:rsidRPr="005F57C9">
        <w:t xml:space="preserve">Levchenko, A. A. and J. Zhang (2011), </w:t>
      </w:r>
      <w:r w:rsidRPr="005F57C9">
        <w:rPr>
          <w:i/>
        </w:rPr>
        <w:t xml:space="preserve">The Evolution of Comparative Advantage: Measurement and Welfare Implications, </w:t>
      </w:r>
      <w:r w:rsidRPr="005F57C9">
        <w:t>National Bureau of Economic Research, NBER Working Paper no. 16806, Cambridge MA.</w:t>
      </w:r>
    </w:p>
    <w:p w:rsidR="00AC2131" w:rsidRPr="005F57C9" w:rsidRDefault="00AC2131" w:rsidP="00AC2131">
      <w:pPr>
        <w:pStyle w:val="Reference"/>
      </w:pPr>
      <w:r w:rsidRPr="005F57C9">
        <w:t xml:space="preserve">MacFarlane, I. (Minister for Industry and Science) 2014a, </w:t>
      </w:r>
      <w:r w:rsidRPr="005F57C9">
        <w:rPr>
          <w:i/>
          <w:iCs/>
        </w:rPr>
        <w:t>Government delivers $50m commitment to expand higher-value manufacturing</w:t>
      </w:r>
      <w:r w:rsidRPr="005F57C9">
        <w:t>, Minister for Industry and Science, Media Release, 1 September.</w:t>
      </w:r>
    </w:p>
    <w:p w:rsidR="00AC2131" w:rsidRPr="005F57C9" w:rsidRDefault="00AC2131" w:rsidP="00AC2131">
      <w:pPr>
        <w:pStyle w:val="Reference"/>
      </w:pPr>
      <w:r w:rsidRPr="005F57C9">
        <w:t xml:space="preserve">—— 2014b, </w:t>
      </w:r>
      <w:r w:rsidRPr="005F57C9">
        <w:rPr>
          <w:i/>
        </w:rPr>
        <w:t>Business leader appointed to review Cooperative Research Centres</w:t>
      </w:r>
      <w:r w:rsidRPr="005F57C9">
        <w:t>, Media Release, 16 September.</w:t>
      </w:r>
    </w:p>
    <w:p w:rsidR="00AC2131" w:rsidRPr="005F57C9" w:rsidRDefault="00AC2131" w:rsidP="00AC2131">
      <w:pPr>
        <w:pStyle w:val="Reference"/>
      </w:pPr>
      <w:r w:rsidRPr="005F57C9">
        <w:t>—— and Birmingham, S., (Assistant Minister for Education and Training</w:t>
      </w:r>
      <w:r w:rsidRPr="005F57C9" w:rsidDel="00562300">
        <w:t xml:space="preserve"> </w:t>
      </w:r>
      <w:r w:rsidRPr="005F57C9">
        <w:t xml:space="preserve">) 2015, </w:t>
      </w:r>
      <w:r w:rsidRPr="005F57C9">
        <w:rPr>
          <w:i/>
        </w:rPr>
        <w:t>$16M investment to drive diversification in the auto supply chain</w:t>
      </w:r>
      <w:r w:rsidRPr="005F57C9">
        <w:t>, Joint Media Release, 10 March.</w:t>
      </w:r>
    </w:p>
    <w:p w:rsidR="00AC2131" w:rsidRPr="005F57C9" w:rsidRDefault="00AC2131" w:rsidP="00AC2131">
      <w:pPr>
        <w:pStyle w:val="Reference"/>
      </w:pPr>
      <w:r w:rsidRPr="005F57C9">
        <w:rPr>
          <w:rStyle w:val="DraftingNote"/>
          <w:b w:val="0"/>
          <w:color w:val="auto"/>
          <w:u w:val="none"/>
        </w:rPr>
        <w:t>MBDA (Murr</w:t>
      </w:r>
      <w:r>
        <w:rPr>
          <w:rStyle w:val="DraftingNote"/>
          <w:b w:val="0"/>
          <w:color w:val="auto"/>
          <w:u w:val="none"/>
        </w:rPr>
        <w:t>a</w:t>
      </w:r>
      <w:r w:rsidRPr="005F57C9">
        <w:rPr>
          <w:rStyle w:val="DraftingNote"/>
          <w:b w:val="0"/>
          <w:color w:val="auto"/>
          <w:u w:val="none"/>
        </w:rPr>
        <w:t xml:space="preserve">y Darling Basin Authority) 2014, </w:t>
      </w:r>
      <w:r w:rsidRPr="005F57C9">
        <w:rPr>
          <w:i/>
        </w:rPr>
        <w:t>Annual Report 2013</w:t>
      </w:r>
      <w:r w:rsidRPr="005F57C9">
        <w:rPr>
          <w:i/>
        </w:rPr>
        <w:noBreakHyphen/>
        <w:t>14</w:t>
      </w:r>
      <w:r w:rsidRPr="005F57C9">
        <w:t xml:space="preserve">, Canberra. </w:t>
      </w:r>
    </w:p>
    <w:p w:rsidR="00AC2131" w:rsidRPr="005F57C9" w:rsidRDefault="00AC2131" w:rsidP="00AC2131">
      <w:pPr>
        <w:pStyle w:val="Reference"/>
      </w:pPr>
      <w:r w:rsidRPr="005F57C9">
        <w:t xml:space="preserve">McKinsey Australia 2014, </w:t>
      </w:r>
      <w:r w:rsidRPr="005F57C9">
        <w:rPr>
          <w:i/>
        </w:rPr>
        <w:t>Compete to Prosper: Improving Australia’s global competitiveness</w:t>
      </w:r>
      <w:r w:rsidRPr="005F57C9">
        <w:t xml:space="preserve">, authors J. Lydon, D, Dyer, and C. Bradley., McKinsey. </w:t>
      </w:r>
    </w:p>
    <w:p w:rsidR="00AC2131" w:rsidRPr="005F57C9" w:rsidRDefault="00AC2131" w:rsidP="00AC2131">
      <w:pPr>
        <w:pStyle w:val="Reference"/>
      </w:pPr>
      <w:r w:rsidRPr="005F57C9">
        <w:t xml:space="preserve">Miroudot, S., Lanz, R. and Ragoussi, A. 2009 </w:t>
      </w:r>
      <w:r w:rsidRPr="005F57C9">
        <w:rPr>
          <w:i/>
        </w:rPr>
        <w:t xml:space="preserve">Trade in Intermediate Goods and Services, </w:t>
      </w:r>
      <w:r w:rsidRPr="005F57C9">
        <w:t>OECD, Working Paper no 93, Paris.</w:t>
      </w:r>
    </w:p>
    <w:p w:rsidR="00AC2131" w:rsidRPr="005F57C9" w:rsidRDefault="00AC2131" w:rsidP="00AC2131">
      <w:pPr>
        <w:pStyle w:val="Reference"/>
      </w:pPr>
      <w:r w:rsidRPr="005F57C9">
        <w:t xml:space="preserve">Murray review. </w:t>
      </w:r>
      <w:r w:rsidRPr="005F57C9">
        <w:rPr>
          <w:i/>
        </w:rPr>
        <w:t>See</w:t>
      </w:r>
      <w:r w:rsidRPr="005F57C9">
        <w:t xml:space="preserve"> Financial System Inquiry 2014.</w:t>
      </w:r>
    </w:p>
    <w:p w:rsidR="00AC2131" w:rsidRPr="005F57C9" w:rsidRDefault="00AC2131" w:rsidP="00AC2131">
      <w:pPr>
        <w:pStyle w:val="Reference"/>
      </w:pPr>
      <w:r w:rsidRPr="005F57C9">
        <w:t xml:space="preserve">Napthine, D. (former Premier, Victoria) and Ryan, P.(former Deputy Premier and Minister for Regional and Rural Development) 2014, </w:t>
      </w:r>
      <w:r w:rsidRPr="005F57C9">
        <w:rPr>
          <w:i/>
        </w:rPr>
        <w:t>Victorian coalition government makes $22 million co-investment in SPC</w:t>
      </w:r>
      <w:r w:rsidRPr="005F57C9">
        <w:t>, Media Release, 6 June.</w:t>
      </w:r>
    </w:p>
    <w:p w:rsidR="00AC2131" w:rsidRPr="005F57C9" w:rsidRDefault="00AC2131" w:rsidP="00AC2131">
      <w:pPr>
        <w:pStyle w:val="Reference"/>
      </w:pPr>
      <w:r w:rsidRPr="005F57C9">
        <w:t xml:space="preserve">OBPR (Office of Best Practice Regulation) 2014, </w:t>
      </w:r>
      <w:r w:rsidRPr="005F57C9">
        <w:rPr>
          <w:i/>
        </w:rPr>
        <w:t>Final Assessment Regulation Impact Statement – Japan Australia Economic Partnership Agreement</w:t>
      </w:r>
      <w:r w:rsidRPr="005F57C9">
        <w:t>, 9 May.</w:t>
      </w:r>
    </w:p>
    <w:p w:rsidR="00AC2131" w:rsidRPr="005F57C9" w:rsidRDefault="00AC2131" w:rsidP="00AC2131">
      <w:pPr>
        <w:pStyle w:val="Reference"/>
      </w:pPr>
      <w:r w:rsidRPr="005F57C9">
        <w:t xml:space="preserve">OECD (Organisation for Economic Cooperation and Development) 2002, ‘Intra-industry and intra-firm trade and the internationalisation of production’, in </w:t>
      </w:r>
      <w:r w:rsidRPr="005F57C9">
        <w:rPr>
          <w:i/>
        </w:rPr>
        <w:t>OECD Economic Outlook</w:t>
      </w:r>
      <w:r w:rsidRPr="005F57C9">
        <w:t xml:space="preserve">, Volume 2002, Issue 1, No. 71, June. </w:t>
      </w:r>
    </w:p>
    <w:p w:rsidR="00AC2131" w:rsidRPr="005F57C9" w:rsidRDefault="00AC2131" w:rsidP="00AC2131">
      <w:pPr>
        <w:pStyle w:val="Reference"/>
      </w:pPr>
      <w:r w:rsidRPr="005F57C9">
        <w:t xml:space="preserve">—— 2011a, </w:t>
      </w:r>
      <w:r w:rsidRPr="005F57C9">
        <w:rPr>
          <w:i/>
        </w:rPr>
        <w:t>Comparative Advantage and Trade Performance: Policy Implications</w:t>
      </w:r>
      <w:r w:rsidRPr="005F57C9">
        <w:t>, Paris.</w:t>
      </w:r>
    </w:p>
    <w:p w:rsidR="00AC2131" w:rsidRPr="005F57C9" w:rsidRDefault="00AC2131" w:rsidP="00AC2131">
      <w:pPr>
        <w:pStyle w:val="Reference"/>
      </w:pPr>
      <w:r w:rsidRPr="005F57C9">
        <w:t>—— 2011b</w:t>
      </w:r>
      <w:r w:rsidRPr="005F57C9">
        <w:rPr>
          <w:i/>
        </w:rPr>
        <w:t>, Globalisation, Comparative Advantage and the Changing Dynamics of Trade</w:t>
      </w:r>
      <w:r w:rsidRPr="005F57C9">
        <w:t>, Paris.</w:t>
      </w:r>
    </w:p>
    <w:p w:rsidR="00AC2131" w:rsidRPr="005F57C9" w:rsidRDefault="00AC2131" w:rsidP="00AC2131">
      <w:pPr>
        <w:pStyle w:val="Reference"/>
      </w:pPr>
      <w:r w:rsidRPr="005F57C9">
        <w:t>OECD/WTO 2013</w:t>
      </w:r>
      <w:r w:rsidRPr="005F57C9">
        <w:rPr>
          <w:i/>
        </w:rPr>
        <w:t>, Trade in Value Added (TIVA) Indicators: Australia</w:t>
      </w:r>
      <w:r w:rsidRPr="005F57C9">
        <w:t>, https://stats.oecd.org/index.aspx?queryid=47807</w:t>
      </w:r>
      <w:r w:rsidRPr="005F57C9" w:rsidDel="000D5090">
        <w:t xml:space="preserve"> </w:t>
      </w:r>
      <w:r w:rsidRPr="005F57C9">
        <w:t>(accessed 1 June 2015).</w:t>
      </w:r>
    </w:p>
    <w:p w:rsidR="00AC2131" w:rsidRPr="005F57C9" w:rsidRDefault="00AC2131" w:rsidP="00AC2131">
      <w:pPr>
        <w:pStyle w:val="Reference"/>
      </w:pPr>
      <w:r w:rsidRPr="005F57C9">
        <w:t>Outlook Economics 2014 (unpublished) Aus-</w:t>
      </w:r>
      <w:r w:rsidRPr="005F57C9">
        <w:rPr>
          <w:i/>
        </w:rPr>
        <w:t>M</w:t>
      </w:r>
      <w:r w:rsidRPr="005F57C9">
        <w:t xml:space="preserve">, Canberra: Outlook Economics, quoted in Australian Government 2014b, </w:t>
      </w:r>
      <w:r w:rsidRPr="005F57C9">
        <w:rPr>
          <w:i/>
        </w:rPr>
        <w:t>Industry Innovation and Competitiveness Agenda: An action plan for a stronger Australia</w:t>
      </w:r>
      <w:r w:rsidRPr="005F57C9">
        <w:t>, p. 9.</w:t>
      </w:r>
    </w:p>
    <w:p w:rsidR="00AC2131" w:rsidRPr="005F57C9" w:rsidRDefault="00AC2131" w:rsidP="00AC2131">
      <w:pPr>
        <w:pStyle w:val="Reference"/>
      </w:pPr>
      <w:r w:rsidRPr="005F57C9">
        <w:t xml:space="preserve">Parliament of the Commonwealth of Australia 2013, House of Representatives, </w:t>
      </w:r>
      <w:r w:rsidRPr="005F57C9">
        <w:rPr>
          <w:i/>
        </w:rPr>
        <w:t>Tax Laws Amendment (Research and Development) Bill 2013</w:t>
      </w:r>
      <w:r w:rsidRPr="005F57C9">
        <w:t>, Explanatory Memorandum.</w:t>
      </w:r>
    </w:p>
    <w:p w:rsidR="00AC2131" w:rsidRPr="005F57C9" w:rsidRDefault="00AC2131" w:rsidP="00AC2131">
      <w:pPr>
        <w:pStyle w:val="Reference"/>
      </w:pPr>
      <w:r w:rsidRPr="005F57C9">
        <w:t xml:space="preserve">PC (Productivity Commission) 2000, </w:t>
      </w:r>
      <w:r w:rsidRPr="005F57C9">
        <w:rPr>
          <w:i/>
        </w:rPr>
        <w:t>Trade &amp; Assistance Review 1999</w:t>
      </w:r>
      <w:r w:rsidRPr="005F57C9">
        <w:rPr>
          <w:i/>
        </w:rPr>
        <w:noBreakHyphen/>
        <w:t>2000</w:t>
      </w:r>
      <w:r w:rsidRPr="005F57C9">
        <w:t>, Annual Report Series, Canberra.</w:t>
      </w:r>
    </w:p>
    <w:p w:rsidR="00AC2131" w:rsidRPr="005F57C9" w:rsidRDefault="00AC2131" w:rsidP="00AC2131">
      <w:pPr>
        <w:pStyle w:val="Reference"/>
        <w:rPr>
          <w:color w:val="000000" w:themeColor="text1"/>
        </w:rPr>
      </w:pPr>
      <w:r w:rsidRPr="005F57C9">
        <w:t>–––– 2004a</w:t>
      </w:r>
      <w:r w:rsidRPr="005F57C9">
        <w:rPr>
          <w:color w:val="000000" w:themeColor="text1"/>
        </w:rPr>
        <w:t xml:space="preserve">, </w:t>
      </w:r>
      <w:r w:rsidRPr="005F57C9">
        <w:rPr>
          <w:i/>
          <w:color w:val="000000" w:themeColor="text1"/>
        </w:rPr>
        <w:t>Rules of Origin under the Australia-New Zealand Closer Economic Relations Trade Agreement</w:t>
      </w:r>
      <w:r w:rsidRPr="005F57C9">
        <w:rPr>
          <w:color w:val="000000" w:themeColor="text1"/>
        </w:rPr>
        <w:t xml:space="preserve">, </w:t>
      </w:r>
      <w:r w:rsidRPr="005F57C9">
        <w:t xml:space="preserve">Productivity Commission </w:t>
      </w:r>
      <w:r w:rsidRPr="005F57C9">
        <w:rPr>
          <w:color w:val="000000" w:themeColor="text1"/>
        </w:rPr>
        <w:t>Research Report, Canberra.</w:t>
      </w:r>
    </w:p>
    <w:p w:rsidR="00AC2131" w:rsidRPr="005F57C9" w:rsidRDefault="00AC2131" w:rsidP="00AC2131">
      <w:pPr>
        <w:pStyle w:val="Reference"/>
      </w:pPr>
      <w:r w:rsidRPr="005F57C9">
        <w:t xml:space="preserve">–––– 2004b, </w:t>
      </w:r>
      <w:r w:rsidRPr="005F57C9">
        <w:rPr>
          <w:i/>
        </w:rPr>
        <w:t>Trade &amp; Assistance Review 2003</w:t>
      </w:r>
      <w:r w:rsidRPr="005F57C9">
        <w:rPr>
          <w:i/>
        </w:rPr>
        <w:noBreakHyphen/>
        <w:t>04</w:t>
      </w:r>
      <w:r w:rsidRPr="005F57C9">
        <w:t>, Annual Report Series, Canberra.</w:t>
      </w:r>
    </w:p>
    <w:p w:rsidR="00AC2131" w:rsidRPr="005F57C9" w:rsidRDefault="00AC2131" w:rsidP="00AC2131">
      <w:pPr>
        <w:pStyle w:val="Reference"/>
        <w:rPr>
          <w:color w:val="000000" w:themeColor="text1"/>
        </w:rPr>
      </w:pPr>
      <w:r w:rsidRPr="005F57C9">
        <w:rPr>
          <w:color w:val="000000" w:themeColor="text1"/>
        </w:rPr>
        <w:t xml:space="preserve">—— 2007, </w:t>
      </w:r>
      <w:r w:rsidRPr="005F57C9">
        <w:rPr>
          <w:i/>
          <w:color w:val="000000" w:themeColor="text1"/>
        </w:rPr>
        <w:t>Public Support for Science and Innovation</w:t>
      </w:r>
      <w:r w:rsidRPr="005F57C9">
        <w:rPr>
          <w:color w:val="000000" w:themeColor="text1"/>
        </w:rPr>
        <w:t xml:space="preserve">, </w:t>
      </w:r>
      <w:r w:rsidRPr="005F57C9">
        <w:t xml:space="preserve">Productivity Commission </w:t>
      </w:r>
      <w:r w:rsidRPr="005F57C9">
        <w:rPr>
          <w:color w:val="000000" w:themeColor="text1"/>
        </w:rPr>
        <w:t>Research Report, Canberra.</w:t>
      </w:r>
    </w:p>
    <w:p w:rsidR="00AC2131" w:rsidRPr="005F57C9" w:rsidRDefault="00AC2131" w:rsidP="00AC2131">
      <w:pPr>
        <w:pStyle w:val="Reference"/>
      </w:pPr>
      <w:r w:rsidRPr="005F57C9">
        <w:t xml:space="preserve">–––– 2008, </w:t>
      </w:r>
      <w:r w:rsidRPr="005F57C9">
        <w:rPr>
          <w:i/>
        </w:rPr>
        <w:t>The ‘2001-02’ series of assistance estimates</w:t>
      </w:r>
      <w:r w:rsidRPr="005F57C9">
        <w:t>, Methodological Annex to Trade &amp; Assistance Review 2005</w:t>
      </w:r>
      <w:r w:rsidRPr="005F57C9">
        <w:noBreakHyphen/>
        <w:t>06 and 2006</w:t>
      </w:r>
      <w:r w:rsidRPr="005F57C9">
        <w:noBreakHyphen/>
        <w:t xml:space="preserve">07, Canberra. </w:t>
      </w:r>
    </w:p>
    <w:p w:rsidR="00AC2131" w:rsidRPr="005F57C9" w:rsidRDefault="00AC2131" w:rsidP="00AC2131">
      <w:pPr>
        <w:pStyle w:val="Reference"/>
      </w:pPr>
      <w:r w:rsidRPr="005F57C9">
        <w:t xml:space="preserve">—— 2009a, </w:t>
      </w:r>
      <w:r w:rsidRPr="005F57C9">
        <w:rPr>
          <w:i/>
        </w:rPr>
        <w:t>Government Drought Support,</w:t>
      </w:r>
      <w:r w:rsidRPr="005F57C9">
        <w:t xml:space="preserve"> Inquiry Report no. 46, Final Inquiry Report, Melbourne.</w:t>
      </w:r>
    </w:p>
    <w:p w:rsidR="00AC2131" w:rsidRPr="005F57C9" w:rsidRDefault="00AC2131" w:rsidP="00AC2131">
      <w:pPr>
        <w:pStyle w:val="Reference"/>
      </w:pPr>
      <w:r w:rsidRPr="005F57C9">
        <w:t xml:space="preserve">—— 2009b, </w:t>
      </w:r>
      <w:r w:rsidRPr="005F57C9">
        <w:rPr>
          <w:i/>
        </w:rPr>
        <w:t>Trade &amp; Assistance Review 2007</w:t>
      </w:r>
      <w:r w:rsidRPr="005F57C9">
        <w:rPr>
          <w:i/>
        </w:rPr>
        <w:noBreakHyphen/>
        <w:t xml:space="preserve">08, </w:t>
      </w:r>
      <w:r w:rsidRPr="005F57C9">
        <w:t>Annual Report Series, Canberra.</w:t>
      </w:r>
    </w:p>
    <w:p w:rsidR="00AC2131" w:rsidRPr="005F57C9" w:rsidRDefault="00AC2131" w:rsidP="00AC2131">
      <w:pPr>
        <w:pStyle w:val="Reference"/>
      </w:pPr>
      <w:r w:rsidRPr="005F57C9">
        <w:t xml:space="preserve">—— 2010a, </w:t>
      </w:r>
      <w:r w:rsidRPr="005F57C9">
        <w:rPr>
          <w:i/>
        </w:rPr>
        <w:t>Bilateral and Regional Trade Agreements</w:t>
      </w:r>
      <w:r w:rsidRPr="005F57C9">
        <w:t>, Productivity Commission Research Report, Canberra.</w:t>
      </w:r>
    </w:p>
    <w:p w:rsidR="00AC2131" w:rsidRPr="005F57C9" w:rsidRDefault="00AC2131" w:rsidP="00AC2131">
      <w:pPr>
        <w:pStyle w:val="Reference"/>
      </w:pPr>
      <w:r w:rsidRPr="005F57C9">
        <w:t xml:space="preserve">—— 2010b, </w:t>
      </w:r>
      <w:r w:rsidRPr="005F57C9">
        <w:rPr>
          <w:i/>
        </w:rPr>
        <w:t>Impacts and Benefits of COAG Reforms: Reporting Framework</w:t>
      </w:r>
      <w:r w:rsidRPr="005F57C9">
        <w:t xml:space="preserve">, Productivity Commission Research Report, Canberra. </w:t>
      </w:r>
    </w:p>
    <w:p w:rsidR="00AC2131" w:rsidRPr="005F57C9" w:rsidRDefault="00AC2131" w:rsidP="00AC2131">
      <w:pPr>
        <w:pStyle w:val="Reference"/>
      </w:pPr>
      <w:r w:rsidRPr="005F57C9">
        <w:t xml:space="preserve">—— 2011a, </w:t>
      </w:r>
      <w:r w:rsidRPr="005F57C9">
        <w:rPr>
          <w:i/>
        </w:rPr>
        <w:t>Rural Research and Development Corporations</w:t>
      </w:r>
      <w:r w:rsidRPr="005F57C9">
        <w:t xml:space="preserve">, Inquiry Report, no. 52, Canberra. </w:t>
      </w:r>
    </w:p>
    <w:p w:rsidR="00AC2131" w:rsidRPr="005F57C9" w:rsidRDefault="00AC2131" w:rsidP="00AC2131">
      <w:pPr>
        <w:pStyle w:val="Reference"/>
      </w:pPr>
      <w:r w:rsidRPr="005F57C9">
        <w:t>––––</w:t>
      </w:r>
      <w:r w:rsidRPr="005F57C9">
        <w:rPr>
          <w:color w:val="000000" w:themeColor="text1"/>
        </w:rPr>
        <w:t> </w:t>
      </w:r>
      <w:r w:rsidRPr="005F57C9">
        <w:t xml:space="preserve">2011b, </w:t>
      </w:r>
      <w:r w:rsidRPr="005F57C9">
        <w:rPr>
          <w:i/>
        </w:rPr>
        <w:t>Trade &amp; Assistance Review 2009</w:t>
      </w:r>
      <w:r w:rsidRPr="005F57C9">
        <w:rPr>
          <w:i/>
        </w:rPr>
        <w:noBreakHyphen/>
        <w:t>10</w:t>
      </w:r>
      <w:r w:rsidRPr="005F57C9">
        <w:t>, Annual Report Series, Canberra.</w:t>
      </w:r>
    </w:p>
    <w:p w:rsidR="00AC2131" w:rsidRPr="005F57C9" w:rsidRDefault="00AC2131" w:rsidP="00AC2131">
      <w:pPr>
        <w:pStyle w:val="Reference"/>
      </w:pPr>
      <w:r w:rsidRPr="005F57C9">
        <w:t xml:space="preserve">—— 2012a, </w:t>
      </w:r>
      <w:r w:rsidRPr="005F57C9">
        <w:rPr>
          <w:i/>
        </w:rPr>
        <w:t>Australia’s Export Credit Arrangements</w:t>
      </w:r>
      <w:r w:rsidRPr="005F57C9">
        <w:t>, Inquiry Report no. 58, Canberra.</w:t>
      </w:r>
    </w:p>
    <w:p w:rsidR="00AC2131" w:rsidRPr="005F57C9" w:rsidRDefault="00AC2131" w:rsidP="00AC2131">
      <w:pPr>
        <w:pStyle w:val="Reference"/>
      </w:pPr>
      <w:r w:rsidRPr="005F57C9">
        <w:t>––––</w:t>
      </w:r>
      <w:r w:rsidRPr="005F57C9">
        <w:rPr>
          <w:color w:val="000000" w:themeColor="text1"/>
        </w:rPr>
        <w:t> </w:t>
      </w:r>
      <w:r w:rsidRPr="005F57C9">
        <w:t xml:space="preserve">2012b, </w:t>
      </w:r>
      <w:r w:rsidRPr="005F57C9">
        <w:rPr>
          <w:i/>
        </w:rPr>
        <w:t>Trade &amp; Assistance Review 2010-11</w:t>
      </w:r>
      <w:r w:rsidRPr="005F57C9">
        <w:t>, Annual Report Series, Canberra.</w:t>
      </w:r>
    </w:p>
    <w:p w:rsidR="00AC2131" w:rsidRPr="005F57C9" w:rsidRDefault="00AC2131" w:rsidP="00AC2131">
      <w:pPr>
        <w:pStyle w:val="Reference"/>
      </w:pPr>
      <w:r w:rsidRPr="005F57C9">
        <w:t>––––</w:t>
      </w:r>
      <w:r w:rsidRPr="005F57C9">
        <w:rPr>
          <w:color w:val="000000" w:themeColor="text1"/>
        </w:rPr>
        <w:t> </w:t>
      </w:r>
      <w:r w:rsidRPr="005F57C9">
        <w:t xml:space="preserve">2013, </w:t>
      </w:r>
      <w:r w:rsidRPr="005F57C9">
        <w:rPr>
          <w:i/>
        </w:rPr>
        <w:t>Trade &amp; Assistance Review 2011-12</w:t>
      </w:r>
      <w:r w:rsidRPr="005F57C9">
        <w:t>, Annual Report Series, Canberra.</w:t>
      </w:r>
    </w:p>
    <w:p w:rsidR="00AC2131" w:rsidRPr="005F57C9" w:rsidRDefault="00AC2131" w:rsidP="00AC2131">
      <w:pPr>
        <w:pStyle w:val="Reference"/>
      </w:pPr>
      <w:r w:rsidRPr="005F57C9">
        <w:t xml:space="preserve">—— 2014a, </w:t>
      </w:r>
      <w:r w:rsidRPr="005F57C9">
        <w:rPr>
          <w:i/>
        </w:rPr>
        <w:t>Australia’s Automotive Manufacturing</w:t>
      </w:r>
      <w:r w:rsidRPr="005F57C9">
        <w:t xml:space="preserve"> </w:t>
      </w:r>
      <w:r w:rsidRPr="005F57C9">
        <w:rPr>
          <w:i/>
        </w:rPr>
        <w:t>Industry</w:t>
      </w:r>
      <w:r w:rsidRPr="005F57C9">
        <w:t>, Inquiry Report no. 70, Canberra.</w:t>
      </w:r>
    </w:p>
    <w:p w:rsidR="00AC2131" w:rsidRPr="005F57C9" w:rsidRDefault="00AC2131" w:rsidP="00AC2131">
      <w:pPr>
        <w:pStyle w:val="Reference"/>
      </w:pPr>
      <w:r w:rsidRPr="005F57C9">
        <w:t>––––</w:t>
      </w:r>
      <w:r w:rsidRPr="005F57C9">
        <w:rPr>
          <w:color w:val="000000" w:themeColor="text1"/>
        </w:rPr>
        <w:t> </w:t>
      </w:r>
      <w:r w:rsidRPr="005F57C9">
        <w:t xml:space="preserve">2014b, </w:t>
      </w:r>
      <w:r w:rsidRPr="005F57C9">
        <w:rPr>
          <w:i/>
        </w:rPr>
        <w:t>Methodological Annex: Estimation Framework, Coverage and Re-benchmarking of Estimates</w:t>
      </w:r>
      <w:r w:rsidRPr="005F57C9">
        <w:t>, Trade &amp; Assistance Review 2011</w:t>
      </w:r>
      <w:r w:rsidRPr="005F57C9">
        <w:noBreakHyphen/>
        <w:t xml:space="preserve">12, Canberra. </w:t>
      </w:r>
    </w:p>
    <w:p w:rsidR="00AC2131" w:rsidRPr="005F57C9" w:rsidRDefault="00AC2131" w:rsidP="00AC2131">
      <w:pPr>
        <w:pStyle w:val="Reference"/>
        <w:rPr>
          <w:rFonts w:ascii="TimesNewRomanPSMT" w:hAnsi="TimesNewRomanPSMT" w:cs="TimesNewRomanPSMT"/>
          <w:szCs w:val="26"/>
        </w:rPr>
      </w:pPr>
      <w:r w:rsidRPr="005F57C9">
        <w:rPr>
          <w:color w:val="000000" w:themeColor="text1"/>
        </w:rPr>
        <w:t>–––– </w:t>
      </w:r>
      <w:r w:rsidRPr="005F57C9">
        <w:t>2014c,</w:t>
      </w:r>
      <w:r w:rsidRPr="005F57C9">
        <w:rPr>
          <w:i/>
        </w:rPr>
        <w:t xml:space="preserve"> </w:t>
      </w:r>
      <w:r w:rsidRPr="005F57C9">
        <w:rPr>
          <w:rFonts w:ascii="TimesNewRomanPSMT" w:hAnsi="TimesNewRomanPSMT" w:cs="TimesNewRomanPSMT"/>
          <w:i/>
          <w:szCs w:val="26"/>
        </w:rPr>
        <w:t>Natural Disaster Funding Arrangements</w:t>
      </w:r>
      <w:r w:rsidRPr="005F57C9">
        <w:rPr>
          <w:rFonts w:ascii="TimesNewRomanPSMT" w:hAnsi="TimesNewRomanPSMT" w:cs="TimesNewRomanPSMT"/>
          <w:szCs w:val="26"/>
        </w:rPr>
        <w:t>, Inquiry Report no. 74, Canberra.</w:t>
      </w:r>
    </w:p>
    <w:p w:rsidR="00AC2131" w:rsidRPr="005F57C9" w:rsidRDefault="00AC2131" w:rsidP="00AC2131">
      <w:pPr>
        <w:pStyle w:val="Reference"/>
      </w:pPr>
      <w:r w:rsidRPr="005F57C9">
        <w:t xml:space="preserve">—— 2014d, </w:t>
      </w:r>
      <w:r w:rsidRPr="005F57C9">
        <w:rPr>
          <w:i/>
        </w:rPr>
        <w:t>Relative Costs of Doing Business in Australia: Dairy Product Manufacturing</w:t>
      </w:r>
      <w:r w:rsidRPr="005F57C9">
        <w:t>,</w:t>
      </w:r>
      <w:r w:rsidRPr="005F57C9">
        <w:rPr>
          <w:i/>
        </w:rPr>
        <w:t xml:space="preserve"> </w:t>
      </w:r>
      <w:r w:rsidRPr="005F57C9">
        <w:t xml:space="preserve">Productivity Commission Research Report, Melbourne. </w:t>
      </w:r>
    </w:p>
    <w:p w:rsidR="00AC2131" w:rsidRPr="005F57C9" w:rsidRDefault="00AC2131" w:rsidP="00AC2131">
      <w:pPr>
        <w:pStyle w:val="Reference"/>
      </w:pPr>
      <w:r w:rsidRPr="005F57C9">
        <w:t xml:space="preserve">—— 2014e, </w:t>
      </w:r>
      <w:r w:rsidRPr="005F57C9">
        <w:rPr>
          <w:i/>
        </w:rPr>
        <w:t>Relative Costs of Doing Business in Australia: Retail Trade</w:t>
      </w:r>
      <w:r w:rsidRPr="005F57C9">
        <w:t xml:space="preserve">, Productivity Commission Research Report, Melbourne. </w:t>
      </w:r>
    </w:p>
    <w:p w:rsidR="00AC2131" w:rsidRPr="005F57C9" w:rsidRDefault="00AC2131" w:rsidP="00AC2131">
      <w:pPr>
        <w:pStyle w:val="Reference"/>
      </w:pPr>
      <w:r w:rsidRPr="005F57C9">
        <w:t xml:space="preserve">—— 2014f, </w:t>
      </w:r>
      <w:r w:rsidRPr="005F57C9">
        <w:rPr>
          <w:i/>
        </w:rPr>
        <w:t>Tasmanian Shipping and Freight</w:t>
      </w:r>
      <w:r w:rsidRPr="005F57C9">
        <w:t>, Inquiry Report no. 69, Canberra.</w:t>
      </w:r>
    </w:p>
    <w:p w:rsidR="00AC2131" w:rsidRPr="005F57C9" w:rsidRDefault="00AC2131" w:rsidP="00AC2131">
      <w:pPr>
        <w:pStyle w:val="Reference"/>
      </w:pPr>
      <w:r w:rsidRPr="005F57C9">
        <w:t xml:space="preserve">—— 2014g, </w:t>
      </w:r>
      <w:r w:rsidRPr="005F57C9">
        <w:rPr>
          <w:i/>
          <w:iCs/>
        </w:rPr>
        <w:t>Trade &amp; Assistance Review 2012-13</w:t>
      </w:r>
      <w:r w:rsidRPr="005F57C9">
        <w:t>, Annual Report Series, Canberra.</w:t>
      </w:r>
    </w:p>
    <w:p w:rsidR="00AC2131" w:rsidRPr="005F57C9" w:rsidRDefault="00AC2131" w:rsidP="00AC2131">
      <w:pPr>
        <w:pStyle w:val="Reference"/>
      </w:pPr>
      <w:r w:rsidRPr="005F57C9">
        <w:t xml:space="preserve">PMI (Philip Morris International) 2014, </w:t>
      </w:r>
      <w:r w:rsidRPr="005F57C9">
        <w:rPr>
          <w:i/>
        </w:rPr>
        <w:t>Bilateral Investment Treaty (BIT) Arbitration</w:t>
      </w:r>
      <w:r w:rsidRPr="005F57C9">
        <w:t xml:space="preserve">, Company Statement, </w:t>
      </w:r>
      <w:r w:rsidRPr="0023316C">
        <w:t>http://www.pmi.com/eng/media_center/company_statements/ Pages/bilateral_investment_treaty.aspx#</w:t>
      </w:r>
      <w:r w:rsidRPr="005F57C9">
        <w:t xml:space="preserve"> (accessed 2 December 2014).</w:t>
      </w:r>
    </w:p>
    <w:p w:rsidR="00AC2131" w:rsidRPr="005F57C9" w:rsidRDefault="00AC2131" w:rsidP="00AC2131">
      <w:pPr>
        <w:pStyle w:val="Reference"/>
      </w:pPr>
      <w:r w:rsidRPr="005F57C9">
        <w:t xml:space="preserve">Primary Industries and Regions SA 2014, </w:t>
      </w:r>
      <w:r w:rsidRPr="005F57C9">
        <w:rPr>
          <w:i/>
          <w:iCs/>
        </w:rPr>
        <w:t>South Australian River Murray Sustainability Irrigation Industry Improvement Program (3IP)</w:t>
      </w:r>
      <w:r w:rsidRPr="005F57C9">
        <w:t>, Government of South Australia, http://www.pir.sa.gov.au/__data/assets/pdf_file/0003/225246/sarms3ip-guidelines_new.pdf (accessed 3 February 2015).</w:t>
      </w:r>
    </w:p>
    <w:p w:rsidR="00AC2131" w:rsidRPr="005F57C9" w:rsidRDefault="00AC2131" w:rsidP="00AC2131">
      <w:pPr>
        <w:pStyle w:val="Reference"/>
      </w:pPr>
      <w:r w:rsidRPr="005F57C9">
        <w:t xml:space="preserve">PriceWatehouseCoopers (PwC) 2013, ‘Industry Sectors: Analysis and Forecasting’, Report to Department of Industry, Innovation, Climate Change, Science, Research and Tertiary Education, </w:t>
      </w:r>
      <w:r w:rsidRPr="005F57C9">
        <w:rPr>
          <w:rStyle w:val="HTMLCite"/>
        </w:rPr>
        <w:t>industry.gov.au/industry/.../PwC-Report-on-15-Industry-Sectors.pdf (accessed 5 June 2015)</w:t>
      </w:r>
      <w:r w:rsidRPr="005F57C9">
        <w:t>.</w:t>
      </w:r>
    </w:p>
    <w:p w:rsidR="00AC2131" w:rsidRPr="005F57C9" w:rsidRDefault="00AC2131" w:rsidP="00AC2131">
      <w:pPr>
        <w:pStyle w:val="Reference"/>
      </w:pPr>
      <w:r w:rsidRPr="005F57C9">
        <w:t xml:space="preserve">RBA (Reserve Bank of Australia) 2014, </w:t>
      </w:r>
      <w:r w:rsidRPr="005F57C9">
        <w:rPr>
          <w:i/>
        </w:rPr>
        <w:t>New Measures to Facilitate the Development of the Renminbi Market in Australia</w:t>
      </w:r>
      <w:r w:rsidRPr="005F57C9">
        <w:t>, Media Release, 2014-20, 17 November.</w:t>
      </w:r>
    </w:p>
    <w:p w:rsidR="00AC2131" w:rsidRPr="005F57C9" w:rsidRDefault="00AC2131" w:rsidP="00AC2131">
      <w:pPr>
        <w:pStyle w:val="Reference"/>
      </w:pPr>
      <w:r w:rsidRPr="005F57C9">
        <w:t xml:space="preserve">RCEP (Regional Comprehensive Economic Partnership) 2014, </w:t>
      </w:r>
      <w:r w:rsidRPr="005F57C9">
        <w:rPr>
          <w:i/>
        </w:rPr>
        <w:t>The Second Regional Comprehensive Economic Partnership (RCEP) Ministerial Meeting</w:t>
      </w:r>
      <w:r>
        <w:rPr>
          <w:i/>
        </w:rPr>
        <w:t xml:space="preserve"> </w:t>
      </w:r>
      <w:r w:rsidRPr="005F57C9">
        <w:rPr>
          <w:i/>
        </w:rPr>
        <w:t>Joint Media Statement, 27 August, Nay Pyi Taw Myanmar, at</w:t>
      </w:r>
      <w:r>
        <w:rPr>
          <w:i/>
        </w:rPr>
        <w:t xml:space="preserve"> </w:t>
      </w:r>
      <w:r w:rsidRPr="0023316C">
        <w:t>http://www.dfat.gov.au/fta/rcep/140827-joint-statement.html</w:t>
      </w:r>
      <w:r w:rsidRPr="005F57C9">
        <w:t xml:space="preserve"> (accessed 4 December 2014).</w:t>
      </w:r>
    </w:p>
    <w:p w:rsidR="00AC2131" w:rsidRPr="005F57C9" w:rsidRDefault="00AC2131" w:rsidP="00AC2131">
      <w:pPr>
        <w:pStyle w:val="Reference"/>
        <w:rPr>
          <w:i/>
        </w:rPr>
      </w:pPr>
      <w:r w:rsidRPr="005F57C9">
        <w:t xml:space="preserve">Riccaboni, M. and Shiavo, S. 2013, </w:t>
      </w:r>
      <w:r w:rsidRPr="005F57C9">
        <w:rPr>
          <w:i/>
        </w:rPr>
        <w:t xml:space="preserve">Stochastic Trade Networks, </w:t>
      </w:r>
      <w:r w:rsidRPr="005F57C9">
        <w:t>Institute For Advanced Studies Lucca, Working Paper no 01</w:t>
      </w:r>
      <w:r w:rsidRPr="005F57C9">
        <w:rPr>
          <w:i/>
        </w:rPr>
        <w:t>.</w:t>
      </w:r>
    </w:p>
    <w:p w:rsidR="00AC2131" w:rsidRPr="005F57C9" w:rsidRDefault="00AC2131" w:rsidP="00AC2131">
      <w:pPr>
        <w:pStyle w:val="Reference"/>
      </w:pPr>
      <w:r w:rsidRPr="005F57C9">
        <w:t xml:space="preserve">Robb, A. (Minister for Trade and Investment) 2014a, Australian </w:t>
      </w:r>
      <w:r w:rsidRPr="005F57C9">
        <w:rPr>
          <w:i/>
        </w:rPr>
        <w:t>Government’s Statement of Expectations for the Export Finance and Insurance Corporation</w:t>
      </w:r>
      <w:r w:rsidRPr="005F57C9">
        <w:t xml:space="preserve">, 13 November, </w:t>
      </w:r>
      <w:r w:rsidRPr="0023316C">
        <w:t>http://www.efic.gov.au/media/2162/efic_soe_february_2015.pdf</w:t>
      </w:r>
      <w:r w:rsidRPr="005F57C9">
        <w:t xml:space="preserve"> (accessed 9 April 2015).</w:t>
      </w:r>
    </w:p>
    <w:p w:rsidR="00AC2131" w:rsidRPr="005F57C9" w:rsidRDefault="00AC2131" w:rsidP="00AC2131">
      <w:pPr>
        <w:pStyle w:val="Reference"/>
      </w:pPr>
      <w:r w:rsidRPr="005F57C9">
        <w:t xml:space="preserve">—— 2014b, </w:t>
      </w:r>
      <w:r w:rsidRPr="005F57C9">
        <w:rPr>
          <w:i/>
        </w:rPr>
        <w:t>Government sets it sights on new trade deal</w:t>
      </w:r>
      <w:r w:rsidRPr="005F57C9">
        <w:t>, Media release, 14 November.</w:t>
      </w:r>
    </w:p>
    <w:p w:rsidR="00AC2131" w:rsidRPr="005F57C9" w:rsidRDefault="00AC2131" w:rsidP="00AC2131">
      <w:pPr>
        <w:pStyle w:val="Reference"/>
      </w:pPr>
      <w:r w:rsidRPr="005F57C9">
        <w:t xml:space="preserve">—— 2014c, </w:t>
      </w:r>
      <w:r w:rsidRPr="005F57C9">
        <w:rPr>
          <w:i/>
        </w:rPr>
        <w:t>Landmark China-Australia Free Trade Agreement</w:t>
      </w:r>
      <w:r w:rsidRPr="005F57C9">
        <w:t>, Media Release, 17 November.</w:t>
      </w:r>
    </w:p>
    <w:p w:rsidR="00AC2131" w:rsidRPr="005F57C9" w:rsidRDefault="00AC2131" w:rsidP="00AC2131">
      <w:pPr>
        <w:pStyle w:val="Reference"/>
      </w:pPr>
      <w:r w:rsidRPr="005F57C9">
        <w:t xml:space="preserve">—— 2014d, </w:t>
      </w:r>
      <w:r w:rsidRPr="005F57C9">
        <w:rPr>
          <w:i/>
          <w:iCs/>
        </w:rPr>
        <w:t>Robb announces review appointee</w:t>
      </w:r>
      <w:r w:rsidRPr="005F57C9">
        <w:t>, Media Release, 10 December.</w:t>
      </w:r>
    </w:p>
    <w:p w:rsidR="00AC2131" w:rsidRPr="005F57C9" w:rsidRDefault="00AC2131" w:rsidP="00AC2131">
      <w:pPr>
        <w:pStyle w:val="Reference"/>
      </w:pPr>
      <w:r w:rsidRPr="005F57C9">
        <w:t>—— 2014e, Signature of AANZFTA Protocol, Media Release, 27 August.</w:t>
      </w:r>
    </w:p>
    <w:p w:rsidR="00AC2131" w:rsidRPr="005F57C9" w:rsidRDefault="00AC2131" w:rsidP="00AC2131">
      <w:pPr>
        <w:pStyle w:val="Reference"/>
      </w:pPr>
      <w:r w:rsidRPr="005F57C9">
        <w:t xml:space="preserve">—— 2014f, </w:t>
      </w:r>
      <w:r w:rsidRPr="005F57C9">
        <w:rPr>
          <w:i/>
        </w:rPr>
        <w:t>Statement of the Ministers and Heads of Delegation for the Trans-Pacific Partnership countries</w:t>
      </w:r>
      <w:r w:rsidRPr="005F57C9">
        <w:t>, Statement, 27 October</w:t>
      </w:r>
    </w:p>
    <w:p w:rsidR="00AC2131" w:rsidRPr="005F57C9" w:rsidRDefault="00AC2131" w:rsidP="00AC2131">
      <w:pPr>
        <w:pStyle w:val="Reference"/>
      </w:pPr>
      <w:r w:rsidRPr="005F57C9">
        <w:t xml:space="preserve">—— 2015a, </w:t>
      </w:r>
      <w:r w:rsidRPr="005F57C9">
        <w:rPr>
          <w:i/>
        </w:rPr>
        <w:t>Cadbury Funding Application Withdrawn</w:t>
      </w:r>
      <w:r w:rsidRPr="005F57C9">
        <w:t>, Media Release, 5 March.</w:t>
      </w:r>
    </w:p>
    <w:p w:rsidR="00AC2131" w:rsidRPr="005F57C9" w:rsidRDefault="00AC2131" w:rsidP="00AC2131">
      <w:pPr>
        <w:pStyle w:val="Reference"/>
      </w:pPr>
      <w:r w:rsidRPr="005F57C9">
        <w:t xml:space="preserve">—— 2015b, </w:t>
      </w:r>
      <w:r w:rsidRPr="005F57C9">
        <w:rPr>
          <w:i/>
        </w:rPr>
        <w:t>Robb strongly rejects TPP scaremongering</w:t>
      </w:r>
      <w:r w:rsidRPr="005F57C9">
        <w:t xml:space="preserve">, Media Release, 3 March. </w:t>
      </w:r>
    </w:p>
    <w:p w:rsidR="00AC2131" w:rsidRPr="005F57C9" w:rsidRDefault="00AC2131" w:rsidP="00AC2131">
      <w:pPr>
        <w:pStyle w:val="Reference"/>
      </w:pPr>
      <w:r w:rsidRPr="005F57C9">
        <w:t xml:space="preserve">—— and Billson, B. (Minister for Small Business) 2014, </w:t>
      </w:r>
      <w:r w:rsidRPr="005F57C9">
        <w:rPr>
          <w:i/>
          <w:iCs/>
        </w:rPr>
        <w:t>$50m boost to help small businesses exports</w:t>
      </w:r>
      <w:r w:rsidRPr="005F57C9">
        <w:t>. Joint Media Release, 6 March.</w:t>
      </w:r>
    </w:p>
    <w:p w:rsidR="00AC2131" w:rsidRPr="005F57C9" w:rsidRDefault="00AC2131" w:rsidP="00AC2131">
      <w:pPr>
        <w:pStyle w:val="Reference"/>
      </w:pPr>
      <w:r w:rsidRPr="005F57C9">
        <w:t xml:space="preserve">SCFTAAUSA (Select Committee on the Free Trade Agreement between Australia and the United States of America) 2004, </w:t>
      </w:r>
      <w:r w:rsidRPr="005F57C9">
        <w:rPr>
          <w:i/>
        </w:rPr>
        <w:t>Final Report</w:t>
      </w:r>
      <w:r w:rsidRPr="005F57C9">
        <w:t>, August.</w:t>
      </w:r>
    </w:p>
    <w:p w:rsidR="00AC2131" w:rsidRPr="005F57C9" w:rsidRDefault="00AC2131" w:rsidP="00AC2131">
      <w:pPr>
        <w:pStyle w:val="Reference"/>
      </w:pPr>
      <w:r w:rsidRPr="005F57C9">
        <w:t xml:space="preserve">SFADTLC (Senate Foreign Affairs, Defence and Trade Legislation Committee) 2014, </w:t>
      </w:r>
      <w:r w:rsidRPr="005F57C9">
        <w:rPr>
          <w:i/>
        </w:rPr>
        <w:t>Trade and Foreign Investment (Protecting the Public Interest) Bill 2014</w:t>
      </w:r>
      <w:r w:rsidRPr="005F57C9">
        <w:t>, Final Report August.</w:t>
      </w:r>
    </w:p>
    <w:p w:rsidR="00AC2131" w:rsidRPr="005F57C9" w:rsidRDefault="00AC2131" w:rsidP="00AC2131">
      <w:pPr>
        <w:pStyle w:val="Reference"/>
      </w:pPr>
      <w:r w:rsidRPr="005F57C9">
        <w:t xml:space="preserve">Shikher, S. 2013, ‘Determinants of trade and specialization in the organization for Economic Co-operation and Development Countries’, </w:t>
      </w:r>
      <w:r w:rsidRPr="005F57C9">
        <w:rPr>
          <w:i/>
        </w:rPr>
        <w:t>Economic Inquiry</w:t>
      </w:r>
      <w:r w:rsidRPr="005F57C9">
        <w:t xml:space="preserve">, Vol. 51, Issue 1, pp. 138-158, January. </w:t>
      </w:r>
    </w:p>
    <w:p w:rsidR="00AC2131" w:rsidRPr="005F57C9" w:rsidRDefault="00AC2131" w:rsidP="00AC2131">
      <w:pPr>
        <w:pStyle w:val="Reference"/>
      </w:pPr>
      <w:r w:rsidRPr="005F57C9">
        <w:t xml:space="preserve">Simplot Australia 2012, </w:t>
      </w:r>
      <w:r w:rsidRPr="005F57C9">
        <w:rPr>
          <w:i/>
        </w:rPr>
        <w:t>Simplot announces the completion of its cogeneration plant at Ulverstone</w:t>
      </w:r>
      <w:r w:rsidRPr="005F57C9">
        <w:t>, Media release, 6 December.</w:t>
      </w:r>
    </w:p>
    <w:p w:rsidR="00AC2131" w:rsidRPr="005F57C9" w:rsidRDefault="00AC2131" w:rsidP="00AC2131">
      <w:pPr>
        <w:pStyle w:val="Reference"/>
      </w:pPr>
      <w:r w:rsidRPr="005F57C9" w:rsidDel="001271AD">
        <w:t>Tasmanian Government</w:t>
      </w:r>
      <w:r w:rsidRPr="005F57C9">
        <w:t> </w:t>
      </w:r>
      <w:r w:rsidRPr="005F57C9" w:rsidDel="001271AD">
        <w:t xml:space="preserve">2012, </w:t>
      </w:r>
      <w:r w:rsidRPr="005F57C9" w:rsidDel="001271AD">
        <w:rPr>
          <w:i/>
        </w:rPr>
        <w:t>Funding support for growth in the dairy industry</w:t>
      </w:r>
      <w:r w:rsidRPr="005F57C9" w:rsidDel="001271AD">
        <w:t>, News Item, 15 June</w:t>
      </w:r>
      <w:r w:rsidRPr="005F57C9">
        <w:t xml:space="preserve">. </w:t>
      </w:r>
    </w:p>
    <w:p w:rsidR="00AC2131" w:rsidRPr="005F57C9" w:rsidRDefault="00AC2131" w:rsidP="00AC2131">
      <w:pPr>
        <w:pStyle w:val="Reference"/>
      </w:pPr>
      <w:r w:rsidRPr="005F57C9">
        <w:t>Timmer, M., Erumban, A. A.,</w:t>
      </w:r>
      <w:r w:rsidRPr="005F57C9">
        <w:rPr>
          <w:i/>
        </w:rPr>
        <w:t xml:space="preserve"> </w:t>
      </w:r>
      <w:r w:rsidRPr="005F57C9">
        <w:t xml:space="preserve">Los, B., Stehrer, R. and Vries, G. de, 2014, ‘Slicing Up Global Value Chains,’ </w:t>
      </w:r>
      <w:r w:rsidRPr="005F57C9">
        <w:rPr>
          <w:i/>
        </w:rPr>
        <w:t xml:space="preserve">Journal of Economic Perspectives, </w:t>
      </w:r>
      <w:r w:rsidRPr="005F57C9">
        <w:t>vol. 28, no. 2, pp. 99-118.</w:t>
      </w:r>
    </w:p>
    <w:p w:rsidR="00AC2131" w:rsidRPr="005F57C9" w:rsidRDefault="00AC2131" w:rsidP="00AC2131">
      <w:pPr>
        <w:pStyle w:val="Reference"/>
      </w:pPr>
      <w:r w:rsidRPr="005F57C9">
        <w:t xml:space="preserve">Treasury 2001, </w:t>
      </w:r>
      <w:r w:rsidRPr="005F57C9">
        <w:rPr>
          <w:i/>
        </w:rPr>
        <w:t>History of Fuel Taxation in Australia</w:t>
      </w:r>
      <w:r w:rsidRPr="005F57C9">
        <w:t xml:space="preserve">, Background paper to the Fuel Taxation Inquiry, March. </w:t>
      </w:r>
    </w:p>
    <w:p w:rsidR="00AC2131" w:rsidRPr="005F57C9" w:rsidRDefault="00AC2131" w:rsidP="00AC2131">
      <w:pPr>
        <w:pStyle w:val="Reference"/>
      </w:pPr>
      <w:r w:rsidRPr="005F57C9">
        <w:t xml:space="preserve">Truss, W. (Minister for Infrastructure and Regional Development) and Abbott, T. (Prime Minister) 2015, </w:t>
      </w:r>
      <w:r w:rsidRPr="005F57C9">
        <w:rPr>
          <w:i/>
        </w:rPr>
        <w:t>Boosting Tasmanian Business, Investment and Jobs</w:t>
      </w:r>
      <w:r w:rsidRPr="005F57C9">
        <w:t xml:space="preserve">, Media release, 13 March. </w:t>
      </w:r>
    </w:p>
    <w:p w:rsidR="00AC2131" w:rsidRPr="005F57C9" w:rsidRDefault="00AC2131" w:rsidP="00AC2131">
      <w:pPr>
        <w:pStyle w:val="Reference"/>
      </w:pPr>
      <w:r w:rsidRPr="005F57C9">
        <w:t xml:space="preserve">Turnbull, M. (Minister for Communications) 2014a, </w:t>
      </w:r>
      <w:r w:rsidRPr="005F57C9">
        <w:rPr>
          <w:i/>
          <w:iCs/>
        </w:rPr>
        <w:t>New measures to tackle online copyright infringement</w:t>
      </w:r>
      <w:r w:rsidRPr="005F57C9">
        <w:t xml:space="preserve">, Malcolm Turnbull MP, </w:t>
      </w:r>
      <w:r w:rsidRPr="0023316C">
        <w:t>http://web.archive.org/web/20150408131532/http://www.malcolmturnbull.com.au/issues/new-measures-to-tackle-online-copyright-infringement</w:t>
      </w:r>
      <w:r w:rsidRPr="005F57C9" w:rsidDel="00AB3395">
        <w:t xml:space="preserve"> </w:t>
      </w:r>
      <w:r w:rsidRPr="005F57C9">
        <w:t>(accessed 5 June 2015).</w:t>
      </w:r>
    </w:p>
    <w:p w:rsidR="00AC2131" w:rsidRPr="005F57C9" w:rsidRDefault="00AC2131" w:rsidP="00AC2131">
      <w:pPr>
        <w:pStyle w:val="Reference"/>
      </w:pPr>
      <w:r w:rsidRPr="005F57C9">
        <w:t xml:space="preserve">—— 2014b, </w:t>
      </w:r>
      <w:r w:rsidRPr="005F57C9">
        <w:rPr>
          <w:i/>
          <w:iCs/>
        </w:rPr>
        <w:t>Transitioning NICTA to a self-sustainable model</w:t>
      </w:r>
      <w:r w:rsidRPr="005F57C9">
        <w:t>, http://www.minister.communications.gov.au/malcolm_turnbull/news/transitioning_nicta_to_a_self-sustainable_model#.VMbjXPlPz_o (accessed 27 January 2015).</w:t>
      </w:r>
    </w:p>
    <w:p w:rsidR="00AC2131" w:rsidRPr="005F57C9" w:rsidRDefault="00AC2131" w:rsidP="00AC2131">
      <w:pPr>
        <w:pStyle w:val="Reference"/>
      </w:pPr>
      <w:r w:rsidRPr="005F57C9">
        <w:t xml:space="preserve">—— 2015, </w:t>
      </w:r>
      <w:r w:rsidRPr="005F57C9">
        <w:rPr>
          <w:i/>
        </w:rPr>
        <w:t>Online copyright infringement FAQs</w:t>
      </w:r>
      <w:r w:rsidRPr="005F57C9">
        <w:t xml:space="preserve">, </w:t>
      </w:r>
      <w:r w:rsidRPr="0023316C">
        <w:t>http://www.malcolmturnbull.com.au/ policy-faqs/online-copyright-infringement-faqs</w:t>
      </w:r>
      <w:r w:rsidRPr="005F57C9">
        <w:t xml:space="preserve"> (accessed 5 June 2015).</w:t>
      </w:r>
    </w:p>
    <w:p w:rsidR="00AC2131" w:rsidRPr="005F57C9" w:rsidRDefault="00AC2131" w:rsidP="00AC2131">
      <w:pPr>
        <w:pStyle w:val="Reference"/>
      </w:pPr>
      <w:r w:rsidRPr="005F57C9">
        <w:t xml:space="preserve">Turnbull, M. (Minister for Communications), Brandis, G. (Attorney General) and Cormann, M. (Minister of Finance) 2014, </w:t>
      </w:r>
      <w:r w:rsidRPr="005F57C9">
        <w:rPr>
          <w:i/>
          <w:iCs/>
        </w:rPr>
        <w:t>Cloud adoption streamlined for Government</w:t>
      </w:r>
      <w:r w:rsidRPr="005F57C9">
        <w:t>, Media Release, 8 October.</w:t>
      </w:r>
    </w:p>
    <w:p w:rsidR="00AC2131" w:rsidRPr="005F57C9" w:rsidRDefault="00AC2131" w:rsidP="00AC2131">
      <w:pPr>
        <w:pStyle w:val="Reference"/>
      </w:pPr>
      <w:r w:rsidRPr="005F57C9">
        <w:rPr>
          <w:color w:val="000000" w:themeColor="text1"/>
        </w:rPr>
        <w:t>UNCTAD (United Nations Conference on Trade and Development)</w:t>
      </w:r>
      <w:r w:rsidRPr="005F57C9">
        <w:t xml:space="preserve"> 2013, </w:t>
      </w:r>
      <w:r w:rsidRPr="005F57C9">
        <w:rPr>
          <w:i/>
        </w:rPr>
        <w:t>Classification of Non-Tariff Measures</w:t>
      </w:r>
      <w:r w:rsidRPr="005F57C9">
        <w:t xml:space="preserve">, February 2012 Version, United Nations, New York and Geneva. </w:t>
      </w:r>
    </w:p>
    <w:p w:rsidR="00AC2131" w:rsidRPr="005F57C9" w:rsidRDefault="00AC2131" w:rsidP="00AC2131">
      <w:pPr>
        <w:pStyle w:val="Reference"/>
        <w:rPr>
          <w:color w:val="000000" w:themeColor="text1"/>
        </w:rPr>
      </w:pPr>
      <w:r w:rsidRPr="005F57C9">
        <w:rPr>
          <w:color w:val="000000" w:themeColor="text1"/>
        </w:rPr>
        <w:t xml:space="preserve">—— 2015a, </w:t>
      </w:r>
      <w:r w:rsidRPr="005F57C9">
        <w:rPr>
          <w:i/>
        </w:rPr>
        <w:t>Database of Investor-State Dispute Settlement (ISDS) (reduced version),</w:t>
      </w:r>
      <w:r w:rsidRPr="005F57C9">
        <w:t xml:space="preserve"> </w:t>
      </w:r>
      <w:r w:rsidRPr="0023316C">
        <w:t>http://unctad.org/en/Pages/DIAE/ISDS.aspx</w:t>
      </w:r>
      <w:r w:rsidRPr="005F57C9">
        <w:t xml:space="preserve"> (accessed 28 April 2015).</w:t>
      </w:r>
    </w:p>
    <w:p w:rsidR="00AC2131" w:rsidRPr="005F57C9" w:rsidRDefault="00AC2131" w:rsidP="00AC2131">
      <w:pPr>
        <w:pStyle w:val="Reference"/>
      </w:pPr>
      <w:r w:rsidRPr="005F57C9">
        <w:rPr>
          <w:color w:val="000000" w:themeColor="text1"/>
        </w:rPr>
        <w:t>—— </w:t>
      </w:r>
      <w:r w:rsidRPr="005F57C9">
        <w:t xml:space="preserve">2015b, </w:t>
      </w:r>
      <w:r w:rsidRPr="005F57C9">
        <w:rPr>
          <w:i/>
          <w:color w:val="000000" w:themeColor="text1"/>
        </w:rPr>
        <w:t>Recent Trends in IIAS and ISDS</w:t>
      </w:r>
      <w:r w:rsidRPr="005F57C9">
        <w:rPr>
          <w:color w:val="000000" w:themeColor="text1"/>
        </w:rPr>
        <w:t>, No. 1 February.</w:t>
      </w:r>
    </w:p>
    <w:p w:rsidR="00AC2131" w:rsidRPr="005F57C9" w:rsidRDefault="00AC2131" w:rsidP="00AC2131">
      <w:pPr>
        <w:pStyle w:val="Reference"/>
      </w:pPr>
      <w:r w:rsidRPr="005F57C9">
        <w:t xml:space="preserve">World Bank 2010, </w:t>
      </w:r>
      <w:r w:rsidRPr="005F57C9">
        <w:rPr>
          <w:i/>
        </w:rPr>
        <w:t>World DataBank – World Development Indicators</w:t>
      </w:r>
      <w:r w:rsidRPr="005F57C9">
        <w:t>, http://databank.worldbank.org/data/home.aspx (accessed 28 May 2015).</w:t>
      </w:r>
    </w:p>
    <w:p w:rsidR="00AC2131" w:rsidRPr="005F57C9" w:rsidRDefault="00AC2131" w:rsidP="00AC2131">
      <w:pPr>
        <w:pStyle w:val="Reference"/>
      </w:pPr>
      <w:r w:rsidRPr="005F57C9">
        <w:t xml:space="preserve">—— 2015, </w:t>
      </w:r>
      <w:r w:rsidRPr="005F57C9">
        <w:rPr>
          <w:i/>
        </w:rPr>
        <w:t>World DataBank – World Development Indicators</w:t>
      </w:r>
      <w:r w:rsidRPr="005F57C9">
        <w:t xml:space="preserve">, </w:t>
      </w:r>
      <w:r w:rsidRPr="0023316C">
        <w:t>http://databank.worldbank.org/data/home.aspx</w:t>
      </w:r>
      <w:r w:rsidRPr="005F57C9">
        <w:t xml:space="preserve"> (accessed 28 May 2015). </w:t>
      </w:r>
    </w:p>
    <w:p w:rsidR="00AC2131" w:rsidRPr="005F57C9" w:rsidRDefault="00AC2131" w:rsidP="00AC2131">
      <w:pPr>
        <w:pStyle w:val="Reference"/>
      </w:pPr>
      <w:r w:rsidRPr="005F57C9">
        <w:t xml:space="preserve">Webb, R. 2014, </w:t>
      </w:r>
      <w:r w:rsidRPr="005F57C9">
        <w:rPr>
          <w:i/>
        </w:rPr>
        <w:t>Taxation Treatment of ethanol and biodiesel</w:t>
      </w:r>
      <w:r w:rsidRPr="005F57C9">
        <w:t xml:space="preserve">, </w:t>
      </w:r>
      <w:r w:rsidRPr="0023316C">
        <w:t>http://www.aph.gov.au/About_Parliament/Parliamentary_Departments/Parliamentary_Library/pubs/rp/BudgetReview201415/Ethanol</w:t>
      </w:r>
      <w:r w:rsidRPr="005F57C9">
        <w:t xml:space="preserve"> (accessed 9 June 2015). </w:t>
      </w:r>
    </w:p>
    <w:p w:rsidR="00AC2131" w:rsidRPr="005F57C9" w:rsidRDefault="00AC2131" w:rsidP="00AC2131">
      <w:pPr>
        <w:pStyle w:val="Reference"/>
      </w:pPr>
      <w:r w:rsidRPr="005F57C9">
        <w:t xml:space="preserve">WTO (World Trade Organisation) 2011a, </w:t>
      </w:r>
      <w:r w:rsidRPr="005F57C9">
        <w:rPr>
          <w:i/>
        </w:rPr>
        <w:t>Dataset of services commitments in regional trade agreements</w:t>
      </w:r>
      <w:r w:rsidRPr="005F57C9">
        <w:t xml:space="preserve">, </w:t>
      </w:r>
      <w:r w:rsidRPr="0023316C">
        <w:t>https://www.wto.org/english/tratop_e/serv_e/dataset_e/dataset_e.htm</w:t>
      </w:r>
      <w:r w:rsidRPr="005F57C9">
        <w:t xml:space="preserve"> (accessed 27 May 2015).</w:t>
      </w:r>
    </w:p>
    <w:p w:rsidR="00AC2131" w:rsidRPr="005F57C9" w:rsidRDefault="00AC2131" w:rsidP="00AC2131">
      <w:pPr>
        <w:pStyle w:val="Reference"/>
      </w:pPr>
      <w:r w:rsidRPr="005F57C9">
        <w:rPr>
          <w:color w:val="000000" w:themeColor="text1"/>
        </w:rPr>
        <w:t>—— </w:t>
      </w:r>
      <w:r w:rsidRPr="005F57C9">
        <w:t xml:space="preserve">2011b, Services Commitments in Preferential Trade Agreements: An Expanded Dataset, Staff Working Paper ERSD-2011-18, </w:t>
      </w:r>
      <w:r w:rsidRPr="0023316C">
        <w:t>https://www.wto.org/english/res_e/reser_e/ersd201118_e.htm</w:t>
      </w:r>
      <w:r w:rsidRPr="005F57C9">
        <w:t xml:space="preserve"> (accessed 27 May 2015)</w:t>
      </w:r>
    </w:p>
    <w:p w:rsidR="00AC2131" w:rsidRPr="005F57C9" w:rsidRDefault="00AC2131" w:rsidP="00AC2131">
      <w:pPr>
        <w:pStyle w:val="Reference"/>
      </w:pPr>
      <w:r w:rsidRPr="005F57C9">
        <w:t xml:space="preserve">—— 2013, </w:t>
      </w:r>
      <w:r w:rsidRPr="005F57C9">
        <w:rPr>
          <w:i/>
        </w:rPr>
        <w:t>World Trade Report 2013: Factors shaping the future of world trade</w:t>
      </w:r>
      <w:r w:rsidRPr="005F57C9">
        <w:t xml:space="preserve">, World Trade Organization, Geneva. </w:t>
      </w:r>
    </w:p>
    <w:p w:rsidR="00AC2131" w:rsidRPr="005F57C9" w:rsidRDefault="00AC2131" w:rsidP="00AC2131">
      <w:pPr>
        <w:pStyle w:val="Reference"/>
      </w:pPr>
      <w:r w:rsidRPr="005F57C9">
        <w:t xml:space="preserve">—— 2014a, </w:t>
      </w:r>
      <w:r w:rsidRPr="005F57C9">
        <w:rPr>
          <w:i/>
        </w:rPr>
        <w:t>International Trade Statistics 2014</w:t>
      </w:r>
      <w:r w:rsidRPr="005F57C9">
        <w:t xml:space="preserve">, World Trade Organization, Geneva. </w:t>
      </w:r>
    </w:p>
    <w:p w:rsidR="00AC2131" w:rsidRPr="005F57C9" w:rsidRDefault="00AC2131" w:rsidP="00AC2131">
      <w:pPr>
        <w:pStyle w:val="Reference"/>
      </w:pPr>
      <w:r w:rsidRPr="005F57C9">
        <w:t xml:space="preserve">—— 2014b, </w:t>
      </w:r>
      <w:r w:rsidRPr="005F57C9">
        <w:rPr>
          <w:i/>
        </w:rPr>
        <w:t>Azevêdo: Members unable to bridge the gap on trade facilitation</w:t>
      </w:r>
      <w:r w:rsidRPr="005F57C9">
        <w:t xml:space="preserve">, News Items, 31 July, </w:t>
      </w:r>
      <w:r w:rsidRPr="0023316C">
        <w:t>https://www.wto.org/english/news_e/news14_e/tnc_infstat_31jul14_e. htm</w:t>
      </w:r>
      <w:r w:rsidRPr="005F57C9">
        <w:t xml:space="preserve"> (accessed 22 May 2015).</w:t>
      </w:r>
    </w:p>
    <w:p w:rsidR="00AC2131" w:rsidRPr="005F57C9" w:rsidRDefault="00AC2131" w:rsidP="00AC2131">
      <w:pPr>
        <w:pStyle w:val="Reference"/>
      </w:pPr>
      <w:r w:rsidRPr="005F57C9">
        <w:rPr>
          <w:color w:val="000000" w:themeColor="text1"/>
        </w:rPr>
        <w:t>—— </w:t>
      </w:r>
      <w:r w:rsidRPr="005F57C9">
        <w:t>2014c,</w:t>
      </w:r>
      <w:r w:rsidRPr="005F57C9">
        <w:rPr>
          <w:i/>
        </w:rPr>
        <w:t xml:space="preserve"> Azevêdo hails breakthrough on the WTO’s Information Technology Agreement</w:t>
      </w:r>
      <w:r w:rsidRPr="005F57C9">
        <w:t xml:space="preserve">, News Items, 11 November, </w:t>
      </w:r>
      <w:r w:rsidRPr="0023316C">
        <w:t>http://www.wto.org/english/news_e/news14_e/</w:t>
      </w:r>
      <w:r w:rsidRPr="005F57C9">
        <w:t xml:space="preserve"> ita_11nov14_e.htm (accessed 3 December 2014).</w:t>
      </w:r>
    </w:p>
    <w:p w:rsidR="00AC2131" w:rsidRPr="005F57C9" w:rsidRDefault="00AC2131" w:rsidP="00AC2131">
      <w:pPr>
        <w:pStyle w:val="Reference"/>
      </w:pPr>
      <w:r w:rsidRPr="005F57C9">
        <w:rPr>
          <w:color w:val="000000" w:themeColor="text1"/>
        </w:rPr>
        <w:t>—— </w:t>
      </w:r>
      <w:r w:rsidRPr="005F57C9">
        <w:t xml:space="preserve">2014d, </w:t>
      </w:r>
      <w:r w:rsidRPr="005F57C9">
        <w:rPr>
          <w:i/>
        </w:rPr>
        <w:t>Differences remain on deadlines and forums for post-Bali work on agriculture</w:t>
      </w:r>
      <w:r w:rsidRPr="005F57C9">
        <w:t xml:space="preserve">, News Items, 16 September, </w:t>
      </w:r>
      <w:r w:rsidRPr="0023316C">
        <w:t>http://www.wto.org/english/news_e/news14_e/ agcom_16sep14_e.htm</w:t>
      </w:r>
      <w:r w:rsidRPr="005F57C9">
        <w:t xml:space="preserve"> (accessed 3 December 2014).</w:t>
      </w:r>
    </w:p>
    <w:p w:rsidR="00AC2131" w:rsidRPr="005F57C9" w:rsidRDefault="00AC2131" w:rsidP="00AC2131">
      <w:pPr>
        <w:pStyle w:val="Reference"/>
      </w:pPr>
      <w:r w:rsidRPr="005F57C9">
        <w:t xml:space="preserve">—— 2014e, Dispute Settlement : Australia — Certain Measures Concerning Trademarks, Geographical Indications and Other Plain Packaging Requirements Applicable to Tobacco Products and Packaging, </w:t>
      </w:r>
      <w:r w:rsidRPr="0023316C">
        <w:t>https://www.wto.org/english/tratop_e/ dispu_e/cases_e/ds467_e.htm</w:t>
      </w:r>
      <w:r w:rsidRPr="005F57C9">
        <w:t>, (accessed 10 April 2015).</w:t>
      </w:r>
    </w:p>
    <w:p w:rsidR="00AC2131" w:rsidRDefault="00AC2131" w:rsidP="00AC2131">
      <w:pPr>
        <w:pStyle w:val="Reference"/>
      </w:pPr>
      <w:r w:rsidRPr="005F57C9">
        <w:t xml:space="preserve">Yang, M. J. 2014, </w:t>
      </w:r>
      <w:r w:rsidRPr="005F57C9">
        <w:rPr>
          <w:i/>
        </w:rPr>
        <w:t>Firm Heterogeneity and Trade in a Distorted-Gravity World</w:t>
      </w:r>
      <w:r w:rsidRPr="005F57C9">
        <w:t>. University of Washington, Working Paper, 23</w:t>
      </w:r>
      <w:r>
        <w:t> </w:t>
      </w:r>
      <w:r w:rsidRPr="005F57C9">
        <w:t>March.</w:t>
      </w:r>
    </w:p>
    <w:p w:rsidR="00AC2131" w:rsidRPr="00AC2131" w:rsidRDefault="00AC2131" w:rsidP="00AC2131"/>
    <w:sectPr w:rsidR="00AC2131" w:rsidRPr="00AC2131" w:rsidSect="00AC2131">
      <w:headerReference w:type="even" r:id="rId120"/>
      <w:headerReference w:type="default" r:id="rId121"/>
      <w:footerReference w:type="even" r:id="rId122"/>
      <w:footerReference w:type="default" r:id="rId123"/>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4C1B" w:rsidRDefault="00934C1B">
      <w:r>
        <w:separator/>
      </w:r>
    </w:p>
  </w:endnote>
  <w:endnote w:type="continuationSeparator" w:id="0">
    <w:p w:rsidR="00934C1B" w:rsidRDefault="00934C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venir 35 Light">
    <w:altName w:val="Avenir 35 Light"/>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HelveticaNeueLT Std Lt">
    <w:altName w:val="HelveticaNeueLT Std Lt"/>
    <w:panose1 w:val="00000000000000000000"/>
    <w:charset w:val="00"/>
    <w:family w:val="swiss"/>
    <w:notTrueType/>
    <w:pitch w:val="variable"/>
    <w:sig w:usb0="800000AF" w:usb1="4000204A" w:usb2="00000000" w:usb3="00000000" w:csb0="00000001" w:csb1="00000000"/>
  </w:font>
  <w:font w:name="Georgia">
    <w:panose1 w:val="02040502050405020303"/>
    <w:charset w:val="00"/>
    <w:family w:val="roman"/>
    <w:pitch w:val="variable"/>
    <w:sig w:usb0="00000287" w:usb1="00000000" w:usb2="00000000" w:usb3="00000000" w:csb0="0000009F" w:csb1="00000000"/>
  </w:font>
  <w:font w:name="Helvetica 45 Light">
    <w:altName w:val="Helvetica 45 Light"/>
    <w:panose1 w:val="00000000000000000000"/>
    <w:charset w:val="00"/>
    <w:family w:val="swiss"/>
    <w:notTrueType/>
    <w:pitch w:val="default"/>
    <w:sig w:usb0="00000003" w:usb1="00000000" w:usb2="00000000" w:usb3="00000000" w:csb0="00000001" w:csb1="00000000"/>
  </w:font>
  <w:font w:name="Times LT Std">
    <w:altName w:val="Times LT Std"/>
    <w:panose1 w:val="00000000000000000000"/>
    <w:charset w:val="00"/>
    <w:family w:val="roman"/>
    <w:notTrueType/>
    <w:pitch w:val="default"/>
    <w:sig w:usb0="00000003" w:usb1="00000000" w:usb2="00000000" w:usb3="00000000" w:csb0="00000001" w:csb1="00000000"/>
  </w:font>
  <w:font w:name="Today SB">
    <w:altName w:val="Today SB"/>
    <w:panose1 w:val="00000000000000000000"/>
    <w:charset w:val="00"/>
    <w:family w:val="swiss"/>
    <w:notTrueType/>
    <w:pitch w:val="default"/>
    <w:sig w:usb0="00000003" w:usb1="00000000" w:usb2="00000000" w:usb3="00000000" w:csb0="00000001" w:csb1="00000000"/>
  </w:font>
  <w:font w:name="FFDIN">
    <w:altName w:val="FFDIN"/>
    <w:panose1 w:val="00000000000000000000"/>
    <w:charset w:val="00"/>
    <w:family w:val="swiss"/>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2</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Overview</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3</w:t>
          </w:r>
          <w:r>
            <w:rPr>
              <w:rStyle w:val="PageNumber"/>
            </w:rPr>
            <w:fldChar w:fldCharType="end"/>
          </w:r>
        </w:p>
      </w:tc>
    </w:tr>
  </w:tbl>
  <w:p w:rsidR="00934C1B" w:rsidRPr="00AC2131" w:rsidRDefault="00934C1B" w:rsidP="00AC2131">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18</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ABOUT THIS REVIEW</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19</w:t>
          </w:r>
          <w:r>
            <w:rPr>
              <w:rStyle w:val="PageNumber"/>
            </w:rPr>
            <w:fldChar w:fldCharType="end"/>
          </w:r>
        </w:p>
      </w:tc>
    </w:tr>
  </w:tbl>
  <w:p w:rsidR="00934C1B" w:rsidRPr="00AC2131" w:rsidRDefault="00934C1B" w:rsidP="00AC2131">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42</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EMERGING PATTERNS OF GLOBAL TRADE</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43</w:t>
          </w:r>
          <w:r>
            <w:rPr>
              <w:rStyle w:val="PageNumber"/>
            </w:rPr>
            <w:fldChar w:fldCharType="end"/>
          </w:r>
        </w:p>
      </w:tc>
    </w:tr>
  </w:tbl>
  <w:p w:rsidR="00934C1B" w:rsidRPr="00AC2131" w:rsidRDefault="00934C1B" w:rsidP="00AC2131">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60</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WHEN GOVERNMENT BECOMES AN 'INVESTOR'</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59</w:t>
          </w:r>
          <w:r>
            <w:rPr>
              <w:rStyle w:val="PageNumber"/>
            </w:rPr>
            <w:fldChar w:fldCharType="end"/>
          </w:r>
        </w:p>
      </w:tc>
    </w:tr>
  </w:tbl>
  <w:p w:rsidR="00934C1B" w:rsidRPr="00AC2131" w:rsidRDefault="00934C1B" w:rsidP="00AC2131">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86</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ISSUES AND CONCERNS WITH PREFERENTIAL TRADE AGREEMENTS</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87</w:t>
          </w:r>
          <w:r>
            <w:rPr>
              <w:rStyle w:val="PageNumber"/>
            </w:rPr>
            <w:fldChar w:fldCharType="end"/>
          </w:r>
        </w:p>
      </w:tc>
    </w:tr>
  </w:tbl>
  <w:p w:rsidR="00934C1B" w:rsidRPr="00AC2131" w:rsidRDefault="00934C1B" w:rsidP="00AC2131">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118</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ASSISTANCE ESTIMATES</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119</w:t>
          </w:r>
          <w:r>
            <w:rPr>
              <w:rStyle w:val="PageNumber"/>
            </w:rPr>
            <w:fldChar w:fldCharType="end"/>
          </w:r>
        </w:p>
      </w:tc>
    </w:tr>
  </w:tbl>
  <w:p w:rsidR="00934C1B" w:rsidRPr="00AC2131" w:rsidRDefault="00934C1B" w:rsidP="00AC2131">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146</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RECENT DEVELOPMENTS IN INDUSTRY ASSISTANCE</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145</w:t>
          </w:r>
          <w:r>
            <w:rPr>
              <w:rStyle w:val="PageNumber"/>
            </w:rPr>
            <w:fldChar w:fldCharType="end"/>
          </w:r>
        </w:p>
      </w:tc>
    </w:tr>
  </w:tbl>
  <w:p w:rsidR="00934C1B" w:rsidRPr="00AC2131" w:rsidRDefault="00934C1B" w:rsidP="00AC2131">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164</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RECENT DEVELOPMENTS TRADE POLICY</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163</w:t>
          </w:r>
          <w:r>
            <w:rPr>
              <w:rStyle w:val="PageNumber"/>
            </w:rPr>
            <w:fldChar w:fldCharType="end"/>
          </w:r>
        </w:p>
      </w:tc>
    </w:tr>
  </w:tbl>
  <w:p w:rsidR="00934C1B" w:rsidRPr="00AC2131" w:rsidRDefault="00934C1B" w:rsidP="00AC2131">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4C1B" w:rsidRPr="00AC2131" w:rsidRDefault="00934C1B" w:rsidP="00AC2131">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4C1B" w:rsidRPr="00AC2131" w:rsidRDefault="00934C1B" w:rsidP="00AC2131">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168</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ESTIMATES OF INDUSTRY ASSISTANCE</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60D">
            <w:rPr>
              <w:rStyle w:val="PageNumber"/>
              <w:noProof/>
            </w:rPr>
            <w:t>167</w:t>
          </w:r>
          <w:r>
            <w:rPr>
              <w:rStyle w:val="PageNumber"/>
            </w:rPr>
            <w:fldChar w:fldCharType="end"/>
          </w:r>
        </w:p>
      </w:tc>
    </w:tr>
  </w:tbl>
  <w:p w:rsidR="00934C1B" w:rsidRPr="00AC2131" w:rsidRDefault="00934C1B" w:rsidP="00AC2131">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240</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EMERGING PATTERNS OF PRODUCTION AND TRADE</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239</w:t>
          </w:r>
          <w:r>
            <w:rPr>
              <w:rStyle w:val="PageNumber"/>
            </w:rPr>
            <w:fldChar w:fldCharType="end"/>
          </w:r>
        </w:p>
      </w:tc>
    </w:tr>
  </w:tbl>
  <w:p w:rsidR="00934C1B" w:rsidRPr="00AC2131" w:rsidRDefault="00934C1B" w:rsidP="00AC2131">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244</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RECENT CO-INVESTMENT GRANT PROPOSALS</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241</w:t>
          </w:r>
          <w:r>
            <w:rPr>
              <w:rStyle w:val="PageNumber"/>
            </w:rPr>
            <w:fldChar w:fldCharType="end"/>
          </w:r>
        </w:p>
      </w:tc>
    </w:tr>
  </w:tbl>
  <w:p w:rsidR="00934C1B" w:rsidRPr="00AC2131" w:rsidRDefault="00934C1B" w:rsidP="00AC2131">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246</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pPr>
          <w:r>
            <w:t>TRADE &amp; ASSISTANCE REVIEW 2013-14</w:t>
          </w:r>
        </w:p>
      </w:tc>
      <w:tc>
        <w:tcPr>
          <w:tcW w:w="510" w:type="dxa"/>
          <w:tcBorders>
            <w:top w:val="single" w:sz="4" w:space="0" w:color="auto"/>
          </w:tcBorders>
          <w:shd w:val="clear" w:color="auto" w:fill="auto"/>
        </w:tcPr>
        <w:p w:rsidR="00934C1B" w:rsidRDefault="00934C1B" w:rsidP="00AC2131">
          <w:pPr>
            <w:pStyle w:val="Footer"/>
          </w:pPr>
        </w:p>
      </w:tc>
    </w:tr>
  </w:tbl>
  <w:p w:rsidR="00934C1B" w:rsidRPr="00AC2131" w:rsidRDefault="00934C1B" w:rsidP="00AC2131">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pPr>
        </w:p>
      </w:tc>
      <w:tc>
        <w:tcPr>
          <w:tcW w:w="7767" w:type="dxa"/>
          <w:tcBorders>
            <w:top w:val="single" w:sz="4" w:space="0" w:color="auto"/>
          </w:tcBorders>
          <w:shd w:val="clear" w:color="auto" w:fill="auto"/>
        </w:tcPr>
        <w:p w:rsidR="00934C1B" w:rsidRDefault="00934C1B" w:rsidP="00AC2131">
          <w:pPr>
            <w:pStyle w:val="Footer"/>
            <w:jc w:val="right"/>
          </w:pPr>
          <w:r>
            <w:t>ASEAN-AUSTRALIA-NEW ZEALAND SERVICES COMMITMENTS</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247</w:t>
          </w:r>
          <w:r>
            <w:rPr>
              <w:rStyle w:val="PageNumber"/>
            </w:rPr>
            <w:fldChar w:fldCharType="end"/>
          </w:r>
        </w:p>
      </w:tc>
    </w:tr>
  </w:tbl>
  <w:p w:rsidR="00934C1B" w:rsidRPr="00AC2131" w:rsidRDefault="00934C1B" w:rsidP="00AC2131">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258</w:t>
    </w:r>
    <w:r>
      <w:rPr>
        <w:rStyle w:val="PageNumber"/>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259</w:t>
    </w:r>
    <w:r>
      <w:rPr>
        <w:rStyle w:val="PageNumber"/>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264</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rPr>
              <w:rStyle w:val="PageNumber"/>
              <w:b w:val="0"/>
            </w:rPr>
          </w:pPr>
          <w:r>
            <w:rPr>
              <w:rStyle w:val="PageNumber"/>
              <w:b w:val="0"/>
            </w:rPr>
            <w:t>TRADE &amp; ASSISTANCE REVIEW 2013-14</w:t>
          </w:r>
        </w:p>
      </w:tc>
      <w:tc>
        <w:tcPr>
          <w:tcW w:w="510" w:type="dxa"/>
          <w:tcBorders>
            <w:top w:val="single" w:sz="4" w:space="0" w:color="auto"/>
          </w:tcBorders>
          <w:shd w:val="clear" w:color="auto" w:fill="auto"/>
        </w:tcPr>
        <w:p w:rsidR="00934C1B" w:rsidRDefault="00934C1B" w:rsidP="00AC2131">
          <w:pPr>
            <w:pStyle w:val="Footer"/>
            <w:rPr>
              <w:rStyle w:val="PageNumber"/>
              <w:b w:val="0"/>
            </w:rPr>
          </w:pPr>
        </w:p>
      </w:tc>
    </w:tr>
  </w:tbl>
  <w:p w:rsidR="00934C1B" w:rsidRPr="00AC2131" w:rsidRDefault="00934C1B" w:rsidP="00AC2131">
    <w:pPr>
      <w:pStyle w:val="FooterEnd"/>
      <w:rPr>
        <w:rStyle w:val="PageNumber"/>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rPr>
              <w:rStyle w:val="PageNumber"/>
              <w:b w:val="0"/>
            </w:rPr>
          </w:pPr>
        </w:p>
      </w:tc>
      <w:tc>
        <w:tcPr>
          <w:tcW w:w="7767" w:type="dxa"/>
          <w:tcBorders>
            <w:top w:val="single" w:sz="4" w:space="0" w:color="auto"/>
          </w:tcBorders>
          <w:shd w:val="clear" w:color="auto" w:fill="auto"/>
        </w:tcPr>
        <w:p w:rsidR="00934C1B" w:rsidRDefault="00934C1B" w:rsidP="00AC2131">
          <w:pPr>
            <w:pStyle w:val="Footer"/>
            <w:jc w:val="right"/>
            <w:rPr>
              <w:rStyle w:val="PageNumber"/>
              <w:b w:val="0"/>
            </w:rPr>
          </w:pPr>
          <w:r>
            <w:rPr>
              <w:rStyle w:val="PageNumber"/>
              <w:b w:val="0"/>
            </w:rPr>
            <w:t>ANTI-DUMPING ACTIVITY</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263</w:t>
          </w:r>
          <w:r>
            <w:rPr>
              <w:rStyle w:val="PageNumber"/>
            </w:rPr>
            <w:fldChar w:fldCharType="end"/>
          </w:r>
        </w:p>
      </w:tc>
    </w:tr>
  </w:tbl>
  <w:p w:rsidR="00934C1B" w:rsidRPr="00AC2131" w:rsidRDefault="00934C1B" w:rsidP="00AC2131">
    <w:pPr>
      <w:pStyle w:val="FooterEnd"/>
      <w:rPr>
        <w:rStyle w:val="PageNumber"/>
        <w:b w:val="0"/>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Pr="00AC2131" w:rsidRDefault="00934C1B" w:rsidP="00AC213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276</w:t>
          </w:r>
          <w:r>
            <w:rPr>
              <w:rStyle w:val="PageNumber"/>
            </w:rPr>
            <w:fldChar w:fldCharType="end"/>
          </w:r>
        </w:p>
      </w:tc>
      <w:tc>
        <w:tcPr>
          <w:tcW w:w="7767" w:type="dxa"/>
          <w:tcBorders>
            <w:top w:val="single" w:sz="4" w:space="0" w:color="auto"/>
          </w:tcBorders>
          <w:shd w:val="clear" w:color="auto" w:fill="auto"/>
        </w:tcPr>
        <w:p w:rsidR="00934C1B" w:rsidRDefault="00934C1B" w:rsidP="00AC2131">
          <w:pPr>
            <w:pStyle w:val="Footer"/>
            <w:rPr>
              <w:rStyle w:val="PageNumber"/>
              <w:b w:val="0"/>
            </w:rPr>
          </w:pPr>
          <w:r>
            <w:rPr>
              <w:rStyle w:val="PageNumber"/>
              <w:b w:val="0"/>
            </w:rPr>
            <w:t>TRADE &amp; ASSISTANCE REVIEW 2013-14</w:t>
          </w:r>
        </w:p>
      </w:tc>
      <w:tc>
        <w:tcPr>
          <w:tcW w:w="510" w:type="dxa"/>
          <w:tcBorders>
            <w:top w:val="single" w:sz="4" w:space="0" w:color="auto"/>
          </w:tcBorders>
          <w:shd w:val="clear" w:color="auto" w:fill="auto"/>
        </w:tcPr>
        <w:p w:rsidR="00934C1B" w:rsidRDefault="00934C1B" w:rsidP="00AC2131">
          <w:pPr>
            <w:pStyle w:val="Footer"/>
            <w:rPr>
              <w:rStyle w:val="PageNumber"/>
              <w:b w:val="0"/>
            </w:rPr>
          </w:pPr>
        </w:p>
      </w:tc>
    </w:tr>
  </w:tbl>
  <w:p w:rsidR="00934C1B" w:rsidRPr="00AC2131" w:rsidRDefault="00934C1B" w:rsidP="00AC2131">
    <w:pPr>
      <w:pStyle w:val="FooterEnd"/>
      <w:rPr>
        <w:rStyle w:val="PageNumber"/>
        <w:b w:val="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34C1B" w:rsidTr="00AC2131">
      <w:trPr>
        <w:trHeight w:val="567"/>
      </w:trPr>
      <w:tc>
        <w:tcPr>
          <w:tcW w:w="510" w:type="dxa"/>
          <w:tcBorders>
            <w:top w:val="single" w:sz="4" w:space="0" w:color="auto"/>
          </w:tcBorders>
          <w:shd w:val="clear" w:color="auto" w:fill="auto"/>
        </w:tcPr>
        <w:p w:rsidR="00934C1B" w:rsidRDefault="00934C1B" w:rsidP="00AC2131">
          <w:pPr>
            <w:pStyle w:val="Footer"/>
            <w:rPr>
              <w:rStyle w:val="PageNumber"/>
              <w:b w:val="0"/>
            </w:rPr>
          </w:pPr>
        </w:p>
      </w:tc>
      <w:tc>
        <w:tcPr>
          <w:tcW w:w="7767" w:type="dxa"/>
          <w:tcBorders>
            <w:top w:val="single" w:sz="4" w:space="0" w:color="auto"/>
          </w:tcBorders>
          <w:shd w:val="clear" w:color="auto" w:fill="auto"/>
        </w:tcPr>
        <w:p w:rsidR="00934C1B" w:rsidRDefault="00934C1B" w:rsidP="00AC2131">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rsidR="00934C1B" w:rsidRPr="00AC2131" w:rsidRDefault="00934C1B" w:rsidP="00AC213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E4EA6">
            <w:rPr>
              <w:rStyle w:val="PageNumber"/>
              <w:noProof/>
            </w:rPr>
            <w:t>277</w:t>
          </w:r>
          <w:r>
            <w:rPr>
              <w:rStyle w:val="PageNumber"/>
            </w:rPr>
            <w:fldChar w:fldCharType="end"/>
          </w:r>
        </w:p>
      </w:tc>
    </w:tr>
  </w:tbl>
  <w:p w:rsidR="00934C1B" w:rsidRPr="00AC2131" w:rsidRDefault="00934C1B" w:rsidP="00AC2131">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4C1B" w:rsidRDefault="00934C1B">
      <w:r>
        <w:separator/>
      </w:r>
    </w:p>
  </w:footnote>
  <w:footnote w:type="continuationSeparator" w:id="0">
    <w:p w:rsidR="00934C1B" w:rsidRDefault="00934C1B">
      <w:r>
        <w:continuationSeparator/>
      </w:r>
    </w:p>
  </w:footnote>
  <w:footnote w:id="1">
    <w:p w:rsidR="00934C1B" w:rsidRDefault="00934C1B">
      <w:pPr>
        <w:pStyle w:val="FootnoteText"/>
      </w:pPr>
      <w:r>
        <w:rPr>
          <w:rStyle w:val="FootnoteReference"/>
        </w:rPr>
        <w:footnoteRef/>
      </w:r>
      <w:r>
        <w:tab/>
        <w:t>Comprehensive examinations of global value chains measured in gross production and gross export terms include De Backer and Yamano (2012), Baldwin (2011) and Baldwin and Lopez-Gonzalez (2013).</w:t>
      </w:r>
    </w:p>
  </w:footnote>
  <w:footnote w:id="2">
    <w:p w:rsidR="00934C1B" w:rsidRDefault="00934C1B">
      <w:pPr>
        <w:pStyle w:val="FootnoteText"/>
      </w:pPr>
      <w:r>
        <w:rPr>
          <w:rStyle w:val="FootnoteReference"/>
        </w:rPr>
        <w:footnoteRef/>
      </w:r>
      <w:r>
        <w:tab/>
        <w:t>With the terms of trade boom in mining products, the share as estimated in Australian foreign trade statistics declined from 36 per cent in 2008</w:t>
      </w:r>
      <w:r>
        <w:noBreakHyphen/>
        <w:t>09 to 30 per cent in 2013</w:t>
      </w:r>
      <w:r>
        <w:noBreakHyphen/>
        <w:t>14, then rose to 33 per cent to the March quarter 2014</w:t>
      </w:r>
      <w:r>
        <w:noBreakHyphen/>
        <w:t xml:space="preserve">15 ABS 2015a, Tables 2 and 32a). </w:t>
      </w:r>
    </w:p>
  </w:footnote>
  <w:footnote w:id="3">
    <w:p w:rsidR="00934C1B" w:rsidRDefault="00934C1B">
      <w:pPr>
        <w:pStyle w:val="FootnoteText"/>
      </w:pPr>
      <w:r>
        <w:rPr>
          <w:rStyle w:val="FootnoteReference"/>
        </w:rPr>
        <w:footnoteRef/>
      </w:r>
      <w:r>
        <w:tab/>
        <w:t xml:space="preserve">It should be noted in interpreting these estimates that exports of basic metal products including refined (non-monetary) gold, aluminium and refined copper, silver, lead and zinc are classified as exports of manufactures. </w:t>
      </w:r>
    </w:p>
  </w:footnote>
  <w:footnote w:id="4">
    <w:p w:rsidR="00934C1B" w:rsidRPr="00B93EB3" w:rsidRDefault="00934C1B">
      <w:pPr>
        <w:pStyle w:val="FootnoteText"/>
        <w:rPr>
          <w:lang w:val="en-US"/>
        </w:rPr>
      </w:pPr>
      <w:r>
        <w:rPr>
          <w:rStyle w:val="FootnoteReference"/>
        </w:rPr>
        <w:footnoteRef/>
      </w:r>
      <w:r>
        <w:tab/>
        <w:t>A small amount of gross export value is Australian value added ‘re-imported’ as part of imported inputs that had been made using Australian exports.</w:t>
      </w:r>
    </w:p>
  </w:footnote>
  <w:footnote w:id="5">
    <w:p w:rsidR="00934C1B" w:rsidRDefault="00934C1B" w:rsidP="00AC2131">
      <w:pPr>
        <w:pStyle w:val="FootnoteText"/>
      </w:pPr>
      <w:r>
        <w:rPr>
          <w:rStyle w:val="FootnoteReference"/>
        </w:rPr>
        <w:footnoteRef/>
      </w:r>
      <w:r>
        <w:tab/>
        <w:t xml:space="preserve">‘Gross exports per unit of value added’ is the inverse of what is commonly known in the empirical trade literature as the ratio of ‘value added exports’ (VAX) to gross exports (Johnson and </w:t>
      </w:r>
      <w:r w:rsidR="00B51CF2">
        <w:t>Noguera</w:t>
      </w:r>
      <w:r>
        <w:t> 2012a). Aggregate value added exports is less than gross exports because of the existence of intermediate stages of production across countries.</w:t>
      </w:r>
    </w:p>
  </w:footnote>
  <w:footnote w:id="6">
    <w:p w:rsidR="00934C1B" w:rsidRDefault="00934C1B" w:rsidP="00AC2131">
      <w:pPr>
        <w:pStyle w:val="FootnoteText"/>
      </w:pPr>
      <w:r>
        <w:rPr>
          <w:rStyle w:val="FootnoteReference"/>
        </w:rPr>
        <w:footnoteRef/>
      </w:r>
      <w:r>
        <w:tab/>
        <w:t xml:space="preserve">Recent trade empirics has delved into firm level analysis, covering aspects such as location and sourcing decisions of multinationals (Arkolakis, Ramondo, Rodriguez-Clare and Yeaple 2013); foreign direct investment (Helpman 2013); how the within industry distribution of firm size influences trade patterns and the effects of trade liberalisation (Gretton and Gabbitas 2003, Giovanni and Levchenko 2010, and Yang 2014); and the formation of trade networks and export expansion (Chaney 2011, 2014, Riccaboni and Schiavo 2013, Armenter and Koren 2014). </w:t>
      </w:r>
    </w:p>
  </w:footnote>
  <w:footnote w:id="7">
    <w:p w:rsidR="00934C1B" w:rsidRDefault="00934C1B">
      <w:pPr>
        <w:pStyle w:val="FootnoteText"/>
      </w:pPr>
      <w:r>
        <w:rPr>
          <w:rStyle w:val="FootnoteReference"/>
        </w:rPr>
        <w:footnoteRef/>
      </w:r>
      <w:r>
        <w:tab/>
        <w:t>Amiti and Konings (2007) estimate a significant increase in productivity of Indonesian manufacturing firms for 1991 to 2001 from a reduction in tariffs on imported intermediate inputs, and that the effect is much higher than reducing output tariffs. Importing firms gain more than firms which do not import. The study was unable to distinguish the channels of productivity growth. Similarly, an OECD paper (Miroudot, Lanz and Rgoussis 2009) estimates a positive effect on productivity from imported intermediate inputs (using data for 10 OECD countries and 29 sectors), but does not identify the channel(s) by which the effect operates.</w:t>
      </w:r>
    </w:p>
  </w:footnote>
  <w:footnote w:id="8">
    <w:p w:rsidR="00934C1B" w:rsidRDefault="00934C1B" w:rsidP="00AC2131">
      <w:pPr>
        <w:pStyle w:val="FootnoteText"/>
      </w:pPr>
      <w:r>
        <w:rPr>
          <w:rStyle w:val="FootnoteReference"/>
        </w:rPr>
        <w:footnoteRef/>
      </w:r>
      <w:r>
        <w:tab/>
        <w:t>Australia’s export policies have long contained an element of ‘priority’ industries. A 1992 inquiry by the Industry Commission into overseas export enhancement measures identified specific support for various agriculture industries, metal working machines and robots, passenger motor vehicles, photographic colour film production, shipbuilding, textile, clothing and footwear, telecommunications equipment, pharmaceuticals, and tourism (IC 1992).</w:t>
      </w:r>
    </w:p>
  </w:footnote>
  <w:footnote w:id="9">
    <w:p w:rsidR="00934C1B" w:rsidRDefault="00934C1B">
      <w:pPr>
        <w:pStyle w:val="FootnoteText"/>
      </w:pPr>
      <w:r>
        <w:rPr>
          <w:rStyle w:val="FootnoteReference"/>
        </w:rPr>
        <w:footnoteRef/>
      </w:r>
      <w:r>
        <w:tab/>
        <w:t xml:space="preserve">For illustrative purposes and space constraints the authors only provide results for two industries — </w:t>
      </w:r>
      <w:r w:rsidRPr="002479BB">
        <w:rPr>
          <w:i/>
        </w:rPr>
        <w:t>Finished metal products</w:t>
      </w:r>
      <w:r>
        <w:t xml:space="preserve"> (ISIC 28) and </w:t>
      </w:r>
      <w:r w:rsidRPr="002479BB">
        <w:rPr>
          <w:i/>
        </w:rPr>
        <w:t>Real estate, renting and business activities</w:t>
      </w:r>
      <w:r>
        <w:t xml:space="preserve"> (ISIC: division K). Australia’s relative competitiveness rises for both industries when calculated in value-added terms (though in both cases it remains in the relative disadvantage category). China and India are the two countries showing the largest drop in revealed competitiveness when switching from a gross basis to value-added basis.</w:t>
      </w:r>
    </w:p>
  </w:footnote>
  <w:footnote w:id="10">
    <w:p w:rsidR="00934C1B" w:rsidRDefault="00934C1B">
      <w:pPr>
        <w:pStyle w:val="FootnoteText"/>
      </w:pPr>
      <w:r>
        <w:rPr>
          <w:rStyle w:val="FootnoteReference"/>
        </w:rPr>
        <w:footnoteRef/>
      </w:r>
      <w:r>
        <w:tab/>
        <w:t xml:space="preserve">A shift-share decomposition of Australia’s growth in old trade flows into sectoral, geographic and residual (pure competitiveness) effects estimated an approximately equal beneficial effect of Australia having a basket of products benefiting from relatively high world demand and ‘pure competitiveness’. Exports were assessed to have been negatively affected by being orientated towards a group of trading partners with less dynamic demand relative to the rest of the world. </w:t>
      </w:r>
    </w:p>
  </w:footnote>
  <w:footnote w:id="11">
    <w:p w:rsidR="00934C1B" w:rsidRPr="00911DB5" w:rsidRDefault="00934C1B">
      <w:pPr>
        <w:pStyle w:val="FootnoteText"/>
        <w:rPr>
          <w:b/>
        </w:rPr>
      </w:pPr>
      <w:r>
        <w:rPr>
          <w:rStyle w:val="FootnoteReference"/>
        </w:rPr>
        <w:footnoteRef/>
      </w:r>
      <w:r>
        <w:tab/>
        <w:t>The OECD found that the majority of exports within 2-digit industry groupings occurred within a relatively few 4-digit product categories. Similarly, the Commission’s productivity analysis reveals quite disparate performance of sub-industries within the 2 digit level of the manufacturing industry (Barnes, Soames, Li and Munoz 2013).</w:t>
      </w:r>
    </w:p>
  </w:footnote>
  <w:footnote w:id="12">
    <w:p w:rsidR="00934C1B" w:rsidRPr="00C8655B" w:rsidRDefault="00934C1B" w:rsidP="00AC2131">
      <w:pPr>
        <w:pStyle w:val="FootnoteText"/>
      </w:pPr>
      <w:r>
        <w:rPr>
          <w:rStyle w:val="FootnoteReference"/>
        </w:rPr>
        <w:footnoteRef/>
      </w:r>
      <w:r>
        <w:tab/>
        <w:t xml:space="preserve">Readily distinguishable and </w:t>
      </w:r>
      <w:r>
        <w:rPr>
          <w:rStyle w:val="FootnoteTextChar"/>
        </w:rPr>
        <w:t>q</w:t>
      </w:r>
      <w:r w:rsidRPr="00A538B1">
        <w:rPr>
          <w:rStyle w:val="FootnoteTextChar"/>
        </w:rPr>
        <w:t xml:space="preserve">uantified assistance to </w:t>
      </w:r>
      <w:r>
        <w:rPr>
          <w:rStyle w:val="FootnoteTextChar"/>
        </w:rPr>
        <w:t>activities</w:t>
      </w:r>
      <w:r w:rsidRPr="00A538B1">
        <w:rPr>
          <w:rStyle w:val="FootnoteTextChar"/>
        </w:rPr>
        <w:t>, firms and projects through budgetary measures amounted to around $</w:t>
      </w:r>
      <w:r>
        <w:rPr>
          <w:rStyle w:val="FootnoteTextChar"/>
        </w:rPr>
        <w:t>9.1</w:t>
      </w:r>
      <w:r w:rsidRPr="00A538B1">
        <w:rPr>
          <w:rStyle w:val="FootnoteTextChar"/>
        </w:rPr>
        <w:t> billion in 2013</w:t>
      </w:r>
      <w:r w:rsidRPr="00A538B1">
        <w:rPr>
          <w:rStyle w:val="FootnoteTextChar"/>
        </w:rPr>
        <w:noBreakHyphen/>
        <w:t xml:space="preserve">14. Tax concessions with industry policy objectives accounted for </w:t>
      </w:r>
      <w:r>
        <w:rPr>
          <w:rStyle w:val="FootnoteTextChar"/>
        </w:rPr>
        <w:t>55</w:t>
      </w:r>
      <w:r w:rsidRPr="00A538B1">
        <w:rPr>
          <w:rStyle w:val="FootnoteTextChar"/>
        </w:rPr>
        <w:t> per cent (or $5 billion) of the total. Direct budgetary support measures (such as grants, concessional loans and interest rate subsidies) accounted for another $</w:t>
      </w:r>
      <w:r>
        <w:rPr>
          <w:rStyle w:val="FootnoteTextChar"/>
        </w:rPr>
        <w:t>2.3</w:t>
      </w:r>
      <w:r w:rsidRPr="00A538B1">
        <w:rPr>
          <w:rStyle w:val="FootnoteTextChar"/>
        </w:rPr>
        <w:t xml:space="preserve"> billion while indirect support via research organisations such as </w:t>
      </w:r>
      <w:r>
        <w:rPr>
          <w:rStyle w:val="FootnoteTextChar"/>
        </w:rPr>
        <w:t xml:space="preserve">the </w:t>
      </w:r>
      <w:r w:rsidRPr="00A538B1">
        <w:rPr>
          <w:rStyle w:val="FootnoteTextChar"/>
        </w:rPr>
        <w:t>CSIRO amounted to $1.8 billion</w:t>
      </w:r>
      <w:r>
        <w:rPr>
          <w:rStyle w:val="FootnoteTextChar"/>
        </w:rPr>
        <w:t>.</w:t>
      </w:r>
      <w:r w:rsidRPr="00A538B1">
        <w:rPr>
          <w:rStyle w:val="FootnoteTextChar"/>
        </w:rPr>
        <w:t xml:space="preserve"> Tariff assistance of around $7.9</w:t>
      </w:r>
      <w:r>
        <w:rPr>
          <w:rStyle w:val="FootnoteTextChar"/>
        </w:rPr>
        <w:t> </w:t>
      </w:r>
      <w:r w:rsidRPr="00A538B1">
        <w:rPr>
          <w:rStyle w:val="FootnoteTextChar"/>
        </w:rPr>
        <w:t>billion in gross terms was also provided in 2013-14 (chapter 5).</w:t>
      </w:r>
    </w:p>
  </w:footnote>
  <w:footnote w:id="13">
    <w:p w:rsidR="00934C1B" w:rsidRDefault="00934C1B" w:rsidP="00AC2131">
      <w:pPr>
        <w:pStyle w:val="FootnoteText"/>
      </w:pPr>
      <w:r>
        <w:rPr>
          <w:rStyle w:val="FootnoteReference"/>
        </w:rPr>
        <w:footnoteRef/>
      </w:r>
      <w:r>
        <w:tab/>
        <w:t>CRC performance reviews are conducted by panels of up to five members comprising three CRC Committee nominated members (one of whom Chairs the panel where possible) and two CRC nominated members approved by the administering department. The Commission has previously expressed reservations about whether these reviews and related impact evaluations are conducted at ‘arms-length’ and accordingly, whether they are sufficiently independent (PC 2007).</w:t>
      </w:r>
    </w:p>
  </w:footnote>
  <w:footnote w:id="14">
    <w:p w:rsidR="00934C1B" w:rsidRDefault="00934C1B" w:rsidP="00AC2131">
      <w:pPr>
        <w:pStyle w:val="FootnoteText"/>
      </w:pPr>
      <w:r>
        <w:rPr>
          <w:rStyle w:val="FootnoteReference"/>
        </w:rPr>
        <w:footnoteRef/>
      </w:r>
      <w:r>
        <w:tab/>
        <w:t>The Australian Government announced another review of the CRC programme in September 2014. The final report and recommendations of that review are expected in the first half of 2015 (Macfarlane 2014b).</w:t>
      </w:r>
    </w:p>
  </w:footnote>
  <w:footnote w:id="15">
    <w:p w:rsidR="00934C1B" w:rsidRDefault="00934C1B" w:rsidP="00AC2131">
      <w:pPr>
        <w:pStyle w:val="FootnoteText"/>
      </w:pPr>
      <w:r>
        <w:rPr>
          <w:rStyle w:val="FootnoteReference"/>
        </w:rPr>
        <w:footnoteRef/>
      </w:r>
      <w:r>
        <w:tab/>
        <w:t>It should be noted that one component of R&amp;D START that did seek to support projects that would not have been otherwise undertaken through repayable loans for certain projects was not carried over to Commercial Ready.</w:t>
      </w:r>
    </w:p>
  </w:footnote>
  <w:footnote w:id="16">
    <w:p w:rsidR="00934C1B" w:rsidRDefault="00934C1B" w:rsidP="00AC2131">
      <w:pPr>
        <w:pStyle w:val="FootnoteText"/>
      </w:pPr>
      <w:r>
        <w:rPr>
          <w:rStyle w:val="FootnoteReference"/>
        </w:rPr>
        <w:footnoteRef/>
      </w:r>
      <w:r>
        <w:tab/>
        <w:t xml:space="preserve">Under the Statement of Expectations, </w:t>
      </w:r>
      <w:r w:rsidRPr="00A122B4">
        <w:rPr>
          <w:rStyle w:val="FootnoteTextChar"/>
        </w:rPr>
        <w:t xml:space="preserve">EFIC </w:t>
      </w:r>
      <w:r w:rsidRPr="006C691B">
        <w:rPr>
          <w:rStyle w:val="FootnoteTextChar"/>
        </w:rPr>
        <w:t>will no longer support resource</w:t>
      </w:r>
      <w:r>
        <w:rPr>
          <w:rStyle w:val="FootnoteTextChar"/>
        </w:rPr>
        <w:t xml:space="preserve"> projects </w:t>
      </w:r>
      <w:r w:rsidRPr="006C691B">
        <w:rPr>
          <w:rStyle w:val="FootnoteTextChar"/>
        </w:rPr>
        <w:t>and related</w:t>
      </w:r>
      <w:r w:rsidRPr="00A122B4">
        <w:rPr>
          <w:rStyle w:val="FootnoteTextChar"/>
        </w:rPr>
        <w:t xml:space="preserve"> i</w:t>
      </w:r>
      <w:r>
        <w:rPr>
          <w:rStyle w:val="FootnoteTextChar"/>
        </w:rPr>
        <w:t xml:space="preserve">nfrastructure located in Australia (Robb 2014a). </w:t>
      </w:r>
    </w:p>
  </w:footnote>
  <w:footnote w:id="17">
    <w:p w:rsidR="00934C1B" w:rsidRDefault="00934C1B" w:rsidP="00AC2131">
      <w:pPr>
        <w:pStyle w:val="FootnoteText"/>
      </w:pPr>
      <w:r>
        <w:rPr>
          <w:rStyle w:val="FootnoteReference"/>
        </w:rPr>
        <w:footnoteRef/>
      </w:r>
      <w:r>
        <w:tab/>
        <w:t>According to the Department of Industry and Science (pers. comm., 20 May 2015) internal evaluation work shows evidence that well managed and efficient IIFs play a role in fostering confidence in affected regions, facilitating employment and investment (in the short term), bringing forward investment and facilitating access to finance.</w:t>
      </w:r>
    </w:p>
  </w:footnote>
  <w:footnote w:id="18">
    <w:p w:rsidR="00934C1B" w:rsidRDefault="00934C1B" w:rsidP="00AC2131">
      <w:pPr>
        <w:pStyle w:val="FootnoteText"/>
      </w:pPr>
      <w:r>
        <w:rPr>
          <w:rStyle w:val="FootnoteReference"/>
        </w:rPr>
        <w:footnoteRef/>
      </w:r>
      <w:r>
        <w:tab/>
        <w:t xml:space="preserve">Firm-specific assistance has also been used in other contexts. For example, in the late-1990s and early 2000s assistance was provided under the Strategic Investment Incentive Program which was aimed at inducing direct foreign investment into Australia for selected larger scale ventures. </w:t>
      </w:r>
    </w:p>
  </w:footnote>
  <w:footnote w:id="19">
    <w:p w:rsidR="00934C1B" w:rsidRDefault="00934C1B" w:rsidP="00AC2131">
      <w:pPr>
        <w:pStyle w:val="FootnoteText"/>
      </w:pPr>
      <w:r>
        <w:rPr>
          <w:rStyle w:val="FootnoteReference"/>
        </w:rPr>
        <w:footnoteRef/>
      </w:r>
      <w:r>
        <w:tab/>
        <w:t>State governments have also contributed significant co-investment funds to selected firms but the amounts have not always been disclosed.</w:t>
      </w:r>
    </w:p>
  </w:footnote>
  <w:footnote w:id="20">
    <w:p w:rsidR="00934C1B" w:rsidRDefault="00934C1B" w:rsidP="00AC2131">
      <w:pPr>
        <w:pStyle w:val="FootnoteText"/>
      </w:pPr>
      <w:r>
        <w:rPr>
          <w:rStyle w:val="FootnoteReference"/>
        </w:rPr>
        <w:footnoteRef/>
      </w:r>
      <w:r>
        <w:tab/>
        <w:t xml:space="preserve">See Australian Government 2012a, </w:t>
      </w:r>
      <w:r w:rsidRPr="00564C95">
        <w:rPr>
          <w:i/>
        </w:rPr>
        <w:t>How the GM Holden Investment Will Benefit Australia</w:t>
      </w:r>
      <w:r>
        <w:t xml:space="preserve"> </w:t>
      </w:r>
      <w:r w:rsidRPr="00564C95">
        <w:rPr>
          <w:i/>
        </w:rPr>
        <w:t>: Fact Sheet</w:t>
      </w:r>
      <w:r>
        <w:t>, 22 March.</w:t>
      </w:r>
    </w:p>
  </w:footnote>
  <w:footnote w:id="21">
    <w:p w:rsidR="00934C1B" w:rsidRDefault="00934C1B">
      <w:pPr>
        <w:pStyle w:val="FootnoteText"/>
      </w:pPr>
      <w:r>
        <w:rPr>
          <w:rStyle w:val="FootnoteReference"/>
        </w:rPr>
        <w:footnoteRef/>
      </w:r>
      <w:r>
        <w:tab/>
        <w:t xml:space="preserve">Efficiency costs are created when resources move from efficient industries that are not direct beneficiaries of the agreement to the beneficiaries of preferential market access arrangements, such as in the area of export-oriented agricultural products. Negotiated preferential arrangements also do not provide protection against the granting of preferential access to other trading partners. </w:t>
      </w:r>
    </w:p>
  </w:footnote>
  <w:footnote w:id="22">
    <w:p w:rsidR="00934C1B" w:rsidRDefault="00934C1B" w:rsidP="00AC2131">
      <w:pPr>
        <w:pStyle w:val="FootnoteText"/>
      </w:pPr>
      <w:r w:rsidRPr="008763BA">
        <w:footnoteRef/>
      </w:r>
      <w:r w:rsidRPr="008763BA">
        <w:tab/>
      </w:r>
      <w:r>
        <w:t>Most rules of origin require direct consignment of goods meaning that for a product to be eligible for origin treatment it must be transported directly from the place of production to its preferential destination. The purpose is to ensure that imported goods, in particular bulk cargo etc. whose identity is difficult to establish, are identical with the goods that left the exporting country and to reduce the risk of eligible goods being mixed with non-eligible goods.</w:t>
      </w:r>
    </w:p>
  </w:footnote>
  <w:footnote w:id="23">
    <w:p w:rsidR="00934C1B" w:rsidRDefault="00934C1B" w:rsidP="00AC2131">
      <w:pPr>
        <w:pStyle w:val="FootnoteText"/>
      </w:pPr>
      <w:r w:rsidRPr="008763BA">
        <w:footnoteRef/>
      </w:r>
      <w:r w:rsidRPr="008763BA">
        <w:tab/>
        <w:t xml:space="preserve">Australia’s exports </w:t>
      </w:r>
      <w:r>
        <w:t xml:space="preserve">of </w:t>
      </w:r>
      <w:r w:rsidRPr="008763BA">
        <w:t>energy, minerals and agricultural commodities generally comply with</w:t>
      </w:r>
      <w:r>
        <w:t xml:space="preserve"> the wholly obtained rule.</w:t>
      </w:r>
    </w:p>
  </w:footnote>
  <w:footnote w:id="24">
    <w:p w:rsidR="00934C1B" w:rsidRDefault="00934C1B" w:rsidP="00AC2131">
      <w:pPr>
        <w:pStyle w:val="FootnoteText"/>
      </w:pPr>
      <w:r w:rsidRPr="00527322">
        <w:footnoteRef/>
      </w:r>
      <w:r w:rsidRPr="0067747E">
        <w:tab/>
        <w:t>Exporters have a choice of whether to access preferential treatment subject to meeting rules of origin or</w:t>
      </w:r>
      <w:r>
        <w:t xml:space="preserve"> exporting under the MFN regime. Where the latter approach is chosen this avoids the compliance costs associated with origin rules, but it also means the negotiated agreement is of no practical benefit to those firms. </w:t>
      </w:r>
    </w:p>
  </w:footnote>
  <w:footnote w:id="25">
    <w:p w:rsidR="00934C1B" w:rsidRDefault="00934C1B" w:rsidP="00AC2131">
      <w:pPr>
        <w:pStyle w:val="FootnoteText"/>
      </w:pPr>
      <w:r w:rsidRPr="00527322">
        <w:footnoteRef/>
      </w:r>
      <w:r w:rsidRPr="007B06F0">
        <w:tab/>
      </w:r>
      <w:r>
        <w:t>The presentation of product-</w:t>
      </w:r>
      <w:r w:rsidRPr="00527322">
        <w:t xml:space="preserve">specific rules </w:t>
      </w:r>
      <w:r>
        <w:t>is</w:t>
      </w:r>
      <w:r w:rsidRPr="00527322">
        <w:t xml:space="preserve"> negotiated as part of each agreement with some partners</w:t>
      </w:r>
      <w:r>
        <w:rPr>
          <w:lang w:val="en"/>
        </w:rPr>
        <w:t xml:space="preserve"> preferring a disaggregated approach while others prefer a summary where the same rule applies under a chapter or heading. While Australia generally seeks the same product-specific rule outcome in its agreements, variations result from different industry sensitivities across agreement partners. (DFAT, pers. comm., 21 May 2015).</w:t>
      </w:r>
    </w:p>
  </w:footnote>
  <w:footnote w:id="26">
    <w:p w:rsidR="00934C1B" w:rsidRDefault="00934C1B" w:rsidP="00AC2131">
      <w:pPr>
        <w:pStyle w:val="FootnoteText"/>
      </w:pPr>
      <w:r w:rsidRPr="00693133">
        <w:footnoteRef/>
      </w:r>
      <w:r w:rsidRPr="007B06F0">
        <w:tab/>
      </w:r>
      <w:r w:rsidRPr="00693133">
        <w:t>While the Commission understands the more detailed list of rules in the Korea agreement was intended to</w:t>
      </w:r>
      <w:r>
        <w:rPr>
          <w:lang w:val="en"/>
        </w:rPr>
        <w:t xml:space="preserve"> simplify the use of the origin-rule schedule for firms, that justification appears not to have been carried over to the more recent Japan-Australia agreement which contains 1943 individual origin rules. </w:t>
      </w:r>
    </w:p>
  </w:footnote>
  <w:footnote w:id="27">
    <w:p w:rsidR="00934C1B" w:rsidRDefault="00934C1B">
      <w:pPr>
        <w:pStyle w:val="FootnoteText"/>
      </w:pPr>
      <w:r w:rsidRPr="00693133">
        <w:footnoteRef/>
      </w:r>
      <w:r w:rsidRPr="00E87BEB">
        <w:tab/>
        <w:t>Th</w:t>
      </w:r>
      <w:r>
        <w:t xml:space="preserve">e term </w:t>
      </w:r>
      <w:r w:rsidRPr="001909DB">
        <w:rPr>
          <w:i/>
        </w:rPr>
        <w:t>substantial business operations</w:t>
      </w:r>
      <w:r>
        <w:t xml:space="preserve"> is based on the language contained in the</w:t>
      </w:r>
      <w:r w:rsidRPr="00E87BEB">
        <w:t xml:space="preserve"> WTO General Agreement on Trade in Services and </w:t>
      </w:r>
      <w:r>
        <w:t xml:space="preserve">is </w:t>
      </w:r>
      <w:r w:rsidRPr="00E87BEB">
        <w:t>designed</w:t>
      </w:r>
      <w:r>
        <w:t>, inter alia,</w:t>
      </w:r>
      <w:r w:rsidRPr="00E87BEB">
        <w:t xml:space="preserve"> to prevent</w:t>
      </w:r>
      <w:r>
        <w:t xml:space="preserve"> ‘shell companies’ being established to access preferential market access treatment. Denial of benefits clauses also provide governments with the power to impose sanctions on other countries in line with international obligations such as in the area of human rights violations. (DFAT, pers. comm., 21 May 2015)</w:t>
      </w:r>
    </w:p>
  </w:footnote>
  <w:footnote w:id="28">
    <w:p w:rsidR="00934C1B" w:rsidRDefault="00934C1B">
      <w:pPr>
        <w:pStyle w:val="FootnoteText"/>
      </w:pPr>
      <w:r>
        <w:rPr>
          <w:rStyle w:val="FootnoteReference"/>
        </w:rPr>
        <w:footnoteRef/>
      </w:r>
      <w:r>
        <w:tab/>
        <w:t>Standstill provisions are intended to bind existing levels of regulation and prevent backsliding to more protectionist measures while ratchet provisions automatically extend the commitments to include future liberalising measures.</w:t>
      </w:r>
    </w:p>
  </w:footnote>
  <w:footnote w:id="29">
    <w:p w:rsidR="00934C1B" w:rsidRPr="00FD5F41" w:rsidRDefault="00934C1B" w:rsidP="00AC2131">
      <w:pPr>
        <w:pStyle w:val="FootnoteText"/>
      </w:pPr>
      <w:r w:rsidRPr="000804A4">
        <w:rPr>
          <w:rStyle w:val="FootnoteReference"/>
          <w:position w:val="0"/>
        </w:rPr>
        <w:footnoteRef/>
      </w:r>
      <w:r w:rsidRPr="00FD5F41">
        <w:tab/>
        <w:t>Importantly, the failure of agreements to mention commitments in a number of service sectors should not necessarily be interpreted as representative of a market access restriction between the Party’s to the agreement. Similarly, sectors listed as unrestricted may still be subject to qualifications such as carve outs or rules of origin requirements that limit the extent of liberalisation. For example, Korea listed an extensive range of carve-outs in its services undertaking including aspects of construction, transportation, distribution</w:t>
      </w:r>
      <w:r>
        <w:t>,</w:t>
      </w:r>
      <w:r w:rsidRPr="00FD5F41">
        <w:t xml:space="preserve"> agriculture and livestock, business services, wholesale and retail distribution, telecommunications, real estate, professional services (legal, accounting etc)</w:t>
      </w:r>
      <w:r>
        <w:t xml:space="preserve">, </w:t>
      </w:r>
      <w:r w:rsidRPr="00FD5F41">
        <w:t>engineering and education as non-conforming measures (typically requiring a commercial presence through the establishment of an office in Korea).</w:t>
      </w:r>
    </w:p>
  </w:footnote>
  <w:footnote w:id="30">
    <w:p w:rsidR="00934C1B" w:rsidRDefault="00934C1B" w:rsidP="00AC2131">
      <w:pPr>
        <w:pStyle w:val="FootnoteText"/>
      </w:pPr>
      <w:r>
        <w:rPr>
          <w:rStyle w:val="FootnoteReference"/>
        </w:rPr>
        <w:footnoteRef/>
      </w:r>
      <w:r>
        <w:tab/>
        <w:t>While there may be cost-effective ways to bypass existing barriers, any liberalising provisions of trade agreements may still offer even lower-cost ways of accessing markets.</w:t>
      </w:r>
    </w:p>
  </w:footnote>
  <w:footnote w:id="31">
    <w:p w:rsidR="00934C1B" w:rsidRDefault="00934C1B" w:rsidP="00AC2131">
      <w:pPr>
        <w:pStyle w:val="FootnoteText"/>
      </w:pPr>
      <w:r>
        <w:rPr>
          <w:rStyle w:val="FootnoteReference"/>
        </w:rPr>
        <w:footnoteRef/>
      </w:r>
      <w:r>
        <w:tab/>
        <w:t>Dee (2005) found that an extension of copyright to between 80 and 100 years after death under the AUSFTA would result in a net cost to Australia of $88 million per annum or up to $700 million in net present value terms.</w:t>
      </w:r>
    </w:p>
  </w:footnote>
  <w:footnote w:id="32">
    <w:p w:rsidR="00934C1B" w:rsidRDefault="00934C1B">
      <w:pPr>
        <w:pStyle w:val="FootnoteText"/>
      </w:pPr>
      <w:r>
        <w:rPr>
          <w:rStyle w:val="FootnoteReference"/>
        </w:rPr>
        <w:footnoteRef/>
      </w:r>
      <w:r>
        <w:tab/>
        <w:t>TPMs include measures such as geo-blocking of internet sites to prevent non-residents from accessing content available in specific markets. Australian consumers access to the United States based Netflix service provides an example.</w:t>
      </w:r>
    </w:p>
  </w:footnote>
  <w:footnote w:id="33">
    <w:p w:rsidR="00934C1B" w:rsidRPr="00BA136D" w:rsidRDefault="00934C1B" w:rsidP="00AC2131">
      <w:pPr>
        <w:pStyle w:val="FootnoteText"/>
      </w:pPr>
      <w:r w:rsidRPr="00C66B84">
        <w:rPr>
          <w:rStyle w:val="FootnoteReference"/>
          <w:position w:val="0"/>
        </w:rPr>
        <w:footnoteRef/>
      </w:r>
      <w:r w:rsidRPr="00347BBA">
        <w:tab/>
        <w:t>The aggregate amount of compensation obtained by the three claimants constituting the majority shareholders of former Yukos Oil Company in the ISDS proceedings against the Russian Federation. See Hulley Enterprises Limited (Cyprus) v. The Russian Federation, UNCITRAL, PCA Case No. AA 226, Award, 18 July 2014; Yukos Universal Limited (Isle of Man) v. The Russian Federation, UNCITRAL, PCA Case No. AA 227, Award, 18 July 2014; Veteran Petroleum Limited (Cyprus) v. The Russian Federation, UNCITRAL, PCA Case No. AA 228, Award, 18 July 2014.</w:t>
      </w:r>
      <w:r>
        <w:t xml:space="preserve"> </w:t>
      </w:r>
    </w:p>
  </w:footnote>
  <w:footnote w:id="34">
    <w:p w:rsidR="00934C1B" w:rsidRDefault="00934C1B" w:rsidP="00AC2131">
      <w:pPr>
        <w:pStyle w:val="FootnoteText"/>
      </w:pPr>
      <w:r>
        <w:rPr>
          <w:rStyle w:val="FootnoteReference"/>
        </w:rPr>
        <w:footnoteRef/>
      </w:r>
      <w:r>
        <w:tab/>
        <w:t>Some agreements specifically allow the Parties to consult on the meaning of a treaty and any written record of what negotiating parties understood provisions to mean can be taken into account as official documents (DFAT pers. comm., 21 May 2015). Given the confidential nature of TPP negotiations, it is not clear whether it is intended that the agreement will provide scope for Parties to consult on the meaning of individual provisions.</w:t>
      </w:r>
    </w:p>
  </w:footnote>
  <w:footnote w:id="35">
    <w:p w:rsidR="00934C1B" w:rsidRDefault="00934C1B">
      <w:pPr>
        <w:pStyle w:val="FootnoteText"/>
      </w:pPr>
      <w:r>
        <w:rPr>
          <w:rStyle w:val="FootnoteReference"/>
        </w:rPr>
        <w:footnoteRef/>
      </w:r>
      <w:r>
        <w:tab/>
        <w:t>The Commission acknowledges the practical difficulties involved in quantifying the impacts of agreements due to the variable quality and completeness of international services trade and investment statistics and the inherent difficulty in quantifying services and investment trade barriers compared to tariff measures. Nevertheless, given the potential for preferential agreements to impose net costs on Australia, these difficulties should not be used as a justification to avoid greater scrutiny, including through the quantification of potential impacts.</w:t>
      </w:r>
    </w:p>
  </w:footnote>
  <w:footnote w:id="36">
    <w:p w:rsidR="00934C1B" w:rsidRDefault="00934C1B" w:rsidP="00AC2131">
      <w:pPr>
        <w:pStyle w:val="FootnoteText"/>
      </w:pPr>
      <w:r>
        <w:rPr>
          <w:rStyle w:val="FootnoteReference"/>
        </w:rPr>
        <w:footnoteRef/>
      </w:r>
      <w:r>
        <w:tab/>
        <w:t>These requirements first came into effect in November 2006.</w:t>
      </w:r>
    </w:p>
  </w:footnote>
  <w:footnote w:id="37">
    <w:p w:rsidR="00934C1B" w:rsidRDefault="00934C1B">
      <w:pPr>
        <w:pStyle w:val="FootnoteText"/>
      </w:pPr>
      <w:r>
        <w:rPr>
          <w:rStyle w:val="FootnoteReference"/>
        </w:rPr>
        <w:footnoteRef/>
      </w:r>
      <w:r>
        <w:tab/>
        <w:t xml:space="preserve">Effective rates of assistance are not estimated for the services sector. This reflects the adoption of the ‘Corden’ method in estimating effective assistance, where services are treated as not directly traded but as contributing to value-added inputs of the downstream merchandise traded-goods sectors. </w:t>
      </w:r>
    </w:p>
  </w:footnote>
  <w:footnote w:id="38">
    <w:p w:rsidR="00934C1B" w:rsidRPr="0054478E" w:rsidRDefault="00934C1B" w:rsidP="00AC2131">
      <w:pPr>
        <w:pStyle w:val="FootnoteText"/>
        <w:rPr>
          <w:lang w:val="en-US"/>
        </w:rPr>
      </w:pPr>
      <w:r>
        <w:rPr>
          <w:rStyle w:val="FootnoteReference"/>
        </w:rPr>
        <w:footnoteRef/>
      </w:r>
      <w:r>
        <w:tab/>
        <w:t xml:space="preserve">To the extent that eligible suppliers in bilateral and regional preferential trade agreements partner economies price up to the Australian tariff, the value of the margin of preference on imports from the partner would be appropriated by foreign suppliers (see box 5.3). To the extent that the margin of preference is passed through to domestic consumers, the estimated Consumer Tax Equivalent would be lower than estimated. </w:t>
      </w:r>
    </w:p>
  </w:footnote>
  <w:footnote w:id="39">
    <w:p w:rsidR="00934C1B" w:rsidRPr="00320869" w:rsidRDefault="00934C1B" w:rsidP="00AC2131">
      <w:pPr>
        <w:pStyle w:val="FootnoteText"/>
        <w:rPr>
          <w:lang w:val="en-US"/>
        </w:rPr>
      </w:pPr>
      <w:r>
        <w:rPr>
          <w:rStyle w:val="FootnoteReference"/>
        </w:rPr>
        <w:footnoteRef/>
      </w:r>
      <w:r>
        <w:tab/>
        <w:t xml:space="preserve">The Consumer Tax Equivalent estimates include only the transfer from consumers and exclude any transfers from intermediate users. It is also important to note that the CTE estimates only provide an indication of the income transfers resulting from the assistance structure. They do not indicate the economic welfare cost of assistance, which depends on the behavioural responses of producers and consumers, and which is best measured within a general equilibrium framework (IC 1995). </w:t>
      </w:r>
    </w:p>
  </w:footnote>
  <w:footnote w:id="40">
    <w:p w:rsidR="00934C1B" w:rsidRDefault="00934C1B">
      <w:pPr>
        <w:pStyle w:val="FootnoteText"/>
      </w:pPr>
      <w:r>
        <w:rPr>
          <w:rStyle w:val="FootnoteReference"/>
        </w:rPr>
        <w:footnoteRef/>
      </w:r>
      <w:r>
        <w:tab/>
        <w:t xml:space="preserve">The Commission’s assistance estimates do not include the full government appropriation for CSIRO. Excluded are certain public research such as environmental R&amp;D, some renewable energy R&amp;D and general research towards expanding knowledge in various fields. </w:t>
      </w:r>
    </w:p>
  </w:footnote>
  <w:footnote w:id="41">
    <w:p w:rsidR="00934C1B" w:rsidRDefault="00934C1B">
      <w:pPr>
        <w:pStyle w:val="FootnoteText"/>
      </w:pPr>
      <w:r>
        <w:rPr>
          <w:rStyle w:val="FootnoteReference"/>
        </w:rPr>
        <w:footnoteRef/>
      </w:r>
      <w:r>
        <w:tab/>
        <w:t xml:space="preserve">The Australian </w:t>
      </w:r>
      <w:r w:rsidRPr="00341689">
        <w:t>Treasury estimate</w:t>
      </w:r>
      <w:r>
        <w:t>d</w:t>
      </w:r>
      <w:r w:rsidRPr="00341689">
        <w:t xml:space="preserve"> (in the TES) the value of exempting certain emissions activities from the carbon pricing mechanism to be around $3.</w:t>
      </w:r>
      <w:r>
        <w:t>8 </w:t>
      </w:r>
      <w:r w:rsidRPr="00341689">
        <w:t>billion in 201</w:t>
      </w:r>
      <w:r>
        <w:t>3</w:t>
      </w:r>
      <w:r>
        <w:noBreakHyphen/>
      </w:r>
      <w:r w:rsidRPr="00341689">
        <w:t>1</w:t>
      </w:r>
      <w:r>
        <w:t>4</w:t>
      </w:r>
      <w:r w:rsidRPr="00341689">
        <w:t>. These principally relate to agriculture and deforestation. These ‘concessions’ have not been incorporated into the assistance estimates, nor has the ‘tax’ effect of the carbon pricing mechanism on other activities. Treasury note that the value of exemptions will fall to zero from 1 July 2014, consistent with the revised carbon pricing arrangement applying from that time.</w:t>
      </w:r>
      <w:r>
        <w:t xml:space="preserve"> </w:t>
      </w:r>
    </w:p>
  </w:footnote>
  <w:footnote w:id="42">
    <w:p w:rsidR="00934C1B" w:rsidRDefault="00934C1B">
      <w:pPr>
        <w:pStyle w:val="FootnoteText"/>
      </w:pPr>
      <w:r>
        <w:rPr>
          <w:rStyle w:val="FootnoteReference"/>
        </w:rPr>
        <w:footnoteRef/>
      </w:r>
      <w:r>
        <w:tab/>
        <w:t>The Small Business Simplified Depreciation Rules scheme is an accelerated asset write-off scheme enabling s</w:t>
      </w:r>
      <w:r w:rsidRPr="00C1159B">
        <w:t>mall business entities with an aggregated annual turnover of less than $2</w:t>
      </w:r>
      <w:r>
        <w:t> </w:t>
      </w:r>
      <w:r w:rsidRPr="00C1159B">
        <w:t>million to access concessional depreciation arrangements for business assets.</w:t>
      </w:r>
      <w:r>
        <w:t xml:space="preserve"> </w:t>
      </w:r>
    </w:p>
  </w:footnote>
  <w:footnote w:id="43">
    <w:p w:rsidR="00934C1B" w:rsidRDefault="00934C1B" w:rsidP="00AC2131">
      <w:pPr>
        <w:pStyle w:val="FootnoteText"/>
      </w:pPr>
      <w:r>
        <w:rPr>
          <w:rStyle w:val="FootnoteReference"/>
        </w:rPr>
        <w:footnoteRef/>
      </w:r>
      <w:r>
        <w:tab/>
        <w:t xml:space="preserve">The Commission’s assistance estimates do not include the full government appropriation for CSIRO and Cooperative Research Centres. Excluded are certain public research such as environmental R&amp;D, some renewable energy R&amp;D and general research towards expanding knowledge in various fields. This is discussed in more detail in the Commission’s methodological annex to </w:t>
      </w:r>
      <w:r w:rsidRPr="00500DC2">
        <w:rPr>
          <w:i/>
        </w:rPr>
        <w:t>Trade &amp; Assistance Review 2011</w:t>
      </w:r>
      <w:r w:rsidRPr="00500DC2">
        <w:rPr>
          <w:i/>
        </w:rPr>
        <w:noBreakHyphen/>
        <w:t>12</w:t>
      </w:r>
      <w:r>
        <w:t xml:space="preserve">. </w:t>
      </w:r>
    </w:p>
  </w:footnote>
  <w:footnote w:id="44">
    <w:p w:rsidR="00934C1B" w:rsidRDefault="00934C1B">
      <w:pPr>
        <w:pStyle w:val="FootnoteText"/>
      </w:pPr>
      <w:r>
        <w:rPr>
          <w:rStyle w:val="FootnoteReference"/>
        </w:rPr>
        <w:footnoteRef/>
      </w:r>
      <w:r>
        <w:tab/>
        <w:t>Australian Government funding under the Exceptional Circumstances program (both relief payments and interest rate subsidies) declined from a peak of $779 million in 2008</w:t>
      </w:r>
      <w:r>
        <w:noBreakHyphen/>
        <w:t>09 to around $1.6 million in 2012</w:t>
      </w:r>
      <w:r>
        <w:noBreakHyphen/>
        <w:t xml:space="preserve">13. In February 2014, the Australian Government announced a $320 million drought assistance package including, among other things, $280 million towards drought concessional loans and ‘more generous’ criteria for accessing income support through the Farm Household Allowance (see chapter 6). </w:t>
      </w:r>
    </w:p>
  </w:footnote>
  <w:footnote w:id="45">
    <w:p w:rsidR="00934C1B" w:rsidRDefault="00934C1B" w:rsidP="00AC2131">
      <w:pPr>
        <w:pStyle w:val="FootnoteText"/>
      </w:pPr>
      <w:r>
        <w:rPr>
          <w:rStyle w:val="FootnoteReference"/>
        </w:rPr>
        <w:footnoteRef/>
      </w:r>
      <w:r>
        <w:tab/>
      </w:r>
      <w:r w:rsidRPr="005B4E41">
        <w:t>Taxation concessions on retirement savings associated with Australia’s compulsory superannuation arrangements, while providing incidental benefits to the finance sector as the provider of financial services, are not included in the Commission’s assistance estimates.</w:t>
      </w:r>
      <w:r>
        <w:t xml:space="preserve"> </w:t>
      </w:r>
    </w:p>
  </w:footnote>
  <w:footnote w:id="46">
    <w:p w:rsidR="00934C1B" w:rsidRDefault="00934C1B" w:rsidP="00AC2131">
      <w:pPr>
        <w:pStyle w:val="FootnoteText"/>
      </w:pPr>
      <w:r>
        <w:rPr>
          <w:rStyle w:val="FootnoteReference"/>
        </w:rPr>
        <w:footnoteRef/>
      </w:r>
      <w:r>
        <w:tab/>
        <w:t>Up to 2009</w:t>
      </w:r>
      <w:r>
        <w:noBreakHyphen/>
        <w:t xml:space="preserve">10, Austrade provided the Commission with information on the industry incidence of Austrade appropriation funding. This information indicated that around two thirds of Austrade funding was directed towards the services sector, 20 per cent to manufacturing and the remainder split equally between primary production and mining. Austrade, however, modified the way it allocated its resources to a market or geography basis that does not support the provision of information according to industry. </w:t>
      </w:r>
    </w:p>
  </w:footnote>
  <w:footnote w:id="47">
    <w:p w:rsidR="00934C1B" w:rsidRDefault="00934C1B">
      <w:pPr>
        <w:pStyle w:val="FootnoteText"/>
      </w:pPr>
      <w:r>
        <w:rPr>
          <w:rStyle w:val="FootnoteReference"/>
        </w:rPr>
        <w:footnoteRef/>
      </w:r>
      <w:r>
        <w:tab/>
        <w:t xml:space="preserve">For the primary production and mining sectors, </w:t>
      </w:r>
      <w:r w:rsidRPr="00086AD1">
        <w:t>fuel tax credits</w:t>
      </w:r>
      <w:r>
        <w:t xml:space="preserve"> (formerly known as the diesel fuel rebate) </w:t>
      </w:r>
      <w:r w:rsidRPr="00086AD1">
        <w:t xml:space="preserve">are not included in the Commission’s assistance estimates. Certain differential tax arrangements including in relation to excise taxes, the GST and superannuation, while potentially having assistance implications, are not </w:t>
      </w:r>
      <w:r>
        <w:t xml:space="preserve">also </w:t>
      </w:r>
      <w:r w:rsidRPr="00086AD1">
        <w:t>included in the Commission’s assistance estimates. These arrangements are considered part of the broader taxation system which falls outside the coverage of the Commission’s estimates. In this context, as the fuel tax credits (</w:t>
      </w:r>
      <w:r>
        <w:t xml:space="preserve">to primary production, </w:t>
      </w:r>
      <w:r w:rsidRPr="00086AD1">
        <w:t>mining</w:t>
      </w:r>
      <w:r>
        <w:t xml:space="preserve"> and other off-road users</w:t>
      </w:r>
      <w:r w:rsidRPr="00086AD1">
        <w:t>) are effectively rebates of the excise tax, it has not been included in the assistance estimates.</w:t>
      </w:r>
      <w:r>
        <w:t xml:space="preserve"> Revenue raised from the earlier fuel excise taxes were regarded as a cost recovery tax as they were hypothecated to road construction (Treasury 2001). </w:t>
      </w:r>
    </w:p>
  </w:footnote>
  <w:footnote w:id="48">
    <w:p w:rsidR="00934C1B" w:rsidRDefault="00934C1B" w:rsidP="00AC2131">
      <w:pPr>
        <w:pStyle w:val="FootnoteText"/>
      </w:pPr>
      <w:r>
        <w:rPr>
          <w:rStyle w:val="FootnoteReference"/>
        </w:rPr>
        <w:footnoteRef/>
      </w:r>
      <w:r>
        <w:tab/>
        <w:t xml:space="preserve">In the 1980s, tariffs on motor vehicles were 45 per cent and the highest estimated tariff rate for any one textiles, leather, clothing and footwear line item (inclusive of the effect of tariff quotas) was 125 per cent. The effective rates of assistance for the </w:t>
      </w:r>
      <w:r w:rsidRPr="00991F45">
        <w:rPr>
          <w:i/>
        </w:rPr>
        <w:t>Motor vehicles and parts</w:t>
      </w:r>
      <w:r>
        <w:t xml:space="preserve"> industry and </w:t>
      </w:r>
      <w:r w:rsidRPr="00991F45">
        <w:rPr>
          <w:i/>
        </w:rPr>
        <w:t>Textiles, leather, clothing and footwear</w:t>
      </w:r>
      <w:r>
        <w:t xml:space="preserve"> industry was 140 per cent and 157 per cent, respectively, in 1984</w:t>
      </w:r>
      <w:r>
        <w:noBreakHyphen/>
        <w:t xml:space="preserve">85 (PC 2000). </w:t>
      </w:r>
    </w:p>
  </w:footnote>
  <w:footnote w:id="49">
    <w:p w:rsidR="00934C1B" w:rsidRDefault="00934C1B">
      <w:pPr>
        <w:pStyle w:val="FootnoteText"/>
      </w:pPr>
      <w:r>
        <w:rPr>
          <w:rStyle w:val="FootnoteReference"/>
        </w:rPr>
        <w:footnoteRef/>
      </w:r>
      <w:r>
        <w:tab/>
        <w:t xml:space="preserve">Other considerations in forecasting the fiscal impact of announced measures include whether the measure has received legislative backing, and for demand driven measures, the eventual level of support may be different to the announced estimate. </w:t>
      </w:r>
    </w:p>
  </w:footnote>
  <w:footnote w:id="50">
    <w:p w:rsidR="00934C1B" w:rsidRDefault="00934C1B">
      <w:pPr>
        <w:pStyle w:val="FootnoteText"/>
      </w:pPr>
      <w:r>
        <w:rPr>
          <w:rStyle w:val="FootnoteReference"/>
        </w:rPr>
        <w:footnoteRef/>
      </w:r>
      <w:r>
        <w:tab/>
        <w:t>In addition to Australian Government support, farm businesses also receive support from state and territory governments. In 2008</w:t>
      </w:r>
      <w:r>
        <w:noBreakHyphen/>
        <w:t>09, grants and other support to the primary industries (and resources) sector by state and territory governments was estimated to be around $640 million (</w:t>
      </w:r>
      <w:r w:rsidRPr="00D934C1">
        <w:rPr>
          <w:i/>
        </w:rPr>
        <w:t>Trade &amp; Assistance Review 2008</w:t>
      </w:r>
      <w:r w:rsidRPr="00D934C1">
        <w:rPr>
          <w:i/>
        </w:rPr>
        <w:noBreakHyphen/>
        <w:t>09</w:t>
      </w:r>
      <w:r>
        <w:t>, chapter 4).</w:t>
      </w:r>
    </w:p>
  </w:footnote>
  <w:footnote w:id="51">
    <w:p w:rsidR="00934C1B" w:rsidRDefault="00934C1B" w:rsidP="00AC2131">
      <w:pPr>
        <w:pStyle w:val="FootnoteText"/>
      </w:pPr>
      <w:r>
        <w:rPr>
          <w:rStyle w:val="FootnoteReference"/>
        </w:rPr>
        <w:footnoteRef/>
      </w:r>
      <w:r>
        <w:tab/>
        <w:t>The first phase of Caring for Our Country (2008</w:t>
      </w:r>
      <w:r>
        <w:noBreakHyphen/>
        <w:t>2013) had provided more than $2 billion. The second phase of Caring for Our Country (2013</w:t>
      </w:r>
      <w:r>
        <w:noBreakHyphen/>
        <w:t xml:space="preserve">2018), as originally announced, was also expected to cost over $2 billion. Although the new Landcare program involves less expenditure than the previous program, the Government is nonetheless investing $2 billion in natural resource management over the four years from 2014-15. This includes funding the National Landcare Programme, the Green Army programme and other measures (Department of the Environment 2014a). </w:t>
      </w:r>
    </w:p>
  </w:footnote>
  <w:footnote w:id="52">
    <w:p w:rsidR="00934C1B" w:rsidRDefault="00934C1B" w:rsidP="00AC2131">
      <w:pPr>
        <w:pStyle w:val="FootnoteText"/>
      </w:pPr>
      <w:r>
        <w:rPr>
          <w:rStyle w:val="FootnoteReference"/>
        </w:rPr>
        <w:footnoteRef/>
      </w:r>
      <w:r>
        <w:tab/>
        <w:t xml:space="preserve">Parallel imports of goods that are protected by certain forms of IP are currently restricted by legislation. For example, parallel importation of some copyright products, including books, is restricted under the </w:t>
      </w:r>
      <w:r>
        <w:rPr>
          <w:i/>
          <w:iCs/>
        </w:rPr>
        <w:t>Copyright Act 1968</w:t>
      </w:r>
      <w:r>
        <w:t>. General prohibitions regarding parallel imports were removed for sound recordings in 1998 and computer software and electronic forms of books, periodicals and sheet music in 2003. The general prohibition against parallel importing continues to apply to hard copies of literary works (other than books), dramatic, musical and artistic works, broadcasts and cinematographic films. There is a separate regime for books that allows limited parallel importation.</w:t>
      </w:r>
    </w:p>
  </w:footnote>
  <w:footnote w:id="53">
    <w:p w:rsidR="00934C1B" w:rsidRDefault="00934C1B" w:rsidP="00AC2131">
      <w:pPr>
        <w:pStyle w:val="FootnoteText"/>
      </w:pPr>
      <w:r w:rsidRPr="00166FA6">
        <w:footnoteRef/>
      </w:r>
      <w:r w:rsidRPr="000A6FEF">
        <w:tab/>
      </w:r>
      <w:r>
        <w:t>E</w:t>
      </w:r>
      <w:r w:rsidRPr="000A6FEF">
        <w:t xml:space="preserve">ight </w:t>
      </w:r>
      <w:r>
        <w:t>participants</w:t>
      </w:r>
      <w:r w:rsidRPr="000A6FEF">
        <w:t xml:space="preserve"> </w:t>
      </w:r>
      <w:r>
        <w:t>— Australia, Brazil, Canada, the European Union, India, Saudi Arabia, South Africa and the United States</w:t>
      </w:r>
      <w:r w:rsidRPr="000A6FEF">
        <w:t xml:space="preserve"> </w:t>
      </w:r>
      <w:r>
        <w:t xml:space="preserve">— </w:t>
      </w:r>
      <w:r w:rsidRPr="000A6FEF">
        <w:t>listed trade as a top 5 commitment in their G20 undertaking. Th</w:t>
      </w:r>
      <w:r>
        <w:t xml:space="preserve">e twelve participants not listing trade as a top 5 commitment were Argentina, China, France, Germany, Indonesia, Italy, Japan, Mexico, Republic of Korea, Russia, Turkey, the United Kingdom and Spain (as a permanent guest). </w:t>
      </w:r>
    </w:p>
  </w:footnote>
  <w:footnote w:id="54">
    <w:p w:rsidR="00934C1B" w:rsidRPr="00BF2613" w:rsidRDefault="00934C1B" w:rsidP="00AC2131">
      <w:pPr>
        <w:pStyle w:val="FootnoteText"/>
      </w:pPr>
      <w:r w:rsidRPr="0031659C">
        <w:footnoteRef/>
      </w:r>
      <w:r w:rsidRPr="004F6E82">
        <w:tab/>
      </w:r>
      <w:r>
        <w:t>The risk of trade diversion is likely to have receded through the significant reduction of MFN tariffs since the 1980s in Australia and trading partner economies. The risk of trade diversion is also lessened by the increased coverage of Australia’s two-way trade by preferential trade agreements.</w:t>
      </w:r>
    </w:p>
  </w:footnote>
  <w:footnote w:id="55">
    <w:p w:rsidR="00934C1B" w:rsidRDefault="00934C1B" w:rsidP="00AC2131">
      <w:pPr>
        <w:pStyle w:val="FootnoteText"/>
      </w:pPr>
      <w:r>
        <w:rPr>
          <w:rStyle w:val="FootnoteReference"/>
        </w:rPr>
        <w:footnoteRef/>
      </w:r>
      <w:r>
        <w:tab/>
        <w:t>The funds an Australian company sends to pay a foreign supplier must be first cleared by an intermediary bank (or clearing house) before being credited to the foreign receiving bank.</w:t>
      </w:r>
    </w:p>
  </w:footnote>
  <w:footnote w:id="56">
    <w:p w:rsidR="00934C1B" w:rsidRPr="000143ED" w:rsidRDefault="00934C1B" w:rsidP="00AC2131">
      <w:pPr>
        <w:pStyle w:val="FootnoteText"/>
      </w:pPr>
      <w:r w:rsidRPr="000143ED">
        <w:footnoteRef/>
      </w:r>
      <w:r w:rsidRPr="000143ED">
        <w:tab/>
      </w:r>
      <w:r>
        <w:t>The Australian Government has stated that public release of the negotiating text of agreements prior to signing would both undermine confidence in Australia as a negotiating partner and also the negotiations themselves (Robb 2015b).</w:t>
      </w:r>
    </w:p>
  </w:footnote>
  <w:footnote w:id="57">
    <w:p w:rsidR="00934C1B" w:rsidRDefault="00934C1B" w:rsidP="00AC2131">
      <w:pPr>
        <w:pStyle w:val="FootnoteText"/>
      </w:pPr>
      <w:r w:rsidRPr="00C14B9D">
        <w:footnoteRef/>
      </w:r>
      <w:r w:rsidRPr="007F0315">
        <w:tab/>
        <w:t>The treaty-making process does involve consultation with industry and other stakeholders as well</w:t>
      </w:r>
      <w:r w:rsidRPr="000143ED">
        <w:t xml:space="preserve"> </w:t>
      </w:r>
      <w:r>
        <w:t xml:space="preserve">as </w:t>
      </w:r>
      <w:r w:rsidRPr="000143ED">
        <w:t>scope for written submissions by interest</w:t>
      </w:r>
      <w:r>
        <w:t>ed</w:t>
      </w:r>
      <w:r w:rsidRPr="000143ED">
        <w:t xml:space="preserve"> groups.</w:t>
      </w:r>
    </w:p>
  </w:footnote>
  <w:footnote w:id="58">
    <w:p w:rsidR="00934C1B" w:rsidRDefault="00934C1B" w:rsidP="00AC2131">
      <w:pPr>
        <w:pStyle w:val="FootnoteText"/>
      </w:pPr>
      <w:r w:rsidRPr="00D20930">
        <w:footnoteRef/>
      </w:r>
      <w:r w:rsidRPr="00687B0B">
        <w:tab/>
        <w:t xml:space="preserve">Five of these countries </w:t>
      </w:r>
      <w:r w:rsidRPr="00922360">
        <w:t xml:space="preserve">(United States, Japan, Singapore, </w:t>
      </w:r>
      <w:r w:rsidRPr="004F6E82">
        <w:t>Malaysia and New Zealand) were among</w:t>
      </w:r>
      <w:r>
        <w:t xml:space="preserve"> Australia’s top ten trading partners in 2013</w:t>
      </w:r>
      <w:r>
        <w:noBreakHyphen/>
        <w:t>14. The same countries (with the exception of Malaysia) were also among the top ten destinations of Australian outward investment in 2013.</w:t>
      </w:r>
    </w:p>
  </w:footnote>
  <w:footnote w:id="59">
    <w:p w:rsidR="00934C1B" w:rsidRPr="00BB2E86" w:rsidRDefault="00934C1B" w:rsidP="00AC2131">
      <w:pPr>
        <w:pStyle w:val="FootnoteText"/>
      </w:pPr>
      <w:r w:rsidRPr="00EF3915">
        <w:rPr>
          <w:rStyle w:val="FootnoteReference"/>
          <w:position w:val="0"/>
        </w:rPr>
        <w:footnoteRef/>
      </w:r>
      <w:r w:rsidRPr="00BB2E86">
        <w:tab/>
      </w:r>
      <w:r w:rsidRPr="00D23F1B">
        <w:t>Anti-dumping duties are based on the assessed dumping margin — the difference between the ‘ascertained’ normal value of the like goods and the ascertained export price. The dumping margin or the amount of subsidy sets the maximum rate of any measure. However, this may exceed the price at which the local industry might reasonably sell its product if there were no dumped or subsidised imports under.</w:t>
      </w:r>
      <w:r>
        <w:t xml:space="preserve"> </w:t>
      </w:r>
    </w:p>
  </w:footnote>
  <w:footnote w:id="60">
    <w:p w:rsidR="00934C1B" w:rsidRDefault="00934C1B" w:rsidP="00AC2131">
      <w:pPr>
        <w:pStyle w:val="FootnoteText"/>
      </w:pPr>
      <w:r>
        <w:rPr>
          <w:rStyle w:val="FootnoteReference"/>
        </w:rPr>
        <w:footnoteRef/>
      </w:r>
      <w:r>
        <w:tab/>
        <w:t>Excluding natural resources trade as fluctuations in commodity prices skew the shares.</w:t>
      </w:r>
    </w:p>
  </w:footnote>
  <w:footnote w:id="61">
    <w:p w:rsidR="00934C1B" w:rsidRDefault="00934C1B" w:rsidP="00AC2131">
      <w:pPr>
        <w:pStyle w:val="FootnoteText"/>
      </w:pPr>
      <w:r>
        <w:rPr>
          <w:rStyle w:val="FootnoteReference"/>
        </w:rPr>
        <w:footnoteRef/>
      </w:r>
      <w:r>
        <w:tab/>
        <w:t>An earlier study by the Industry Commission (1995) found that although Australia had a relatively low level of intra-industry trade because imports of the more differentiated consumer, intermediate and capital goods dominate exports of those products, the level of intra-industry trade had trended upwards over the period 1968</w:t>
      </w:r>
      <w:r>
        <w:noBreakHyphen/>
        <w:t>69 to 1992</w:t>
      </w:r>
      <w:r>
        <w:noBreakHyphen/>
        <w:t>93.</w:t>
      </w:r>
    </w:p>
  </w:footnote>
  <w:footnote w:id="62">
    <w:p w:rsidR="00934C1B" w:rsidRDefault="00934C1B" w:rsidP="00AC2131">
      <w:pPr>
        <w:pStyle w:val="FootnoteText"/>
      </w:pPr>
      <w:r>
        <w:rPr>
          <w:rStyle w:val="FootnoteReference"/>
        </w:rPr>
        <w:footnoteRef/>
      </w:r>
      <w:r>
        <w:tab/>
        <w:t xml:space="preserve">‘Gross exports per unit of value added’ is the inverse of what is commonly known in the empirical trade literature as the ratio of ‘value added exports’ (VAX) to gross exports (Johnson and </w:t>
      </w:r>
      <w:r w:rsidR="00B51CF2">
        <w:t>Noguera</w:t>
      </w:r>
      <w:r>
        <w:t> 2012a). Aggregate value added exports is less than gross exports because of the existence of intermediate stages of production across countries.</w:t>
      </w:r>
    </w:p>
  </w:footnote>
  <w:footnote w:id="63">
    <w:p w:rsidR="00934C1B" w:rsidRDefault="00934C1B" w:rsidP="00AC2131">
      <w:pPr>
        <w:pStyle w:val="FootnoteText"/>
      </w:pPr>
      <w:r>
        <w:rPr>
          <w:rStyle w:val="FootnoteReference"/>
        </w:rPr>
        <w:footnoteRef/>
      </w:r>
      <w:r>
        <w:tab/>
        <w:t xml:space="preserve">Koopman et al. (2014) provide the first complete accounting disaggregation of gross exports. They identify nine components. Most other studies disaggregate gross exports into five value added components, for example, WTO (2013).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4C1B" w:rsidRPr="00AC2131" w:rsidRDefault="00934C1B" w:rsidP="00AC2131">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4C1B" w:rsidRPr="00AC2131" w:rsidRDefault="00934C1B" w:rsidP="00AC2131">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4C1B" w:rsidRPr="00AC2131" w:rsidRDefault="00934C1B" w:rsidP="00AC2131">
    <w:pPr>
      <w:pStyle w:val="Header"/>
      <w:spacing w:line="20" w:lineRule="exact"/>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4C1B" w:rsidRPr="00AC2131" w:rsidRDefault="00934C1B" w:rsidP="00AC2131">
    <w:pPr>
      <w:pStyle w:val="Header"/>
      <w:spacing w:line="20" w:lineRule="exact"/>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34C1B" w:rsidTr="00AC2131">
      <w:trPr>
        <w:trHeight w:val="300"/>
      </w:trPr>
      <w:tc>
        <w:tcPr>
          <w:tcW w:w="2154" w:type="dxa"/>
          <w:tcBorders>
            <w:top w:val="single" w:sz="24" w:space="0" w:color="auto"/>
          </w:tcBorders>
          <w:shd w:val="clear" w:color="auto" w:fill="auto"/>
        </w:tcPr>
        <w:p w:rsidR="00934C1B" w:rsidRDefault="00934C1B" w:rsidP="00AC2131">
          <w:pPr>
            <w:pStyle w:val="HeaderEven"/>
          </w:pPr>
        </w:p>
      </w:tc>
      <w:tc>
        <w:tcPr>
          <w:tcW w:w="6633" w:type="dxa"/>
          <w:tcBorders>
            <w:top w:val="single" w:sz="6" w:space="0" w:color="auto"/>
          </w:tcBorders>
          <w:shd w:val="clear" w:color="auto" w:fill="auto"/>
        </w:tcPr>
        <w:p w:rsidR="00934C1B" w:rsidRDefault="00934C1B" w:rsidP="00AC2131">
          <w:pPr>
            <w:pStyle w:val="HeaderEven"/>
          </w:pPr>
        </w:p>
      </w:tc>
    </w:tr>
  </w:tbl>
  <w:p w:rsidR="00934C1B" w:rsidRPr="00AC2131" w:rsidRDefault="00934C1B" w:rsidP="00AC2131">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34C1B" w:rsidTr="00AC2131">
      <w:trPr>
        <w:trHeight w:val="300"/>
      </w:trPr>
      <w:tc>
        <w:tcPr>
          <w:tcW w:w="6633" w:type="dxa"/>
          <w:tcBorders>
            <w:top w:val="single" w:sz="6" w:space="0" w:color="auto"/>
          </w:tcBorders>
          <w:shd w:val="clear" w:color="auto" w:fill="auto"/>
        </w:tcPr>
        <w:p w:rsidR="00934C1B" w:rsidRDefault="00934C1B" w:rsidP="00AC2131">
          <w:pPr>
            <w:pStyle w:val="HeaderOdd"/>
          </w:pPr>
        </w:p>
      </w:tc>
      <w:tc>
        <w:tcPr>
          <w:tcW w:w="2154" w:type="dxa"/>
          <w:tcBorders>
            <w:top w:val="single" w:sz="24" w:space="0" w:color="auto"/>
          </w:tcBorders>
          <w:shd w:val="clear" w:color="auto" w:fill="auto"/>
        </w:tcPr>
        <w:p w:rsidR="00934C1B" w:rsidRDefault="00934C1B" w:rsidP="00AC2131">
          <w:pPr>
            <w:pStyle w:val="HeaderOdd"/>
          </w:pPr>
        </w:p>
      </w:tc>
    </w:tr>
  </w:tbl>
  <w:p w:rsidR="00934C1B" w:rsidRPr="00AC2131" w:rsidRDefault="00934C1B" w:rsidP="00AC2131">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D165D"/>
    <w:multiLevelType w:val="hybridMultilevel"/>
    <w:tmpl w:val="95E27E44"/>
    <w:lvl w:ilvl="0" w:tplc="90B2A872">
      <w:start w:val="1"/>
      <w:numFmt w:val="decimal"/>
      <w:lvlText w:val="%1."/>
      <w:lvlJc w:val="left"/>
      <w:pPr>
        <w:ind w:left="700" w:hanging="360"/>
      </w:pPr>
      <w:rPr>
        <w:rFonts w:hint="default"/>
      </w:r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1">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3">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7">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1">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3">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4">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5">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6">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8">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9">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0"/>
  </w:num>
  <w:num w:numId="2">
    <w:abstractNumId w:val="1"/>
  </w:num>
  <w:num w:numId="3">
    <w:abstractNumId w:val="12"/>
  </w:num>
  <w:num w:numId="4">
    <w:abstractNumId w:val="2"/>
  </w:num>
  <w:num w:numId="5">
    <w:abstractNumId w:val="17"/>
  </w:num>
  <w:num w:numId="6">
    <w:abstractNumId w:val="14"/>
  </w:num>
  <w:num w:numId="7">
    <w:abstractNumId w:val="6"/>
  </w:num>
  <w:num w:numId="8">
    <w:abstractNumId w:val="13"/>
  </w:num>
  <w:num w:numId="9">
    <w:abstractNumId w:val="5"/>
  </w:num>
  <w:num w:numId="10">
    <w:abstractNumId w:val="4"/>
  </w:num>
  <w:num w:numId="11">
    <w:abstractNumId w:val="8"/>
  </w:num>
  <w:num w:numId="12">
    <w:abstractNumId w:val="9"/>
  </w:num>
  <w:num w:numId="13">
    <w:abstractNumId w:val="3"/>
  </w:num>
  <w:num w:numId="14">
    <w:abstractNumId w:val="15"/>
  </w:num>
  <w:num w:numId="15">
    <w:abstractNumId w:val="18"/>
  </w:num>
  <w:num w:numId="16">
    <w:abstractNumId w:val="11"/>
  </w:num>
  <w:num w:numId="17">
    <w:abstractNumId w:val="19"/>
  </w:num>
  <w:num w:numId="18">
    <w:abstractNumId w:val="16"/>
  </w:num>
  <w:num w:numId="19">
    <w:abstractNumId w:val="7"/>
  </w:num>
  <w:num w:numId="20">
    <w:abstractNumId w:val="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AC2131"/>
    <w:rsid w:val="000227D5"/>
    <w:rsid w:val="000245AA"/>
    <w:rsid w:val="0003664B"/>
    <w:rsid w:val="0004111F"/>
    <w:rsid w:val="00055077"/>
    <w:rsid w:val="000565B3"/>
    <w:rsid w:val="0007150B"/>
    <w:rsid w:val="00075BD2"/>
    <w:rsid w:val="000817B8"/>
    <w:rsid w:val="000938F5"/>
    <w:rsid w:val="00095663"/>
    <w:rsid w:val="00096E55"/>
    <w:rsid w:val="0009783E"/>
    <w:rsid w:val="000B1022"/>
    <w:rsid w:val="000B601B"/>
    <w:rsid w:val="000C207E"/>
    <w:rsid w:val="000D41E9"/>
    <w:rsid w:val="000F0035"/>
    <w:rsid w:val="000F04E7"/>
    <w:rsid w:val="000F060A"/>
    <w:rsid w:val="000F420B"/>
    <w:rsid w:val="00110116"/>
    <w:rsid w:val="00120072"/>
    <w:rsid w:val="00126EB8"/>
    <w:rsid w:val="001274D4"/>
    <w:rsid w:val="001363AA"/>
    <w:rsid w:val="0013739A"/>
    <w:rsid w:val="00142165"/>
    <w:rsid w:val="00162434"/>
    <w:rsid w:val="00183E82"/>
    <w:rsid w:val="001878BB"/>
    <w:rsid w:val="00191AE0"/>
    <w:rsid w:val="0019293B"/>
    <w:rsid w:val="0019426B"/>
    <w:rsid w:val="001A6A4B"/>
    <w:rsid w:val="001B11F8"/>
    <w:rsid w:val="001C0865"/>
    <w:rsid w:val="001C0AED"/>
    <w:rsid w:val="001C3ABA"/>
    <w:rsid w:val="001C5111"/>
    <w:rsid w:val="001E7BE8"/>
    <w:rsid w:val="001F0248"/>
    <w:rsid w:val="001F3EB3"/>
    <w:rsid w:val="001F4F86"/>
    <w:rsid w:val="00202C2C"/>
    <w:rsid w:val="00203050"/>
    <w:rsid w:val="002135AB"/>
    <w:rsid w:val="002144BE"/>
    <w:rsid w:val="00242279"/>
    <w:rsid w:val="00243997"/>
    <w:rsid w:val="0024516C"/>
    <w:rsid w:val="00245C82"/>
    <w:rsid w:val="00265089"/>
    <w:rsid w:val="002724BA"/>
    <w:rsid w:val="00291B40"/>
    <w:rsid w:val="002A11A4"/>
    <w:rsid w:val="002B4008"/>
    <w:rsid w:val="002C439F"/>
    <w:rsid w:val="002D0C42"/>
    <w:rsid w:val="002D0E8E"/>
    <w:rsid w:val="00301189"/>
    <w:rsid w:val="00301E4A"/>
    <w:rsid w:val="003168B8"/>
    <w:rsid w:val="00322D64"/>
    <w:rsid w:val="00323E09"/>
    <w:rsid w:val="00333932"/>
    <w:rsid w:val="003518AA"/>
    <w:rsid w:val="00352165"/>
    <w:rsid w:val="00353182"/>
    <w:rsid w:val="003565D9"/>
    <w:rsid w:val="003602E1"/>
    <w:rsid w:val="0037026F"/>
    <w:rsid w:val="00371240"/>
    <w:rsid w:val="00374731"/>
    <w:rsid w:val="00376E59"/>
    <w:rsid w:val="00377EC1"/>
    <w:rsid w:val="00380340"/>
    <w:rsid w:val="003919F9"/>
    <w:rsid w:val="003920CF"/>
    <w:rsid w:val="00397B41"/>
    <w:rsid w:val="003B23C2"/>
    <w:rsid w:val="003C38B5"/>
    <w:rsid w:val="003C5D99"/>
    <w:rsid w:val="003C66DB"/>
    <w:rsid w:val="003D1087"/>
    <w:rsid w:val="003D7D3A"/>
    <w:rsid w:val="003E2F59"/>
    <w:rsid w:val="003E746B"/>
    <w:rsid w:val="003F0789"/>
    <w:rsid w:val="00401882"/>
    <w:rsid w:val="004100C8"/>
    <w:rsid w:val="00411DBD"/>
    <w:rsid w:val="00412ACE"/>
    <w:rsid w:val="004145D2"/>
    <w:rsid w:val="00426CB4"/>
    <w:rsid w:val="00431249"/>
    <w:rsid w:val="00434C19"/>
    <w:rsid w:val="00450810"/>
    <w:rsid w:val="00462C59"/>
    <w:rsid w:val="00470737"/>
    <w:rsid w:val="00477144"/>
    <w:rsid w:val="00480969"/>
    <w:rsid w:val="00485A43"/>
    <w:rsid w:val="00491380"/>
    <w:rsid w:val="0049459F"/>
    <w:rsid w:val="004A38DD"/>
    <w:rsid w:val="004B43AE"/>
    <w:rsid w:val="004C30ED"/>
    <w:rsid w:val="004D5675"/>
    <w:rsid w:val="00517795"/>
    <w:rsid w:val="00523639"/>
    <w:rsid w:val="00531FE5"/>
    <w:rsid w:val="005402FA"/>
    <w:rsid w:val="005729BD"/>
    <w:rsid w:val="00580154"/>
    <w:rsid w:val="00583C39"/>
    <w:rsid w:val="00586A90"/>
    <w:rsid w:val="00587F28"/>
    <w:rsid w:val="005909CF"/>
    <w:rsid w:val="00591E71"/>
    <w:rsid w:val="005A0D41"/>
    <w:rsid w:val="005D329F"/>
    <w:rsid w:val="005D73FB"/>
    <w:rsid w:val="005F48ED"/>
    <w:rsid w:val="00604BA4"/>
    <w:rsid w:val="00606E78"/>
    <w:rsid w:val="00607BF1"/>
    <w:rsid w:val="00630D4D"/>
    <w:rsid w:val="00632A74"/>
    <w:rsid w:val="00633384"/>
    <w:rsid w:val="00654D42"/>
    <w:rsid w:val="00666E02"/>
    <w:rsid w:val="0069168C"/>
    <w:rsid w:val="006A4655"/>
    <w:rsid w:val="006B2B3C"/>
    <w:rsid w:val="006C1D81"/>
    <w:rsid w:val="006C7038"/>
    <w:rsid w:val="006E73EF"/>
    <w:rsid w:val="007079C9"/>
    <w:rsid w:val="00714D4D"/>
    <w:rsid w:val="007266D3"/>
    <w:rsid w:val="00732029"/>
    <w:rsid w:val="007604BB"/>
    <w:rsid w:val="00762339"/>
    <w:rsid w:val="00772909"/>
    <w:rsid w:val="00776DE7"/>
    <w:rsid w:val="00785232"/>
    <w:rsid w:val="0079701E"/>
    <w:rsid w:val="007A21EB"/>
    <w:rsid w:val="007B1A93"/>
    <w:rsid w:val="007C36C9"/>
    <w:rsid w:val="007D001E"/>
    <w:rsid w:val="007D6401"/>
    <w:rsid w:val="007E01E4"/>
    <w:rsid w:val="007E7A12"/>
    <w:rsid w:val="007F7107"/>
    <w:rsid w:val="00800D4C"/>
    <w:rsid w:val="0081030F"/>
    <w:rsid w:val="00812F4A"/>
    <w:rsid w:val="0082087D"/>
    <w:rsid w:val="00835771"/>
    <w:rsid w:val="00842933"/>
    <w:rsid w:val="0086082C"/>
    <w:rsid w:val="00864ADC"/>
    <w:rsid w:val="00875C3B"/>
    <w:rsid w:val="00876FF1"/>
    <w:rsid w:val="00880153"/>
    <w:rsid w:val="00880F97"/>
    <w:rsid w:val="0088133A"/>
    <w:rsid w:val="0089285E"/>
    <w:rsid w:val="0089436C"/>
    <w:rsid w:val="008C60D4"/>
    <w:rsid w:val="008D365C"/>
    <w:rsid w:val="008D7622"/>
    <w:rsid w:val="009021A6"/>
    <w:rsid w:val="009030BF"/>
    <w:rsid w:val="00903B52"/>
    <w:rsid w:val="0091032F"/>
    <w:rsid w:val="00914368"/>
    <w:rsid w:val="00931076"/>
    <w:rsid w:val="009345D9"/>
    <w:rsid w:val="00934B15"/>
    <w:rsid w:val="00934C1B"/>
    <w:rsid w:val="00940C87"/>
    <w:rsid w:val="00942B62"/>
    <w:rsid w:val="0095260D"/>
    <w:rsid w:val="0095323B"/>
    <w:rsid w:val="00955DE2"/>
    <w:rsid w:val="00956A0C"/>
    <w:rsid w:val="00956BD9"/>
    <w:rsid w:val="00962489"/>
    <w:rsid w:val="00967CD3"/>
    <w:rsid w:val="00990C2C"/>
    <w:rsid w:val="00993970"/>
    <w:rsid w:val="009A5171"/>
    <w:rsid w:val="009B392D"/>
    <w:rsid w:val="009E1844"/>
    <w:rsid w:val="009E2C4A"/>
    <w:rsid w:val="009F0D1B"/>
    <w:rsid w:val="009F5BBD"/>
    <w:rsid w:val="009F696D"/>
    <w:rsid w:val="009F6BC6"/>
    <w:rsid w:val="009F74EF"/>
    <w:rsid w:val="00A02826"/>
    <w:rsid w:val="00A0540E"/>
    <w:rsid w:val="00A15D5A"/>
    <w:rsid w:val="00A17328"/>
    <w:rsid w:val="00A23A20"/>
    <w:rsid w:val="00A24443"/>
    <w:rsid w:val="00A268B9"/>
    <w:rsid w:val="00A2703A"/>
    <w:rsid w:val="00A33DFF"/>
    <w:rsid w:val="00A35115"/>
    <w:rsid w:val="00A36D9A"/>
    <w:rsid w:val="00A451DC"/>
    <w:rsid w:val="00A554AB"/>
    <w:rsid w:val="00A57062"/>
    <w:rsid w:val="00A67781"/>
    <w:rsid w:val="00A761F9"/>
    <w:rsid w:val="00A92B53"/>
    <w:rsid w:val="00A94FA6"/>
    <w:rsid w:val="00AA49A0"/>
    <w:rsid w:val="00AA6710"/>
    <w:rsid w:val="00AB0681"/>
    <w:rsid w:val="00AC2131"/>
    <w:rsid w:val="00AC3A15"/>
    <w:rsid w:val="00AD520B"/>
    <w:rsid w:val="00AE3BCC"/>
    <w:rsid w:val="00B425C3"/>
    <w:rsid w:val="00B440AD"/>
    <w:rsid w:val="00B47101"/>
    <w:rsid w:val="00B479BB"/>
    <w:rsid w:val="00B51CF2"/>
    <w:rsid w:val="00B53E7E"/>
    <w:rsid w:val="00B6342E"/>
    <w:rsid w:val="00B7113F"/>
    <w:rsid w:val="00B83E27"/>
    <w:rsid w:val="00B84BBE"/>
    <w:rsid w:val="00BA2BCF"/>
    <w:rsid w:val="00BA5B14"/>
    <w:rsid w:val="00BA73B6"/>
    <w:rsid w:val="00BA7E27"/>
    <w:rsid w:val="00BB2603"/>
    <w:rsid w:val="00BB4FCD"/>
    <w:rsid w:val="00BC04E9"/>
    <w:rsid w:val="00BD13EA"/>
    <w:rsid w:val="00BE3808"/>
    <w:rsid w:val="00C03B88"/>
    <w:rsid w:val="00C062E9"/>
    <w:rsid w:val="00C07B64"/>
    <w:rsid w:val="00C13721"/>
    <w:rsid w:val="00C14FE4"/>
    <w:rsid w:val="00C174D6"/>
    <w:rsid w:val="00C3066D"/>
    <w:rsid w:val="00C463E1"/>
    <w:rsid w:val="00C52416"/>
    <w:rsid w:val="00C543F4"/>
    <w:rsid w:val="00C6291C"/>
    <w:rsid w:val="00C633CB"/>
    <w:rsid w:val="00C664CD"/>
    <w:rsid w:val="00C70100"/>
    <w:rsid w:val="00C736B7"/>
    <w:rsid w:val="00C81D4A"/>
    <w:rsid w:val="00C8762C"/>
    <w:rsid w:val="00CA00F9"/>
    <w:rsid w:val="00CA2961"/>
    <w:rsid w:val="00CB50D7"/>
    <w:rsid w:val="00CB7177"/>
    <w:rsid w:val="00CB7CED"/>
    <w:rsid w:val="00CC070F"/>
    <w:rsid w:val="00CC1998"/>
    <w:rsid w:val="00CC4946"/>
    <w:rsid w:val="00CC64A1"/>
    <w:rsid w:val="00CE0C61"/>
    <w:rsid w:val="00CF10EE"/>
    <w:rsid w:val="00CF3B11"/>
    <w:rsid w:val="00D004E2"/>
    <w:rsid w:val="00D06B8D"/>
    <w:rsid w:val="00D2617F"/>
    <w:rsid w:val="00D270A4"/>
    <w:rsid w:val="00D31FE9"/>
    <w:rsid w:val="00D34E1B"/>
    <w:rsid w:val="00D376BA"/>
    <w:rsid w:val="00D434A0"/>
    <w:rsid w:val="00D45634"/>
    <w:rsid w:val="00D5568A"/>
    <w:rsid w:val="00D63D73"/>
    <w:rsid w:val="00D64452"/>
    <w:rsid w:val="00D66E1E"/>
    <w:rsid w:val="00D70696"/>
    <w:rsid w:val="00D75722"/>
    <w:rsid w:val="00D80CF5"/>
    <w:rsid w:val="00DA5BBA"/>
    <w:rsid w:val="00DB26D2"/>
    <w:rsid w:val="00DB67C9"/>
    <w:rsid w:val="00DC0C95"/>
    <w:rsid w:val="00DC4F0B"/>
    <w:rsid w:val="00DD6580"/>
    <w:rsid w:val="00DE4EA6"/>
    <w:rsid w:val="00DF5D4B"/>
    <w:rsid w:val="00E01D7F"/>
    <w:rsid w:val="00E05C03"/>
    <w:rsid w:val="00E17C72"/>
    <w:rsid w:val="00E21FC6"/>
    <w:rsid w:val="00E431A9"/>
    <w:rsid w:val="00E602BD"/>
    <w:rsid w:val="00E669E2"/>
    <w:rsid w:val="00E76135"/>
    <w:rsid w:val="00E82F4F"/>
    <w:rsid w:val="00E864DF"/>
    <w:rsid w:val="00EB2CC3"/>
    <w:rsid w:val="00EC2844"/>
    <w:rsid w:val="00EC5500"/>
    <w:rsid w:val="00ED0DF2"/>
    <w:rsid w:val="00ED18F8"/>
    <w:rsid w:val="00EE6EDA"/>
    <w:rsid w:val="00EE778E"/>
    <w:rsid w:val="00EF6719"/>
    <w:rsid w:val="00EF6C6C"/>
    <w:rsid w:val="00EF7BFB"/>
    <w:rsid w:val="00F056FC"/>
    <w:rsid w:val="00F0632F"/>
    <w:rsid w:val="00F069AE"/>
    <w:rsid w:val="00F10476"/>
    <w:rsid w:val="00F11DD2"/>
    <w:rsid w:val="00F135D8"/>
    <w:rsid w:val="00F31299"/>
    <w:rsid w:val="00F3534A"/>
    <w:rsid w:val="00F35BFB"/>
    <w:rsid w:val="00F36ACC"/>
    <w:rsid w:val="00F51609"/>
    <w:rsid w:val="00F55C25"/>
    <w:rsid w:val="00F56ECB"/>
    <w:rsid w:val="00F708C8"/>
    <w:rsid w:val="00F73727"/>
    <w:rsid w:val="00F766A7"/>
    <w:rsid w:val="00F81006"/>
    <w:rsid w:val="00F82911"/>
    <w:rsid w:val="00F85325"/>
    <w:rsid w:val="00FC3D11"/>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Body Text" w:uiPriority="99" w:qFormat="1"/>
    <w:lsdException w:name="Subtitle" w:qFormat="1"/>
    <w:lsdException w:name="Strong" w:uiPriority="22" w:qFormat="1"/>
    <w:lsdException w:name="Emphasis" w:qFormat="1"/>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1,new legislation style,new legislation style1,new legislation style Ch"/>
    <w:link w:val="BodyTextChar"/>
    <w:uiPriority w:val="99"/>
    <w:qFormat/>
    <w:rsid w:val="00812F4A"/>
    <w:pPr>
      <w:spacing w:before="240" w:line="300" w:lineRule="atLeast"/>
      <w:jc w:val="both"/>
    </w:pPr>
    <w:rPr>
      <w:sz w:val="24"/>
    </w:rPr>
  </w:style>
  <w:style w:type="character" w:customStyle="1" w:styleId="BodyTextChar">
    <w:name w:val="Body Text Char"/>
    <w:aliases w:val="Body Text1 Char,new legislation style Char,new legislation style1 Char,new legislation style Ch Char"/>
    <w:basedOn w:val="DefaultParagraphFont"/>
    <w:link w:val="BodyText"/>
    <w:uiPriority w:val="99"/>
    <w:rsid w:val="00EB2CC3"/>
    <w:rPr>
      <w:sz w:val="24"/>
    </w:rPr>
  </w:style>
  <w:style w:type="character" w:customStyle="1" w:styleId="Heading1Char">
    <w:name w:val="Heading 1 Char"/>
    <w:basedOn w:val="DefaultParagraphFont"/>
    <w:link w:val="Heading1"/>
    <w:rsid w:val="00AC2131"/>
    <w:rPr>
      <w:sz w:val="52"/>
    </w:rPr>
  </w:style>
  <w:style w:type="paragraph" w:customStyle="1" w:styleId="Chapter">
    <w:name w:val="Chapter"/>
    <w:basedOn w:val="Heading1"/>
    <w:next w:val="BodyText"/>
    <w:semiHidden/>
    <w:rsid w:val="00A17328"/>
    <w:pPr>
      <w:ind w:left="0" w:firstLine="0"/>
      <w:outlineLvl w:val="9"/>
    </w:pPr>
  </w:style>
  <w:style w:type="character" w:customStyle="1" w:styleId="Heading2Char">
    <w:name w:val="Heading 2 Char"/>
    <w:basedOn w:val="DefaultParagraphFont"/>
    <w:link w:val="Heading2"/>
    <w:rsid w:val="00AC2131"/>
    <w:rPr>
      <w:rFonts w:ascii="Arial" w:hAnsi="Arial"/>
      <w:b/>
      <w:sz w:val="32"/>
    </w:rPr>
  </w:style>
  <w:style w:type="character" w:customStyle="1" w:styleId="Heading3Char">
    <w:name w:val="Heading 3 Char"/>
    <w:basedOn w:val="DefaultParagraphFont"/>
    <w:link w:val="Heading3"/>
    <w:rsid w:val="00AC2131"/>
    <w:rPr>
      <w:rFonts w:ascii="Arial" w:hAnsi="Arial"/>
      <w:b/>
      <w:sz w:val="26"/>
    </w:rPr>
  </w:style>
  <w:style w:type="character" w:customStyle="1" w:styleId="Heading4Char">
    <w:name w:val="Heading 4 Char"/>
    <w:basedOn w:val="DefaultParagraphFont"/>
    <w:link w:val="Heading4"/>
    <w:rsid w:val="00AC2131"/>
    <w:rPr>
      <w:rFonts w:ascii="Arial" w:hAnsi="Arial"/>
      <w:sz w:val="24"/>
    </w:rPr>
  </w:style>
  <w:style w:type="character" w:customStyle="1" w:styleId="Heading5Char">
    <w:name w:val="Heading 5 Char"/>
    <w:basedOn w:val="DefaultParagraphFont"/>
    <w:link w:val="Heading5"/>
    <w:rsid w:val="00812F4A"/>
    <w:rPr>
      <w:rFonts w:ascii="Arial" w:hAnsi="Arial"/>
      <w:i/>
      <w:sz w:val="22"/>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character" w:customStyle="1" w:styleId="FooterChar">
    <w:name w:val="Footer Char"/>
    <w:basedOn w:val="BodyTextChar"/>
    <w:link w:val="Footer"/>
    <w:rsid w:val="00EB2CC3"/>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character" w:customStyle="1" w:styleId="BoxChar">
    <w:name w:val="Box Char"/>
    <w:link w:val="Box"/>
    <w:locked/>
    <w:rsid w:val="00AC2131"/>
    <w:rPr>
      <w:rFonts w:ascii="Arial" w:hAnsi="Arial"/>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character" w:customStyle="1" w:styleId="BoxListBulletChar">
    <w:name w:val="Box List Bullet Char"/>
    <w:link w:val="BoxListBullet"/>
    <w:locked/>
    <w:rsid w:val="00AC2131"/>
    <w:rPr>
      <w:rFonts w:ascii="Arial" w:hAnsi="Arial"/>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character" w:customStyle="1" w:styleId="NoteChar">
    <w:name w:val="Note Char"/>
    <w:basedOn w:val="BodyTextChar"/>
    <w:link w:val="Note"/>
    <w:rsid w:val="00AC2131"/>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character" w:customStyle="1" w:styleId="CommentTextChar">
    <w:name w:val="Comment Text Char"/>
    <w:basedOn w:val="DefaultParagraphFont"/>
    <w:link w:val="CommentText"/>
    <w:semiHidden/>
    <w:rsid w:val="00AC2131"/>
    <w:rPr>
      <w:szCs w:val="24"/>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link w:val="FigureChar"/>
    <w:rsid w:val="00A17328"/>
    <w:pPr>
      <w:keepNext/>
      <w:spacing w:before="120" w:after="120" w:line="240" w:lineRule="atLeast"/>
      <w:jc w:val="center"/>
    </w:pPr>
  </w:style>
  <w:style w:type="character" w:customStyle="1" w:styleId="FigureChar">
    <w:name w:val="Figure Char"/>
    <w:basedOn w:val="DefaultParagraphFont"/>
    <w:link w:val="Figure"/>
    <w:rsid w:val="00AC2131"/>
    <w:rPr>
      <w:sz w:val="24"/>
    </w:r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character" w:customStyle="1" w:styleId="SubtitleChar">
    <w:name w:val="Subtitle Char"/>
    <w:basedOn w:val="DefaultParagraphFont"/>
    <w:link w:val="Subtitle"/>
    <w:rsid w:val="00301E4A"/>
    <w:rPr>
      <w:rFonts w:ascii="Arial" w:hAnsi="Arial"/>
      <w:szCs w:val="24"/>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character" w:customStyle="1" w:styleId="FootnoteTextChar">
    <w:name w:val="Footnote Text Char"/>
    <w:basedOn w:val="DefaultParagraphFont"/>
    <w:link w:val="FootnoteText"/>
    <w:rsid w:val="00AC2131"/>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character" w:customStyle="1" w:styleId="ListBulletChar">
    <w:name w:val="List Bullet Char"/>
    <w:basedOn w:val="DefaultParagraphFont"/>
    <w:link w:val="ListBullet"/>
    <w:rsid w:val="00AC2131"/>
    <w:rPr>
      <w:sz w:val="24"/>
    </w:r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character" w:customStyle="1" w:styleId="QuoteChar">
    <w:name w:val="Quote Char"/>
    <w:basedOn w:val="DefaultParagraphFont"/>
    <w:link w:val="Quote"/>
    <w:uiPriority w:val="29"/>
    <w:rsid w:val="00AC2131"/>
    <w:rPr>
      <w:sz w:val="22"/>
    </w:rPr>
  </w:style>
  <w:style w:type="paragraph" w:customStyle="1" w:styleId="QuoteBullet">
    <w:name w:val="Quote Bullet"/>
    <w:basedOn w:val="Quote"/>
    <w:rsid w:val="00812F4A"/>
    <w:pPr>
      <w:numPr>
        <w:numId w:val="6"/>
      </w:numPr>
    </w:p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link w:val="ReferenceChar"/>
    <w:rsid w:val="00A17328"/>
    <w:pPr>
      <w:spacing w:before="120"/>
      <w:ind w:left="340" w:hanging="340"/>
    </w:pPr>
  </w:style>
  <w:style w:type="character" w:customStyle="1" w:styleId="ReferenceChar">
    <w:name w:val="Reference Char"/>
    <w:basedOn w:val="DefaultParagraphFont"/>
    <w:link w:val="Reference"/>
    <w:locked/>
    <w:rsid w:val="00AC2131"/>
    <w:rPr>
      <w:sz w:val="24"/>
    </w:r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character" w:customStyle="1" w:styleId="TOC1Char">
    <w:name w:val="TOC 1 Char"/>
    <w:basedOn w:val="DefaultParagraphFont"/>
    <w:link w:val="TOC1"/>
    <w:rsid w:val="00F73727"/>
    <w:rPr>
      <w:rFonts w:ascii="Arial" w:hAnsi="Arial"/>
      <w:b/>
      <w:sz w:val="26"/>
      <w:szCs w:val="26"/>
      <w:lang w:eastAsia="en-US"/>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AC2131"/>
    <w:pPr>
      <w:autoSpaceDE w:val="0"/>
      <w:autoSpaceDN w:val="0"/>
      <w:adjustRightInd w:val="0"/>
    </w:pPr>
    <w:rPr>
      <w:rFonts w:ascii="Arial" w:hAnsi="Arial" w:cs="Arial"/>
      <w:color w:val="000000"/>
      <w:sz w:val="24"/>
      <w:szCs w:val="24"/>
    </w:rPr>
  </w:style>
  <w:style w:type="paragraph" w:customStyle="1" w:styleId="CM80">
    <w:name w:val="CM80"/>
    <w:basedOn w:val="Default"/>
    <w:next w:val="Default"/>
    <w:uiPriority w:val="99"/>
    <w:rsid w:val="00AC2131"/>
    <w:rPr>
      <w:color w:val="auto"/>
    </w:rPr>
  </w:style>
  <w:style w:type="paragraph" w:styleId="NormalWeb">
    <w:name w:val="Normal (Web)"/>
    <w:basedOn w:val="Normal"/>
    <w:uiPriority w:val="99"/>
    <w:unhideWhenUsed/>
    <w:rsid w:val="00AC2131"/>
    <w:pPr>
      <w:spacing w:before="100" w:beforeAutospacing="1" w:after="100" w:afterAutospacing="1"/>
    </w:pPr>
  </w:style>
  <w:style w:type="paragraph" w:customStyle="1" w:styleId="BoxSpace">
    <w:name w:val="Box Space"/>
    <w:basedOn w:val="BodyText"/>
    <w:rsid w:val="00AC2131"/>
    <w:pPr>
      <w:keepNext/>
      <w:spacing w:before="360" w:line="80" w:lineRule="exact"/>
      <w:jc w:val="left"/>
    </w:pPr>
    <w:rPr>
      <w:sz w:val="26"/>
      <w:szCs w:val="24"/>
    </w:rPr>
  </w:style>
  <w:style w:type="character" w:styleId="Hyperlink">
    <w:name w:val="Hyperlink"/>
    <w:basedOn w:val="DefaultParagraphFont"/>
    <w:unhideWhenUsed/>
    <w:rsid w:val="00AC2131"/>
    <w:rPr>
      <w:strike w:val="0"/>
      <w:dstrike w:val="0"/>
      <w:color w:val="004D84"/>
      <w:u w:val="none"/>
      <w:effect w:val="none"/>
    </w:rPr>
  </w:style>
  <w:style w:type="paragraph" w:customStyle="1" w:styleId="Pa1">
    <w:name w:val="Pa1"/>
    <w:basedOn w:val="Default"/>
    <w:next w:val="Default"/>
    <w:uiPriority w:val="99"/>
    <w:rsid w:val="00AC2131"/>
    <w:pPr>
      <w:spacing w:line="181" w:lineRule="atLeast"/>
    </w:pPr>
    <w:rPr>
      <w:rFonts w:ascii="Avenir 35 Light" w:hAnsi="Avenir 35 Light" w:cs="Times New Roman"/>
      <w:color w:val="auto"/>
    </w:rPr>
  </w:style>
  <w:style w:type="paragraph" w:styleId="ListParagraph">
    <w:name w:val="List Paragraph"/>
    <w:basedOn w:val="Normal"/>
    <w:uiPriority w:val="34"/>
    <w:qFormat/>
    <w:rsid w:val="00AC2131"/>
    <w:pPr>
      <w:ind w:left="720"/>
    </w:pPr>
    <w:rPr>
      <w:rFonts w:ascii="Calibri" w:hAnsi="Calibri"/>
      <w:sz w:val="22"/>
      <w:szCs w:val="22"/>
      <w:lang w:eastAsia="en-US"/>
    </w:rPr>
  </w:style>
  <w:style w:type="paragraph" w:customStyle="1" w:styleId="Pa11">
    <w:name w:val="Pa11"/>
    <w:basedOn w:val="Default"/>
    <w:next w:val="Default"/>
    <w:uiPriority w:val="99"/>
    <w:rsid w:val="00AC2131"/>
    <w:pPr>
      <w:spacing w:line="241" w:lineRule="atLeast"/>
    </w:pPr>
    <w:rPr>
      <w:rFonts w:ascii="HelveticaNeueLT Std Lt" w:hAnsi="HelveticaNeueLT Std Lt" w:cs="Times New Roman"/>
      <w:color w:val="auto"/>
    </w:rPr>
  </w:style>
  <w:style w:type="paragraph" w:customStyle="1" w:styleId="Pa5">
    <w:name w:val="Pa5"/>
    <w:basedOn w:val="Default"/>
    <w:next w:val="Default"/>
    <w:uiPriority w:val="99"/>
    <w:rsid w:val="00AC2131"/>
    <w:pPr>
      <w:spacing w:line="181" w:lineRule="atLeast"/>
    </w:pPr>
    <w:rPr>
      <w:rFonts w:ascii="HelveticaNeueLT Std Lt" w:hAnsi="HelveticaNeueLT Std Lt" w:cs="Times New Roman"/>
      <w:color w:val="auto"/>
    </w:rPr>
  </w:style>
  <w:style w:type="character" w:customStyle="1" w:styleId="A7">
    <w:name w:val="A7"/>
    <w:uiPriority w:val="99"/>
    <w:rsid w:val="00AC2131"/>
    <w:rPr>
      <w:rFonts w:ascii="Georgia" w:hAnsi="Georgia" w:cs="Georgia"/>
      <w:color w:val="000000"/>
      <w:sz w:val="10"/>
      <w:szCs w:val="10"/>
    </w:rPr>
  </w:style>
  <w:style w:type="character" w:customStyle="1" w:styleId="A3">
    <w:name w:val="A3"/>
    <w:uiPriority w:val="99"/>
    <w:rsid w:val="00AC2131"/>
    <w:rPr>
      <w:rFonts w:cs="Georgia"/>
      <w:color w:val="000000"/>
      <w:sz w:val="18"/>
      <w:szCs w:val="18"/>
    </w:rPr>
  </w:style>
  <w:style w:type="character" w:customStyle="1" w:styleId="A4">
    <w:name w:val="A4"/>
    <w:uiPriority w:val="99"/>
    <w:rsid w:val="00AC2131"/>
    <w:rPr>
      <w:rFonts w:cs="Helvetica 45 Light"/>
      <w:color w:val="000000"/>
      <w:sz w:val="10"/>
      <w:szCs w:val="10"/>
    </w:rPr>
  </w:style>
  <w:style w:type="paragraph" w:customStyle="1" w:styleId="Pa3">
    <w:name w:val="Pa3"/>
    <w:basedOn w:val="Default"/>
    <w:next w:val="Default"/>
    <w:uiPriority w:val="99"/>
    <w:rsid w:val="00AC2131"/>
    <w:pPr>
      <w:spacing w:line="171" w:lineRule="atLeast"/>
    </w:pPr>
    <w:rPr>
      <w:rFonts w:ascii="Helvetica 45 Light" w:hAnsi="Helvetica 45 Light" w:cs="Times New Roman"/>
      <w:color w:val="auto"/>
    </w:rPr>
  </w:style>
  <w:style w:type="paragraph" w:styleId="EndnoteText">
    <w:name w:val="endnote text"/>
    <w:basedOn w:val="Normal"/>
    <w:link w:val="EndnoteTextChar"/>
    <w:rsid w:val="00AC2131"/>
    <w:rPr>
      <w:sz w:val="20"/>
      <w:szCs w:val="20"/>
    </w:rPr>
  </w:style>
  <w:style w:type="character" w:customStyle="1" w:styleId="EndnoteTextChar">
    <w:name w:val="Endnote Text Char"/>
    <w:basedOn w:val="DefaultParagraphFont"/>
    <w:link w:val="EndnoteText"/>
    <w:rsid w:val="00AC2131"/>
  </w:style>
  <w:style w:type="character" w:styleId="EndnoteReference">
    <w:name w:val="endnote reference"/>
    <w:basedOn w:val="DefaultParagraphFont"/>
    <w:rsid w:val="00AC2131"/>
    <w:rPr>
      <w:vertAlign w:val="superscript"/>
    </w:rPr>
  </w:style>
  <w:style w:type="character" w:customStyle="1" w:styleId="A2">
    <w:name w:val="A2"/>
    <w:uiPriority w:val="99"/>
    <w:rsid w:val="00AC2131"/>
    <w:rPr>
      <w:rFonts w:cs="Times LT Std"/>
      <w:color w:val="000000"/>
      <w:sz w:val="22"/>
      <w:szCs w:val="22"/>
    </w:rPr>
  </w:style>
  <w:style w:type="paragraph" w:styleId="CommentSubject">
    <w:name w:val="annotation subject"/>
    <w:basedOn w:val="CommentText"/>
    <w:next w:val="CommentText"/>
    <w:link w:val="CommentSubjectChar"/>
    <w:rsid w:val="00AC2131"/>
    <w:pPr>
      <w:spacing w:before="0" w:line="240" w:lineRule="auto"/>
      <w:ind w:left="0" w:firstLine="0"/>
    </w:pPr>
    <w:rPr>
      <w:b/>
      <w:bCs/>
      <w:szCs w:val="20"/>
    </w:rPr>
  </w:style>
  <w:style w:type="character" w:customStyle="1" w:styleId="CommentSubjectChar">
    <w:name w:val="Comment Subject Char"/>
    <w:basedOn w:val="CommentTextChar"/>
    <w:link w:val="CommentSubject"/>
    <w:rsid w:val="00AC2131"/>
    <w:rPr>
      <w:b/>
      <w:bCs/>
      <w:szCs w:val="24"/>
    </w:rPr>
  </w:style>
  <w:style w:type="paragraph" w:styleId="Revision">
    <w:name w:val="Revision"/>
    <w:hidden/>
    <w:uiPriority w:val="99"/>
    <w:semiHidden/>
    <w:rsid w:val="00AC2131"/>
    <w:rPr>
      <w:sz w:val="24"/>
      <w:szCs w:val="24"/>
    </w:rPr>
  </w:style>
  <w:style w:type="character" w:customStyle="1" w:styleId="A8">
    <w:name w:val="A8"/>
    <w:uiPriority w:val="99"/>
    <w:rsid w:val="00AC2131"/>
    <w:rPr>
      <w:rFonts w:cs="Today SB"/>
      <w:color w:val="000000"/>
      <w:sz w:val="22"/>
      <w:szCs w:val="22"/>
    </w:rPr>
  </w:style>
  <w:style w:type="paragraph" w:customStyle="1" w:styleId="Tim">
    <w:name w:val="Tim"/>
    <w:basedOn w:val="Normal"/>
    <w:rsid w:val="00AC2131"/>
    <w:pPr>
      <w:jc w:val="both"/>
    </w:pPr>
  </w:style>
  <w:style w:type="paragraph" w:customStyle="1" w:styleId="Body">
    <w:name w:val="Body"/>
    <w:basedOn w:val="BodyText"/>
    <w:rsid w:val="00AC2131"/>
    <w:pPr>
      <w:spacing w:before="0" w:after="120" w:line="276" w:lineRule="auto"/>
      <w:jc w:val="left"/>
    </w:pPr>
    <w:rPr>
      <w:rFonts w:asciiTheme="minorHAnsi" w:eastAsiaTheme="minorHAnsi" w:hAnsiTheme="minorHAnsi" w:cstheme="minorBidi"/>
      <w:sz w:val="22"/>
      <w:szCs w:val="22"/>
    </w:rPr>
  </w:style>
  <w:style w:type="paragraph" w:customStyle="1" w:styleId="Pa21">
    <w:name w:val="Pa21"/>
    <w:basedOn w:val="Normal"/>
    <w:next w:val="Normal"/>
    <w:uiPriority w:val="99"/>
    <w:rsid w:val="00AC2131"/>
    <w:pPr>
      <w:autoSpaceDE w:val="0"/>
      <w:autoSpaceDN w:val="0"/>
      <w:adjustRightInd w:val="0"/>
      <w:spacing w:line="201" w:lineRule="atLeast"/>
    </w:pPr>
    <w:rPr>
      <w:rFonts w:ascii="FFDIN" w:hAnsi="FFDIN"/>
    </w:rPr>
  </w:style>
  <w:style w:type="paragraph" w:customStyle="1" w:styleId="Pa28">
    <w:name w:val="Pa28"/>
    <w:basedOn w:val="Normal"/>
    <w:next w:val="Normal"/>
    <w:uiPriority w:val="99"/>
    <w:rsid w:val="00AC2131"/>
    <w:pPr>
      <w:autoSpaceDE w:val="0"/>
      <w:autoSpaceDN w:val="0"/>
      <w:adjustRightInd w:val="0"/>
      <w:spacing w:line="161" w:lineRule="atLeast"/>
    </w:pPr>
    <w:rPr>
      <w:rFonts w:ascii="FFDIN" w:hAnsi="FFDIN"/>
    </w:rPr>
  </w:style>
  <w:style w:type="paragraph" w:customStyle="1" w:styleId="Pa26">
    <w:name w:val="Pa26"/>
    <w:basedOn w:val="Normal"/>
    <w:next w:val="Normal"/>
    <w:uiPriority w:val="99"/>
    <w:rsid w:val="00AC2131"/>
    <w:pPr>
      <w:autoSpaceDE w:val="0"/>
      <w:autoSpaceDN w:val="0"/>
      <w:adjustRightInd w:val="0"/>
      <w:spacing w:line="161" w:lineRule="atLeast"/>
    </w:pPr>
    <w:rPr>
      <w:rFonts w:ascii="FFDIN" w:hAnsi="FFDIN"/>
    </w:rPr>
  </w:style>
  <w:style w:type="character" w:styleId="FollowedHyperlink">
    <w:name w:val="FollowedHyperlink"/>
    <w:basedOn w:val="DefaultParagraphFont"/>
    <w:rsid w:val="00AC2131"/>
    <w:rPr>
      <w:color w:val="387DD2" w:themeColor="followedHyperlink"/>
      <w:u w:val="single"/>
    </w:rPr>
  </w:style>
  <w:style w:type="paragraph" w:customStyle="1" w:styleId="ms-rteelement-p">
    <w:name w:val="ms-rteelement-p"/>
    <w:basedOn w:val="Normal"/>
    <w:rsid w:val="00AC2131"/>
    <w:pPr>
      <w:spacing w:after="150" w:line="360" w:lineRule="atLeast"/>
    </w:pPr>
    <w:rPr>
      <w:color w:val="686868"/>
    </w:rPr>
  </w:style>
  <w:style w:type="character" w:styleId="Strong">
    <w:name w:val="Strong"/>
    <w:basedOn w:val="DefaultParagraphFont"/>
    <w:uiPriority w:val="22"/>
    <w:qFormat/>
    <w:rsid w:val="00AC2131"/>
    <w:rPr>
      <w:b/>
      <w:bCs/>
    </w:rPr>
  </w:style>
  <w:style w:type="character" w:customStyle="1" w:styleId="apple-converted-space">
    <w:name w:val="apple-converted-space"/>
    <w:basedOn w:val="DefaultParagraphFont"/>
    <w:rsid w:val="00AC2131"/>
  </w:style>
  <w:style w:type="paragraph" w:styleId="Bibliography">
    <w:name w:val="Bibliography"/>
    <w:basedOn w:val="Normal"/>
    <w:next w:val="Normal"/>
    <w:uiPriority w:val="37"/>
    <w:unhideWhenUsed/>
    <w:rsid w:val="00AC2131"/>
  </w:style>
  <w:style w:type="paragraph" w:customStyle="1" w:styleId="Tablenote">
    <w:name w:val="Table note"/>
    <w:basedOn w:val="TableBodyText"/>
    <w:rsid w:val="00AC2131"/>
    <w:pPr>
      <w:keepNext w:val="0"/>
      <w:spacing w:before="80" w:after="0" w:line="220" w:lineRule="exact"/>
      <w:ind w:left="0" w:right="0"/>
      <w:jc w:val="both"/>
    </w:pPr>
  </w:style>
  <w:style w:type="paragraph" w:customStyle="1" w:styleId="PCbulletpoints">
    <w:name w:val="PC bullet points"/>
    <w:basedOn w:val="ListBullet"/>
    <w:link w:val="PCbulletpointsChar"/>
    <w:qFormat/>
    <w:rsid w:val="00AC2131"/>
    <w:pPr>
      <w:numPr>
        <w:numId w:val="0"/>
      </w:numPr>
      <w:tabs>
        <w:tab w:val="num" w:pos="680"/>
      </w:tabs>
      <w:spacing w:line="320" w:lineRule="atLeast"/>
      <w:ind w:left="680" w:hanging="340"/>
    </w:pPr>
    <w:rPr>
      <w:sz w:val="26"/>
      <w:lang w:val="en"/>
    </w:rPr>
  </w:style>
  <w:style w:type="character" w:customStyle="1" w:styleId="PCbulletpointsChar">
    <w:name w:val="PC bullet points Char"/>
    <w:basedOn w:val="DefaultParagraphFont"/>
    <w:link w:val="PCbulletpoints"/>
    <w:rsid w:val="00AC2131"/>
    <w:rPr>
      <w:sz w:val="26"/>
      <w:lang w:val="en"/>
    </w:rPr>
  </w:style>
  <w:style w:type="character" w:styleId="HTMLCite">
    <w:name w:val="HTML Cite"/>
    <w:basedOn w:val="DefaultParagraphFont"/>
    <w:uiPriority w:val="99"/>
    <w:unhideWhenUsed/>
    <w:rsid w:val="00AC2131"/>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Body Text" w:uiPriority="99" w:qFormat="1"/>
    <w:lsdException w:name="Subtitle" w:qFormat="1"/>
    <w:lsdException w:name="Strong" w:uiPriority="22" w:qFormat="1"/>
    <w:lsdException w:name="Emphasis" w:qFormat="1"/>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1,new legislation style,new legislation style1,new legislation style Ch"/>
    <w:link w:val="BodyTextChar"/>
    <w:uiPriority w:val="99"/>
    <w:qFormat/>
    <w:rsid w:val="00812F4A"/>
    <w:pPr>
      <w:spacing w:before="240" w:line="300" w:lineRule="atLeast"/>
      <w:jc w:val="both"/>
    </w:pPr>
    <w:rPr>
      <w:sz w:val="24"/>
    </w:rPr>
  </w:style>
  <w:style w:type="character" w:customStyle="1" w:styleId="BodyTextChar">
    <w:name w:val="Body Text Char"/>
    <w:aliases w:val="Body Text1 Char,new legislation style Char,new legislation style1 Char,new legislation style Ch Char"/>
    <w:basedOn w:val="DefaultParagraphFont"/>
    <w:link w:val="BodyText"/>
    <w:uiPriority w:val="99"/>
    <w:rsid w:val="00EB2CC3"/>
    <w:rPr>
      <w:sz w:val="24"/>
    </w:rPr>
  </w:style>
  <w:style w:type="character" w:customStyle="1" w:styleId="Heading1Char">
    <w:name w:val="Heading 1 Char"/>
    <w:basedOn w:val="DefaultParagraphFont"/>
    <w:link w:val="Heading1"/>
    <w:rsid w:val="00AC2131"/>
    <w:rPr>
      <w:sz w:val="52"/>
    </w:rPr>
  </w:style>
  <w:style w:type="paragraph" w:customStyle="1" w:styleId="Chapter">
    <w:name w:val="Chapter"/>
    <w:basedOn w:val="Heading1"/>
    <w:next w:val="BodyText"/>
    <w:semiHidden/>
    <w:rsid w:val="00A17328"/>
    <w:pPr>
      <w:ind w:left="0" w:firstLine="0"/>
      <w:outlineLvl w:val="9"/>
    </w:pPr>
  </w:style>
  <w:style w:type="character" w:customStyle="1" w:styleId="Heading2Char">
    <w:name w:val="Heading 2 Char"/>
    <w:basedOn w:val="DefaultParagraphFont"/>
    <w:link w:val="Heading2"/>
    <w:rsid w:val="00AC2131"/>
    <w:rPr>
      <w:rFonts w:ascii="Arial" w:hAnsi="Arial"/>
      <w:b/>
      <w:sz w:val="32"/>
    </w:rPr>
  </w:style>
  <w:style w:type="character" w:customStyle="1" w:styleId="Heading3Char">
    <w:name w:val="Heading 3 Char"/>
    <w:basedOn w:val="DefaultParagraphFont"/>
    <w:link w:val="Heading3"/>
    <w:rsid w:val="00AC2131"/>
    <w:rPr>
      <w:rFonts w:ascii="Arial" w:hAnsi="Arial"/>
      <w:b/>
      <w:sz w:val="26"/>
    </w:rPr>
  </w:style>
  <w:style w:type="character" w:customStyle="1" w:styleId="Heading4Char">
    <w:name w:val="Heading 4 Char"/>
    <w:basedOn w:val="DefaultParagraphFont"/>
    <w:link w:val="Heading4"/>
    <w:rsid w:val="00AC2131"/>
    <w:rPr>
      <w:rFonts w:ascii="Arial" w:hAnsi="Arial"/>
      <w:sz w:val="24"/>
    </w:rPr>
  </w:style>
  <w:style w:type="character" w:customStyle="1" w:styleId="Heading5Char">
    <w:name w:val="Heading 5 Char"/>
    <w:basedOn w:val="DefaultParagraphFont"/>
    <w:link w:val="Heading5"/>
    <w:rsid w:val="00812F4A"/>
    <w:rPr>
      <w:rFonts w:ascii="Arial" w:hAnsi="Arial"/>
      <w:i/>
      <w:sz w:val="22"/>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character" w:customStyle="1" w:styleId="FooterChar">
    <w:name w:val="Footer Char"/>
    <w:basedOn w:val="BodyTextChar"/>
    <w:link w:val="Footer"/>
    <w:rsid w:val="00EB2CC3"/>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character" w:customStyle="1" w:styleId="BoxChar">
    <w:name w:val="Box Char"/>
    <w:link w:val="Box"/>
    <w:locked/>
    <w:rsid w:val="00AC2131"/>
    <w:rPr>
      <w:rFonts w:ascii="Arial" w:hAnsi="Arial"/>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character" w:customStyle="1" w:styleId="BoxListBulletChar">
    <w:name w:val="Box List Bullet Char"/>
    <w:link w:val="BoxListBullet"/>
    <w:locked/>
    <w:rsid w:val="00AC2131"/>
    <w:rPr>
      <w:rFonts w:ascii="Arial" w:hAnsi="Arial"/>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character" w:customStyle="1" w:styleId="NoteChar">
    <w:name w:val="Note Char"/>
    <w:basedOn w:val="BodyTextChar"/>
    <w:link w:val="Note"/>
    <w:rsid w:val="00AC2131"/>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character" w:customStyle="1" w:styleId="CommentTextChar">
    <w:name w:val="Comment Text Char"/>
    <w:basedOn w:val="DefaultParagraphFont"/>
    <w:link w:val="CommentText"/>
    <w:semiHidden/>
    <w:rsid w:val="00AC2131"/>
    <w:rPr>
      <w:szCs w:val="24"/>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link w:val="FigureChar"/>
    <w:rsid w:val="00A17328"/>
    <w:pPr>
      <w:keepNext/>
      <w:spacing w:before="120" w:after="120" w:line="240" w:lineRule="atLeast"/>
      <w:jc w:val="center"/>
    </w:pPr>
  </w:style>
  <w:style w:type="character" w:customStyle="1" w:styleId="FigureChar">
    <w:name w:val="Figure Char"/>
    <w:basedOn w:val="DefaultParagraphFont"/>
    <w:link w:val="Figure"/>
    <w:rsid w:val="00AC2131"/>
    <w:rPr>
      <w:sz w:val="24"/>
    </w:r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character" w:customStyle="1" w:styleId="SubtitleChar">
    <w:name w:val="Subtitle Char"/>
    <w:basedOn w:val="DefaultParagraphFont"/>
    <w:link w:val="Subtitle"/>
    <w:rsid w:val="00301E4A"/>
    <w:rPr>
      <w:rFonts w:ascii="Arial" w:hAnsi="Arial"/>
      <w:szCs w:val="24"/>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character" w:customStyle="1" w:styleId="FootnoteTextChar">
    <w:name w:val="Footnote Text Char"/>
    <w:basedOn w:val="DefaultParagraphFont"/>
    <w:link w:val="FootnoteText"/>
    <w:rsid w:val="00AC2131"/>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character" w:customStyle="1" w:styleId="ListBulletChar">
    <w:name w:val="List Bullet Char"/>
    <w:basedOn w:val="DefaultParagraphFont"/>
    <w:link w:val="ListBullet"/>
    <w:rsid w:val="00AC2131"/>
    <w:rPr>
      <w:sz w:val="24"/>
    </w:r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character" w:customStyle="1" w:styleId="QuoteChar">
    <w:name w:val="Quote Char"/>
    <w:basedOn w:val="DefaultParagraphFont"/>
    <w:link w:val="Quote"/>
    <w:uiPriority w:val="29"/>
    <w:rsid w:val="00AC2131"/>
    <w:rPr>
      <w:sz w:val="22"/>
    </w:rPr>
  </w:style>
  <w:style w:type="paragraph" w:customStyle="1" w:styleId="QuoteBullet">
    <w:name w:val="Quote Bullet"/>
    <w:basedOn w:val="Quote"/>
    <w:rsid w:val="00812F4A"/>
    <w:pPr>
      <w:numPr>
        <w:numId w:val="6"/>
      </w:numPr>
    </w:p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link w:val="ReferenceChar"/>
    <w:rsid w:val="00A17328"/>
    <w:pPr>
      <w:spacing w:before="120"/>
      <w:ind w:left="340" w:hanging="340"/>
    </w:pPr>
  </w:style>
  <w:style w:type="character" w:customStyle="1" w:styleId="ReferenceChar">
    <w:name w:val="Reference Char"/>
    <w:basedOn w:val="DefaultParagraphFont"/>
    <w:link w:val="Reference"/>
    <w:locked/>
    <w:rsid w:val="00AC2131"/>
    <w:rPr>
      <w:sz w:val="24"/>
    </w:r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character" w:customStyle="1" w:styleId="TOC1Char">
    <w:name w:val="TOC 1 Char"/>
    <w:basedOn w:val="DefaultParagraphFont"/>
    <w:link w:val="TOC1"/>
    <w:rsid w:val="00F73727"/>
    <w:rPr>
      <w:rFonts w:ascii="Arial" w:hAnsi="Arial"/>
      <w:b/>
      <w:sz w:val="26"/>
      <w:szCs w:val="26"/>
      <w:lang w:eastAsia="en-US"/>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AC2131"/>
    <w:pPr>
      <w:autoSpaceDE w:val="0"/>
      <w:autoSpaceDN w:val="0"/>
      <w:adjustRightInd w:val="0"/>
    </w:pPr>
    <w:rPr>
      <w:rFonts w:ascii="Arial" w:hAnsi="Arial" w:cs="Arial"/>
      <w:color w:val="000000"/>
      <w:sz w:val="24"/>
      <w:szCs w:val="24"/>
    </w:rPr>
  </w:style>
  <w:style w:type="paragraph" w:customStyle="1" w:styleId="CM80">
    <w:name w:val="CM80"/>
    <w:basedOn w:val="Default"/>
    <w:next w:val="Default"/>
    <w:uiPriority w:val="99"/>
    <w:rsid w:val="00AC2131"/>
    <w:rPr>
      <w:color w:val="auto"/>
    </w:rPr>
  </w:style>
  <w:style w:type="paragraph" w:styleId="NormalWeb">
    <w:name w:val="Normal (Web)"/>
    <w:basedOn w:val="Normal"/>
    <w:uiPriority w:val="99"/>
    <w:unhideWhenUsed/>
    <w:rsid w:val="00AC2131"/>
    <w:pPr>
      <w:spacing w:before="100" w:beforeAutospacing="1" w:after="100" w:afterAutospacing="1"/>
    </w:pPr>
  </w:style>
  <w:style w:type="paragraph" w:customStyle="1" w:styleId="BoxSpace">
    <w:name w:val="Box Space"/>
    <w:basedOn w:val="BodyText"/>
    <w:rsid w:val="00AC2131"/>
    <w:pPr>
      <w:keepNext/>
      <w:spacing w:before="360" w:line="80" w:lineRule="exact"/>
      <w:jc w:val="left"/>
    </w:pPr>
    <w:rPr>
      <w:sz w:val="26"/>
      <w:szCs w:val="24"/>
    </w:rPr>
  </w:style>
  <w:style w:type="character" w:styleId="Hyperlink">
    <w:name w:val="Hyperlink"/>
    <w:basedOn w:val="DefaultParagraphFont"/>
    <w:unhideWhenUsed/>
    <w:rsid w:val="00AC2131"/>
    <w:rPr>
      <w:strike w:val="0"/>
      <w:dstrike w:val="0"/>
      <w:color w:val="004D84"/>
      <w:u w:val="none"/>
      <w:effect w:val="none"/>
    </w:rPr>
  </w:style>
  <w:style w:type="paragraph" w:customStyle="1" w:styleId="Pa1">
    <w:name w:val="Pa1"/>
    <w:basedOn w:val="Default"/>
    <w:next w:val="Default"/>
    <w:uiPriority w:val="99"/>
    <w:rsid w:val="00AC2131"/>
    <w:pPr>
      <w:spacing w:line="181" w:lineRule="atLeast"/>
    </w:pPr>
    <w:rPr>
      <w:rFonts w:ascii="Avenir 35 Light" w:hAnsi="Avenir 35 Light" w:cs="Times New Roman"/>
      <w:color w:val="auto"/>
    </w:rPr>
  </w:style>
  <w:style w:type="paragraph" w:styleId="ListParagraph">
    <w:name w:val="List Paragraph"/>
    <w:basedOn w:val="Normal"/>
    <w:uiPriority w:val="34"/>
    <w:qFormat/>
    <w:rsid w:val="00AC2131"/>
    <w:pPr>
      <w:ind w:left="720"/>
    </w:pPr>
    <w:rPr>
      <w:rFonts w:ascii="Calibri" w:hAnsi="Calibri"/>
      <w:sz w:val="22"/>
      <w:szCs w:val="22"/>
      <w:lang w:eastAsia="en-US"/>
    </w:rPr>
  </w:style>
  <w:style w:type="paragraph" w:customStyle="1" w:styleId="Pa11">
    <w:name w:val="Pa11"/>
    <w:basedOn w:val="Default"/>
    <w:next w:val="Default"/>
    <w:uiPriority w:val="99"/>
    <w:rsid w:val="00AC2131"/>
    <w:pPr>
      <w:spacing w:line="241" w:lineRule="atLeast"/>
    </w:pPr>
    <w:rPr>
      <w:rFonts w:ascii="HelveticaNeueLT Std Lt" w:hAnsi="HelveticaNeueLT Std Lt" w:cs="Times New Roman"/>
      <w:color w:val="auto"/>
    </w:rPr>
  </w:style>
  <w:style w:type="paragraph" w:customStyle="1" w:styleId="Pa5">
    <w:name w:val="Pa5"/>
    <w:basedOn w:val="Default"/>
    <w:next w:val="Default"/>
    <w:uiPriority w:val="99"/>
    <w:rsid w:val="00AC2131"/>
    <w:pPr>
      <w:spacing w:line="181" w:lineRule="atLeast"/>
    </w:pPr>
    <w:rPr>
      <w:rFonts w:ascii="HelveticaNeueLT Std Lt" w:hAnsi="HelveticaNeueLT Std Lt" w:cs="Times New Roman"/>
      <w:color w:val="auto"/>
    </w:rPr>
  </w:style>
  <w:style w:type="character" w:customStyle="1" w:styleId="A7">
    <w:name w:val="A7"/>
    <w:uiPriority w:val="99"/>
    <w:rsid w:val="00AC2131"/>
    <w:rPr>
      <w:rFonts w:ascii="Georgia" w:hAnsi="Georgia" w:cs="Georgia"/>
      <w:color w:val="000000"/>
      <w:sz w:val="10"/>
      <w:szCs w:val="10"/>
    </w:rPr>
  </w:style>
  <w:style w:type="character" w:customStyle="1" w:styleId="A3">
    <w:name w:val="A3"/>
    <w:uiPriority w:val="99"/>
    <w:rsid w:val="00AC2131"/>
    <w:rPr>
      <w:rFonts w:cs="Georgia"/>
      <w:color w:val="000000"/>
      <w:sz w:val="18"/>
      <w:szCs w:val="18"/>
    </w:rPr>
  </w:style>
  <w:style w:type="character" w:customStyle="1" w:styleId="A4">
    <w:name w:val="A4"/>
    <w:uiPriority w:val="99"/>
    <w:rsid w:val="00AC2131"/>
    <w:rPr>
      <w:rFonts w:cs="Helvetica 45 Light"/>
      <w:color w:val="000000"/>
      <w:sz w:val="10"/>
      <w:szCs w:val="10"/>
    </w:rPr>
  </w:style>
  <w:style w:type="paragraph" w:customStyle="1" w:styleId="Pa3">
    <w:name w:val="Pa3"/>
    <w:basedOn w:val="Default"/>
    <w:next w:val="Default"/>
    <w:uiPriority w:val="99"/>
    <w:rsid w:val="00AC2131"/>
    <w:pPr>
      <w:spacing w:line="171" w:lineRule="atLeast"/>
    </w:pPr>
    <w:rPr>
      <w:rFonts w:ascii="Helvetica 45 Light" w:hAnsi="Helvetica 45 Light" w:cs="Times New Roman"/>
      <w:color w:val="auto"/>
    </w:rPr>
  </w:style>
  <w:style w:type="paragraph" w:styleId="EndnoteText">
    <w:name w:val="endnote text"/>
    <w:basedOn w:val="Normal"/>
    <w:link w:val="EndnoteTextChar"/>
    <w:rsid w:val="00AC2131"/>
    <w:rPr>
      <w:sz w:val="20"/>
      <w:szCs w:val="20"/>
    </w:rPr>
  </w:style>
  <w:style w:type="character" w:customStyle="1" w:styleId="EndnoteTextChar">
    <w:name w:val="Endnote Text Char"/>
    <w:basedOn w:val="DefaultParagraphFont"/>
    <w:link w:val="EndnoteText"/>
    <w:rsid w:val="00AC2131"/>
  </w:style>
  <w:style w:type="character" w:styleId="EndnoteReference">
    <w:name w:val="endnote reference"/>
    <w:basedOn w:val="DefaultParagraphFont"/>
    <w:rsid w:val="00AC2131"/>
    <w:rPr>
      <w:vertAlign w:val="superscript"/>
    </w:rPr>
  </w:style>
  <w:style w:type="character" w:customStyle="1" w:styleId="A2">
    <w:name w:val="A2"/>
    <w:uiPriority w:val="99"/>
    <w:rsid w:val="00AC2131"/>
    <w:rPr>
      <w:rFonts w:cs="Times LT Std"/>
      <w:color w:val="000000"/>
      <w:sz w:val="22"/>
      <w:szCs w:val="22"/>
    </w:rPr>
  </w:style>
  <w:style w:type="paragraph" w:styleId="CommentSubject">
    <w:name w:val="annotation subject"/>
    <w:basedOn w:val="CommentText"/>
    <w:next w:val="CommentText"/>
    <w:link w:val="CommentSubjectChar"/>
    <w:rsid w:val="00AC2131"/>
    <w:pPr>
      <w:spacing w:before="0" w:line="240" w:lineRule="auto"/>
      <w:ind w:left="0" w:firstLine="0"/>
    </w:pPr>
    <w:rPr>
      <w:b/>
      <w:bCs/>
      <w:szCs w:val="20"/>
    </w:rPr>
  </w:style>
  <w:style w:type="character" w:customStyle="1" w:styleId="CommentSubjectChar">
    <w:name w:val="Comment Subject Char"/>
    <w:basedOn w:val="CommentTextChar"/>
    <w:link w:val="CommentSubject"/>
    <w:rsid w:val="00AC2131"/>
    <w:rPr>
      <w:b/>
      <w:bCs/>
      <w:szCs w:val="24"/>
    </w:rPr>
  </w:style>
  <w:style w:type="paragraph" w:styleId="Revision">
    <w:name w:val="Revision"/>
    <w:hidden/>
    <w:uiPriority w:val="99"/>
    <w:semiHidden/>
    <w:rsid w:val="00AC2131"/>
    <w:rPr>
      <w:sz w:val="24"/>
      <w:szCs w:val="24"/>
    </w:rPr>
  </w:style>
  <w:style w:type="character" w:customStyle="1" w:styleId="A8">
    <w:name w:val="A8"/>
    <w:uiPriority w:val="99"/>
    <w:rsid w:val="00AC2131"/>
    <w:rPr>
      <w:rFonts w:cs="Today SB"/>
      <w:color w:val="000000"/>
      <w:sz w:val="22"/>
      <w:szCs w:val="22"/>
    </w:rPr>
  </w:style>
  <w:style w:type="paragraph" w:customStyle="1" w:styleId="Tim">
    <w:name w:val="Tim"/>
    <w:basedOn w:val="Normal"/>
    <w:rsid w:val="00AC2131"/>
    <w:pPr>
      <w:jc w:val="both"/>
    </w:pPr>
  </w:style>
  <w:style w:type="paragraph" w:customStyle="1" w:styleId="Body">
    <w:name w:val="Body"/>
    <w:basedOn w:val="BodyText"/>
    <w:rsid w:val="00AC2131"/>
    <w:pPr>
      <w:spacing w:before="0" w:after="120" w:line="276" w:lineRule="auto"/>
      <w:jc w:val="left"/>
    </w:pPr>
    <w:rPr>
      <w:rFonts w:asciiTheme="minorHAnsi" w:eastAsiaTheme="minorHAnsi" w:hAnsiTheme="minorHAnsi" w:cstheme="minorBidi"/>
      <w:sz w:val="22"/>
      <w:szCs w:val="22"/>
    </w:rPr>
  </w:style>
  <w:style w:type="paragraph" w:customStyle="1" w:styleId="Pa21">
    <w:name w:val="Pa21"/>
    <w:basedOn w:val="Normal"/>
    <w:next w:val="Normal"/>
    <w:uiPriority w:val="99"/>
    <w:rsid w:val="00AC2131"/>
    <w:pPr>
      <w:autoSpaceDE w:val="0"/>
      <w:autoSpaceDN w:val="0"/>
      <w:adjustRightInd w:val="0"/>
      <w:spacing w:line="201" w:lineRule="atLeast"/>
    </w:pPr>
    <w:rPr>
      <w:rFonts w:ascii="FFDIN" w:hAnsi="FFDIN"/>
    </w:rPr>
  </w:style>
  <w:style w:type="paragraph" w:customStyle="1" w:styleId="Pa28">
    <w:name w:val="Pa28"/>
    <w:basedOn w:val="Normal"/>
    <w:next w:val="Normal"/>
    <w:uiPriority w:val="99"/>
    <w:rsid w:val="00AC2131"/>
    <w:pPr>
      <w:autoSpaceDE w:val="0"/>
      <w:autoSpaceDN w:val="0"/>
      <w:adjustRightInd w:val="0"/>
      <w:spacing w:line="161" w:lineRule="atLeast"/>
    </w:pPr>
    <w:rPr>
      <w:rFonts w:ascii="FFDIN" w:hAnsi="FFDIN"/>
    </w:rPr>
  </w:style>
  <w:style w:type="paragraph" w:customStyle="1" w:styleId="Pa26">
    <w:name w:val="Pa26"/>
    <w:basedOn w:val="Normal"/>
    <w:next w:val="Normal"/>
    <w:uiPriority w:val="99"/>
    <w:rsid w:val="00AC2131"/>
    <w:pPr>
      <w:autoSpaceDE w:val="0"/>
      <w:autoSpaceDN w:val="0"/>
      <w:adjustRightInd w:val="0"/>
      <w:spacing w:line="161" w:lineRule="atLeast"/>
    </w:pPr>
    <w:rPr>
      <w:rFonts w:ascii="FFDIN" w:hAnsi="FFDIN"/>
    </w:rPr>
  </w:style>
  <w:style w:type="character" w:styleId="FollowedHyperlink">
    <w:name w:val="FollowedHyperlink"/>
    <w:basedOn w:val="DefaultParagraphFont"/>
    <w:rsid w:val="00AC2131"/>
    <w:rPr>
      <w:color w:val="387DD2" w:themeColor="followedHyperlink"/>
      <w:u w:val="single"/>
    </w:rPr>
  </w:style>
  <w:style w:type="paragraph" w:customStyle="1" w:styleId="ms-rteelement-p">
    <w:name w:val="ms-rteelement-p"/>
    <w:basedOn w:val="Normal"/>
    <w:rsid w:val="00AC2131"/>
    <w:pPr>
      <w:spacing w:after="150" w:line="360" w:lineRule="atLeast"/>
    </w:pPr>
    <w:rPr>
      <w:color w:val="686868"/>
    </w:rPr>
  </w:style>
  <w:style w:type="character" w:styleId="Strong">
    <w:name w:val="Strong"/>
    <w:basedOn w:val="DefaultParagraphFont"/>
    <w:uiPriority w:val="22"/>
    <w:qFormat/>
    <w:rsid w:val="00AC2131"/>
    <w:rPr>
      <w:b/>
      <w:bCs/>
    </w:rPr>
  </w:style>
  <w:style w:type="character" w:customStyle="1" w:styleId="apple-converted-space">
    <w:name w:val="apple-converted-space"/>
    <w:basedOn w:val="DefaultParagraphFont"/>
    <w:rsid w:val="00AC2131"/>
  </w:style>
  <w:style w:type="paragraph" w:styleId="Bibliography">
    <w:name w:val="Bibliography"/>
    <w:basedOn w:val="Normal"/>
    <w:next w:val="Normal"/>
    <w:uiPriority w:val="37"/>
    <w:unhideWhenUsed/>
    <w:rsid w:val="00AC2131"/>
  </w:style>
  <w:style w:type="paragraph" w:customStyle="1" w:styleId="Tablenote">
    <w:name w:val="Table note"/>
    <w:basedOn w:val="TableBodyText"/>
    <w:rsid w:val="00AC2131"/>
    <w:pPr>
      <w:keepNext w:val="0"/>
      <w:spacing w:before="80" w:after="0" w:line="220" w:lineRule="exact"/>
      <w:ind w:left="0" w:right="0"/>
      <w:jc w:val="both"/>
    </w:pPr>
  </w:style>
  <w:style w:type="paragraph" w:customStyle="1" w:styleId="PCbulletpoints">
    <w:name w:val="PC bullet points"/>
    <w:basedOn w:val="ListBullet"/>
    <w:link w:val="PCbulletpointsChar"/>
    <w:qFormat/>
    <w:rsid w:val="00AC2131"/>
    <w:pPr>
      <w:numPr>
        <w:numId w:val="0"/>
      </w:numPr>
      <w:tabs>
        <w:tab w:val="num" w:pos="680"/>
      </w:tabs>
      <w:spacing w:line="320" w:lineRule="atLeast"/>
      <w:ind w:left="680" w:hanging="340"/>
    </w:pPr>
    <w:rPr>
      <w:sz w:val="26"/>
      <w:lang w:val="en"/>
    </w:rPr>
  </w:style>
  <w:style w:type="character" w:customStyle="1" w:styleId="PCbulletpointsChar">
    <w:name w:val="PC bullet points Char"/>
    <w:basedOn w:val="DefaultParagraphFont"/>
    <w:link w:val="PCbulletpoints"/>
    <w:rsid w:val="00AC2131"/>
    <w:rPr>
      <w:sz w:val="26"/>
      <w:lang w:val="en"/>
    </w:rPr>
  </w:style>
  <w:style w:type="character" w:styleId="HTMLCite">
    <w:name w:val="HTML Cite"/>
    <w:basedOn w:val="DefaultParagraphFont"/>
    <w:uiPriority w:val="99"/>
    <w:unhideWhenUsed/>
    <w:rsid w:val="00AC213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header" Target="header30.xml"/><Relationship Id="rId21" Type="http://schemas.openxmlformats.org/officeDocument/2006/relationships/footer" Target="footer2.xml"/><Relationship Id="rId42" Type="http://schemas.openxmlformats.org/officeDocument/2006/relationships/image" Target="media/image18.emf"/><Relationship Id="rId47" Type="http://schemas.openxmlformats.org/officeDocument/2006/relationships/header" Target="header10.xml"/><Relationship Id="rId63" Type="http://schemas.openxmlformats.org/officeDocument/2006/relationships/header" Target="header12.xml"/><Relationship Id="rId68" Type="http://schemas.openxmlformats.org/officeDocument/2006/relationships/footer" Target="footer13.xml"/><Relationship Id="rId84" Type="http://schemas.openxmlformats.org/officeDocument/2006/relationships/image" Target="media/image36.emf"/><Relationship Id="rId89" Type="http://schemas.openxmlformats.org/officeDocument/2006/relationships/image" Target="media/image41.emf"/><Relationship Id="rId112" Type="http://schemas.openxmlformats.org/officeDocument/2006/relationships/header" Target="header28.xml"/><Relationship Id="rId16" Type="http://schemas.openxmlformats.org/officeDocument/2006/relationships/image" Target="media/image8.emf"/><Relationship Id="rId107" Type="http://schemas.openxmlformats.org/officeDocument/2006/relationships/header" Target="header25.xml"/><Relationship Id="rId11" Type="http://schemas.openxmlformats.org/officeDocument/2006/relationships/image" Target="media/image3.emf"/><Relationship Id="rId32" Type="http://schemas.openxmlformats.org/officeDocument/2006/relationships/header" Target="header6.xml"/><Relationship Id="rId37" Type="http://schemas.openxmlformats.org/officeDocument/2006/relationships/image" Target="media/image17.emf"/><Relationship Id="rId53" Type="http://schemas.openxmlformats.org/officeDocument/2006/relationships/image" Target="media/image25.emf"/><Relationship Id="rId58" Type="http://schemas.openxmlformats.org/officeDocument/2006/relationships/image" Target="media/image30.emf"/><Relationship Id="rId74" Type="http://schemas.openxmlformats.org/officeDocument/2006/relationships/footer" Target="footer15.xml"/><Relationship Id="rId79" Type="http://schemas.openxmlformats.org/officeDocument/2006/relationships/footer" Target="footer18.xml"/><Relationship Id="rId102" Type="http://schemas.openxmlformats.org/officeDocument/2006/relationships/footer" Target="footer22.xml"/><Relationship Id="rId123" Type="http://schemas.openxmlformats.org/officeDocument/2006/relationships/footer" Target="footer32.xml"/><Relationship Id="rId5" Type="http://schemas.openxmlformats.org/officeDocument/2006/relationships/settings" Target="settings.xml"/><Relationship Id="rId61" Type="http://schemas.openxmlformats.org/officeDocument/2006/relationships/image" Target="media/image33.emf"/><Relationship Id="rId82" Type="http://schemas.openxmlformats.org/officeDocument/2006/relationships/footer" Target="footer19.xml"/><Relationship Id="rId90" Type="http://schemas.openxmlformats.org/officeDocument/2006/relationships/image" Target="media/image42.emf"/><Relationship Id="rId95" Type="http://schemas.openxmlformats.org/officeDocument/2006/relationships/image" Target="media/image47.emf"/><Relationship Id="rId19" Type="http://schemas.openxmlformats.org/officeDocument/2006/relationships/header" Target="header2.xml"/><Relationship Id="rId14" Type="http://schemas.openxmlformats.org/officeDocument/2006/relationships/image" Target="media/image6.emf"/><Relationship Id="rId22" Type="http://schemas.openxmlformats.org/officeDocument/2006/relationships/header" Target="header3.xml"/><Relationship Id="rId27"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footer" Target="footer9.xml"/><Relationship Id="rId56" Type="http://schemas.openxmlformats.org/officeDocument/2006/relationships/image" Target="media/image28.emf"/><Relationship Id="rId64" Type="http://schemas.openxmlformats.org/officeDocument/2006/relationships/footer" Target="footer11.xml"/><Relationship Id="rId69" Type="http://schemas.openxmlformats.org/officeDocument/2006/relationships/footer" Target="footer14.xml"/><Relationship Id="rId77" Type="http://schemas.openxmlformats.org/officeDocument/2006/relationships/header" Target="header18.xml"/><Relationship Id="rId100" Type="http://schemas.openxmlformats.org/officeDocument/2006/relationships/header" Target="header22.xml"/><Relationship Id="rId105" Type="http://schemas.openxmlformats.org/officeDocument/2006/relationships/footer" Target="footer23.xml"/><Relationship Id="rId113" Type="http://schemas.openxmlformats.org/officeDocument/2006/relationships/footer" Target="footer27.xml"/><Relationship Id="rId118" Type="http://schemas.openxmlformats.org/officeDocument/2006/relationships/footer" Target="footer29.xml"/><Relationship Id="rId8" Type="http://schemas.openxmlformats.org/officeDocument/2006/relationships/endnotes" Target="endnotes.xml"/><Relationship Id="rId51" Type="http://schemas.openxmlformats.org/officeDocument/2006/relationships/image" Target="media/image23.emf"/><Relationship Id="rId72" Type="http://schemas.openxmlformats.org/officeDocument/2006/relationships/header" Target="header15.xml"/><Relationship Id="rId80" Type="http://schemas.openxmlformats.org/officeDocument/2006/relationships/header" Target="header19.xml"/><Relationship Id="rId85" Type="http://schemas.openxmlformats.org/officeDocument/2006/relationships/image" Target="media/image37.emf"/><Relationship Id="rId93" Type="http://schemas.openxmlformats.org/officeDocument/2006/relationships/image" Target="media/image45.emf"/><Relationship Id="rId98" Type="http://schemas.openxmlformats.org/officeDocument/2006/relationships/image" Target="media/image50.emf"/><Relationship Id="rId121" Type="http://schemas.openxmlformats.org/officeDocument/2006/relationships/header" Target="header32.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footer" Target="footer4.xml"/><Relationship Id="rId33" Type="http://schemas.openxmlformats.org/officeDocument/2006/relationships/footer" Target="footer5.xml"/><Relationship Id="rId38" Type="http://schemas.openxmlformats.org/officeDocument/2006/relationships/header" Target="header7.xml"/><Relationship Id="rId46" Type="http://schemas.openxmlformats.org/officeDocument/2006/relationships/header" Target="header9.xml"/><Relationship Id="rId59" Type="http://schemas.openxmlformats.org/officeDocument/2006/relationships/image" Target="media/image31.emf"/><Relationship Id="rId67" Type="http://schemas.openxmlformats.org/officeDocument/2006/relationships/header" Target="header14.xml"/><Relationship Id="rId103" Type="http://schemas.openxmlformats.org/officeDocument/2006/relationships/header" Target="header23.xml"/><Relationship Id="rId108" Type="http://schemas.openxmlformats.org/officeDocument/2006/relationships/header" Target="header26.xml"/><Relationship Id="rId116" Type="http://schemas.openxmlformats.org/officeDocument/2006/relationships/header" Target="header29.xml"/><Relationship Id="rId124" Type="http://schemas.openxmlformats.org/officeDocument/2006/relationships/fontTable" Target="fontTable.xml"/><Relationship Id="rId20" Type="http://schemas.openxmlformats.org/officeDocument/2006/relationships/footer" Target="footer1.xml"/><Relationship Id="rId41" Type="http://schemas.openxmlformats.org/officeDocument/2006/relationships/footer" Target="footer8.xml"/><Relationship Id="rId54" Type="http://schemas.openxmlformats.org/officeDocument/2006/relationships/image" Target="media/image26.emf"/><Relationship Id="rId62" Type="http://schemas.openxmlformats.org/officeDocument/2006/relationships/header" Target="header11.xml"/><Relationship Id="rId70" Type="http://schemas.openxmlformats.org/officeDocument/2006/relationships/image" Target="media/image34.png"/><Relationship Id="rId75" Type="http://schemas.openxmlformats.org/officeDocument/2006/relationships/footer" Target="footer16.xml"/><Relationship Id="rId83" Type="http://schemas.openxmlformats.org/officeDocument/2006/relationships/footer" Target="footer20.xml"/><Relationship Id="rId88" Type="http://schemas.openxmlformats.org/officeDocument/2006/relationships/image" Target="media/image40.emf"/><Relationship Id="rId91" Type="http://schemas.openxmlformats.org/officeDocument/2006/relationships/image" Target="media/image43.emf"/><Relationship Id="rId96" Type="http://schemas.openxmlformats.org/officeDocument/2006/relationships/image" Target="media/image48.emf"/><Relationship Id="rId111" Type="http://schemas.openxmlformats.org/officeDocument/2006/relationships/header" Target="header27.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header" Target="header4.xml"/><Relationship Id="rId28" Type="http://schemas.openxmlformats.org/officeDocument/2006/relationships/image" Target="media/image12.emf"/><Relationship Id="rId36" Type="http://schemas.openxmlformats.org/officeDocument/2006/relationships/image" Target="media/image16.emf"/><Relationship Id="rId49" Type="http://schemas.openxmlformats.org/officeDocument/2006/relationships/footer" Target="footer10.xml"/><Relationship Id="rId57" Type="http://schemas.openxmlformats.org/officeDocument/2006/relationships/image" Target="media/image29.emf"/><Relationship Id="rId106" Type="http://schemas.openxmlformats.org/officeDocument/2006/relationships/footer" Target="footer24.xml"/><Relationship Id="rId114" Type="http://schemas.openxmlformats.org/officeDocument/2006/relationships/footer" Target="footer28.xml"/><Relationship Id="rId119" Type="http://schemas.openxmlformats.org/officeDocument/2006/relationships/footer" Target="footer30.xml"/><Relationship Id="rId10" Type="http://schemas.openxmlformats.org/officeDocument/2006/relationships/image" Target="media/image2.emf"/><Relationship Id="rId31" Type="http://schemas.openxmlformats.org/officeDocument/2006/relationships/header" Target="header5.xml"/><Relationship Id="rId44" Type="http://schemas.openxmlformats.org/officeDocument/2006/relationships/image" Target="media/image20.emf"/><Relationship Id="rId52" Type="http://schemas.openxmlformats.org/officeDocument/2006/relationships/image" Target="media/image24.emf"/><Relationship Id="rId60" Type="http://schemas.openxmlformats.org/officeDocument/2006/relationships/image" Target="media/image32.emf"/><Relationship Id="rId65" Type="http://schemas.openxmlformats.org/officeDocument/2006/relationships/footer" Target="footer12.xml"/><Relationship Id="rId73" Type="http://schemas.openxmlformats.org/officeDocument/2006/relationships/header" Target="header16.xml"/><Relationship Id="rId78" Type="http://schemas.openxmlformats.org/officeDocument/2006/relationships/footer" Target="footer17.xml"/><Relationship Id="rId81" Type="http://schemas.openxmlformats.org/officeDocument/2006/relationships/header" Target="header20.xml"/><Relationship Id="rId86" Type="http://schemas.openxmlformats.org/officeDocument/2006/relationships/image" Target="media/image38.emf"/><Relationship Id="rId94" Type="http://schemas.openxmlformats.org/officeDocument/2006/relationships/image" Target="media/image46.emf"/><Relationship Id="rId99" Type="http://schemas.openxmlformats.org/officeDocument/2006/relationships/header" Target="header21.xml"/><Relationship Id="rId101" Type="http://schemas.openxmlformats.org/officeDocument/2006/relationships/footer" Target="footer21.xml"/><Relationship Id="rId122" Type="http://schemas.openxmlformats.org/officeDocument/2006/relationships/footer" Target="footer31.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header" Target="header1.xml"/><Relationship Id="rId39" Type="http://schemas.openxmlformats.org/officeDocument/2006/relationships/header" Target="header8.xml"/><Relationship Id="rId109" Type="http://schemas.openxmlformats.org/officeDocument/2006/relationships/footer" Target="footer25.xml"/><Relationship Id="rId34" Type="http://schemas.openxmlformats.org/officeDocument/2006/relationships/footer" Target="footer6.xml"/><Relationship Id="rId50" Type="http://schemas.openxmlformats.org/officeDocument/2006/relationships/image" Target="media/image22.emf"/><Relationship Id="rId55" Type="http://schemas.openxmlformats.org/officeDocument/2006/relationships/image" Target="media/image27.emf"/><Relationship Id="rId76" Type="http://schemas.openxmlformats.org/officeDocument/2006/relationships/header" Target="header17.xml"/><Relationship Id="rId97" Type="http://schemas.openxmlformats.org/officeDocument/2006/relationships/image" Target="media/image49.emf"/><Relationship Id="rId104" Type="http://schemas.openxmlformats.org/officeDocument/2006/relationships/header" Target="header24.xml"/><Relationship Id="rId120" Type="http://schemas.openxmlformats.org/officeDocument/2006/relationships/header" Target="header31.xml"/><Relationship Id="rId125"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35.emf"/><Relationship Id="rId92" Type="http://schemas.openxmlformats.org/officeDocument/2006/relationships/image" Target="media/image44.emf"/><Relationship Id="rId2" Type="http://schemas.openxmlformats.org/officeDocument/2006/relationships/numbering" Target="numbering.xml"/><Relationship Id="rId29" Type="http://schemas.openxmlformats.org/officeDocument/2006/relationships/image" Target="media/image13.emf"/><Relationship Id="rId24" Type="http://schemas.openxmlformats.org/officeDocument/2006/relationships/footer" Target="footer3.xml"/><Relationship Id="rId40" Type="http://schemas.openxmlformats.org/officeDocument/2006/relationships/footer" Target="footer7.xml"/><Relationship Id="rId45" Type="http://schemas.openxmlformats.org/officeDocument/2006/relationships/image" Target="media/image21.emf"/><Relationship Id="rId66" Type="http://schemas.openxmlformats.org/officeDocument/2006/relationships/header" Target="header13.xml"/><Relationship Id="rId87" Type="http://schemas.openxmlformats.org/officeDocument/2006/relationships/image" Target="media/image39.emf"/><Relationship Id="rId110" Type="http://schemas.openxmlformats.org/officeDocument/2006/relationships/footer" Target="footer26.xml"/><Relationship Id="rId115" Type="http://schemas.openxmlformats.org/officeDocument/2006/relationships/image" Target="media/image51.emf"/></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932E5D-7340-4E3E-92EB-43960E7F78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1</TotalTime>
  <Pages>170</Pages>
  <Words>86510</Words>
  <Characters>493112</Characters>
  <Application>Microsoft Office Word</Application>
  <DocSecurity>0</DocSecurity>
  <Lines>4109</Lines>
  <Paragraphs>1156</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578466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2</cp:revision>
  <cp:lastPrinted>2015-06-23T00:20:00Z</cp:lastPrinted>
  <dcterms:created xsi:type="dcterms:W3CDTF">2015-06-24T00:51:00Z</dcterms:created>
  <dcterms:modified xsi:type="dcterms:W3CDTF">2015-06-24T00:51:00Z</dcterms:modified>
</cp:coreProperties>
</file>